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20"/>
          <w:szCs w:val="20"/>
          <w:b w:val="1"/>
          <w:bCs w:val="1"/>
          <w:color w:val="51555C"/>
        </w:rPr>
        <w:t>UNITED STATES</w:t>
      </w:r>
    </w:p>
    <w:p>
      <w:pPr>
        <w:spacing w:after="0" w:line="33" w:lineRule="exact"/>
        <w:rPr>
          <w:sz w:val="24"/>
          <w:szCs w:val="24"/>
          <w:color w:val="auto"/>
        </w:rPr>
      </w:pPr>
    </w:p>
    <w:p>
      <w:pPr>
        <w:jc w:val="center"/>
        <w:ind w:right="-1080"/>
        <w:spacing w:after="0"/>
        <w:rPr>
          <w:sz w:val="20"/>
          <w:szCs w:val="20"/>
          <w:color w:val="auto"/>
        </w:rPr>
      </w:pPr>
      <w:r>
        <w:rPr>
          <w:rFonts w:ascii="Arial" w:cs="Arial" w:eastAsia="Arial" w:hAnsi="Arial"/>
          <w:sz w:val="20"/>
          <w:szCs w:val="20"/>
          <w:b w:val="1"/>
          <w:bCs w:val="1"/>
          <w:color w:val="51555C"/>
        </w:rPr>
        <w:t>SECURITIES AND EXCHANGE COMMISSION</w:t>
      </w:r>
    </w:p>
    <w:p>
      <w:pPr>
        <w:spacing w:after="0" w:line="2" w:lineRule="exact"/>
        <w:rPr>
          <w:sz w:val="24"/>
          <w:szCs w:val="24"/>
          <w:color w:val="auto"/>
        </w:rPr>
      </w:pPr>
    </w:p>
    <w:p>
      <w:pPr>
        <w:ind w:left="4660"/>
        <w:spacing w:after="0"/>
        <w:rPr>
          <w:sz w:val="20"/>
          <w:szCs w:val="20"/>
          <w:color w:val="auto"/>
        </w:rPr>
      </w:pPr>
      <w:r>
        <w:rPr>
          <w:rFonts w:ascii="Arial" w:cs="Arial" w:eastAsia="Arial" w:hAnsi="Arial"/>
          <w:sz w:val="18"/>
          <w:szCs w:val="18"/>
          <w:color w:val="51555C"/>
        </w:rPr>
        <w:t>Washington, DC 20549</w:t>
      </w:r>
    </w:p>
    <w:p>
      <w:pPr>
        <w:spacing w:after="0" w:line="147"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51555C"/>
        </w:rPr>
        <w:t>SCHEDULE 14A</w:t>
      </w:r>
    </w:p>
    <w:p>
      <w:pPr>
        <w:spacing w:after="0" w:line="191"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51555C"/>
        </w:rPr>
        <w:t>Proxy Statement Pursuant to Section 14(a) of the Securities</w:t>
      </w:r>
    </w:p>
    <w:p>
      <w:pPr>
        <w:spacing w:after="0" w:line="27" w:lineRule="exact"/>
        <w:rPr>
          <w:sz w:val="24"/>
          <w:szCs w:val="24"/>
          <w:color w:val="auto"/>
        </w:rPr>
      </w:pPr>
    </w:p>
    <w:p>
      <w:pPr>
        <w:jc w:val="center"/>
        <w:ind w:right="-1060"/>
        <w:spacing w:after="0"/>
        <w:tabs>
          <w:tab w:leader="none" w:pos="220" w:val="left"/>
        </w:tabs>
        <w:rPr>
          <w:sz w:val="20"/>
          <w:szCs w:val="20"/>
          <w:color w:val="auto"/>
        </w:rPr>
      </w:pPr>
      <w:r>
        <w:rPr>
          <w:rFonts w:ascii="Arial" w:cs="Arial" w:eastAsia="Arial" w:hAnsi="Arial"/>
          <w:sz w:val="18"/>
          <w:szCs w:val="18"/>
          <w:color w:val="51555C"/>
        </w:rPr>
        <w:t>Exchange Act of 1934 (Amendment No.</w:t>
        <w:tab/>
        <w:t>)</w:t>
      </w:r>
    </w:p>
    <w:p>
      <w:pPr>
        <w:spacing w:after="0" w:line="335" w:lineRule="exact"/>
        <w:rPr>
          <w:sz w:val="24"/>
          <w:szCs w:val="24"/>
          <w:color w:val="auto"/>
        </w:rPr>
      </w:pPr>
    </w:p>
    <w:p>
      <w:pPr>
        <w:ind w:left="2540"/>
        <w:spacing w:after="0" w:line="288" w:lineRule="exact"/>
        <w:tabs>
          <w:tab w:leader="none" w:pos="5500" w:val="left"/>
        </w:tabs>
        <w:rPr>
          <w:sz w:val="20"/>
          <w:szCs w:val="20"/>
          <w:color w:val="auto"/>
        </w:rPr>
      </w:pPr>
      <w:r>
        <w:rPr>
          <w:rFonts w:ascii="MS PGothic" w:cs="MS PGothic" w:eastAsia="MS PGothic" w:hAnsi="MS PGothic"/>
          <w:sz w:val="25"/>
          <w:szCs w:val="25"/>
          <w:color w:val="51555C"/>
        </w:rPr>
        <w:t>☑</w:t>
      </w:r>
      <w:r>
        <w:rPr>
          <w:rFonts w:ascii="Arial" w:cs="Arial" w:eastAsia="Arial" w:hAnsi="Arial"/>
          <w:sz w:val="18"/>
          <w:szCs w:val="18"/>
          <w:color w:val="51555C"/>
        </w:rPr>
        <w:t xml:space="preserve"> Filed by the Registrant</w:t>
      </w:r>
      <w:r>
        <w:rPr>
          <w:sz w:val="20"/>
          <w:szCs w:val="20"/>
          <w:color w:val="auto"/>
        </w:rPr>
        <w:tab/>
      </w:r>
      <w:r>
        <w:rPr>
          <w:rFonts w:ascii="MS PGothic" w:cs="MS PGothic" w:eastAsia="MS PGothic" w:hAnsi="MS PGothic"/>
          <w:sz w:val="25"/>
          <w:szCs w:val="25"/>
          <w:color w:val="51555C"/>
        </w:rPr>
        <w:t xml:space="preserve">☐ </w:t>
      </w:r>
      <w:r>
        <w:rPr>
          <w:rFonts w:ascii="Arial" w:cs="Arial" w:eastAsia="Arial" w:hAnsi="Arial"/>
          <w:sz w:val="17"/>
          <w:szCs w:val="17"/>
          <w:color w:val="51555C"/>
        </w:rPr>
        <w:t>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177165</wp:posOffset>
            </wp:positionV>
            <wp:extent cx="7140575" cy="13804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1380490"/>
                    </a:xfrm>
                    <a:prstGeom prst="rect">
                      <a:avLst/>
                    </a:prstGeom>
                    <a:noFill/>
                  </pic:spPr>
                </pic:pic>
              </a:graphicData>
            </a:graphic>
          </wp:anchor>
        </w:drawing>
      </w:r>
    </w:p>
    <w:p>
      <w:pPr>
        <w:spacing w:after="0" w:line="334" w:lineRule="exact"/>
        <w:rPr>
          <w:sz w:val="24"/>
          <w:szCs w:val="24"/>
          <w:color w:val="auto"/>
        </w:rPr>
      </w:pPr>
    </w:p>
    <w:p>
      <w:pPr>
        <w:spacing w:after="0"/>
        <w:rPr>
          <w:sz w:val="20"/>
          <w:szCs w:val="20"/>
          <w:color w:val="auto"/>
        </w:rPr>
      </w:pPr>
      <w:r>
        <w:rPr>
          <w:rFonts w:ascii="Arial" w:cs="Arial" w:eastAsia="Arial" w:hAnsi="Arial"/>
          <w:sz w:val="18"/>
          <w:szCs w:val="18"/>
          <w:b w:val="1"/>
          <w:bCs w:val="1"/>
          <w:color w:val="51555C"/>
        </w:rPr>
        <w:t>Check the appropriate box:</w:t>
      </w:r>
    </w:p>
    <w:p>
      <w:pPr>
        <w:spacing w:after="0" w:line="130" w:lineRule="exact"/>
        <w:rPr>
          <w:sz w:val="24"/>
          <w:szCs w:val="24"/>
          <w:color w:val="auto"/>
        </w:rPr>
      </w:pPr>
    </w:p>
    <w:p>
      <w:pPr>
        <w:ind w:left="640" w:hanging="463"/>
        <w:spacing w:after="0"/>
        <w:tabs>
          <w:tab w:leader="none" w:pos="640" w:val="left"/>
        </w:tabs>
        <w:numPr>
          <w:ilvl w:val="0"/>
          <w:numId w:val="1"/>
        </w:numPr>
        <w:rPr>
          <w:rFonts w:ascii="MS PGothic" w:cs="MS PGothic" w:eastAsia="MS PGothic" w:hAnsi="MS PGothic"/>
          <w:sz w:val="25"/>
          <w:szCs w:val="25"/>
          <w:color w:val="51555C"/>
        </w:rPr>
      </w:pPr>
      <w:r>
        <w:rPr>
          <w:rFonts w:ascii="Arial" w:cs="Arial" w:eastAsia="Arial" w:hAnsi="Arial"/>
          <w:sz w:val="18"/>
          <w:szCs w:val="18"/>
          <w:color w:val="51555C"/>
        </w:rPr>
        <w:t>Preliminary Proxy Statement</w:t>
      </w:r>
    </w:p>
    <w:p>
      <w:pPr>
        <w:spacing w:after="0" w:line="111" w:lineRule="exact"/>
        <w:rPr>
          <w:rFonts w:ascii="MS PGothic" w:cs="MS PGothic" w:eastAsia="MS PGothic" w:hAnsi="MS PGothic"/>
          <w:sz w:val="25"/>
          <w:szCs w:val="25"/>
          <w:color w:val="51555C"/>
        </w:rPr>
      </w:pPr>
    </w:p>
    <w:p>
      <w:pPr>
        <w:ind w:left="640" w:hanging="463"/>
        <w:spacing w:after="0"/>
        <w:tabs>
          <w:tab w:leader="none" w:pos="640" w:val="left"/>
        </w:tabs>
        <w:numPr>
          <w:ilvl w:val="0"/>
          <w:numId w:val="1"/>
        </w:numPr>
        <w:rPr>
          <w:rFonts w:ascii="MS PGothic" w:cs="MS PGothic" w:eastAsia="MS PGothic" w:hAnsi="MS PGothic"/>
          <w:sz w:val="25"/>
          <w:szCs w:val="25"/>
          <w:color w:val="51555C"/>
        </w:rPr>
      </w:pPr>
      <w:r>
        <w:rPr>
          <w:rFonts w:ascii="Arial" w:cs="Arial" w:eastAsia="Arial" w:hAnsi="Arial"/>
          <w:sz w:val="18"/>
          <w:szCs w:val="18"/>
          <w:color w:val="51555C"/>
        </w:rPr>
        <w:t>Confidential, for Use of the Commission Only (as permitted by Rule 14a-6(e)(2))</w:t>
      </w:r>
    </w:p>
    <w:p>
      <w:pPr>
        <w:spacing w:after="0" w:line="112" w:lineRule="exact"/>
        <w:rPr>
          <w:sz w:val="24"/>
          <w:szCs w:val="24"/>
          <w:color w:val="auto"/>
        </w:rPr>
      </w:pPr>
    </w:p>
    <w:p>
      <w:pPr>
        <w:ind w:left="640" w:hanging="463"/>
        <w:spacing w:after="0"/>
        <w:tabs>
          <w:tab w:leader="none" w:pos="640" w:val="left"/>
        </w:tabs>
        <w:numPr>
          <w:ilvl w:val="0"/>
          <w:numId w:val="2"/>
        </w:numPr>
        <w:rPr>
          <w:rFonts w:ascii="MS PGothic" w:cs="MS PGothic" w:eastAsia="MS PGothic" w:hAnsi="MS PGothic"/>
          <w:sz w:val="25"/>
          <w:szCs w:val="25"/>
          <w:color w:val="51555C"/>
        </w:rPr>
      </w:pPr>
      <w:r>
        <w:rPr>
          <w:rFonts w:ascii="Arial" w:cs="Arial" w:eastAsia="Arial" w:hAnsi="Arial"/>
          <w:sz w:val="18"/>
          <w:szCs w:val="18"/>
          <w:color w:val="51555C"/>
        </w:rPr>
        <w:t>Definitive Proxy Statement</w:t>
      </w:r>
    </w:p>
    <w:p>
      <w:pPr>
        <w:spacing w:after="0" w:line="112" w:lineRule="exact"/>
        <w:rPr>
          <w:sz w:val="24"/>
          <w:szCs w:val="24"/>
          <w:color w:val="auto"/>
        </w:rPr>
      </w:pPr>
    </w:p>
    <w:p>
      <w:pPr>
        <w:ind w:left="640" w:hanging="463"/>
        <w:spacing w:after="0"/>
        <w:tabs>
          <w:tab w:leader="none" w:pos="640" w:val="left"/>
        </w:tabs>
        <w:numPr>
          <w:ilvl w:val="0"/>
          <w:numId w:val="3"/>
        </w:numPr>
        <w:rPr>
          <w:rFonts w:ascii="MS PGothic" w:cs="MS PGothic" w:eastAsia="MS PGothic" w:hAnsi="MS PGothic"/>
          <w:sz w:val="25"/>
          <w:szCs w:val="25"/>
          <w:color w:val="51555C"/>
        </w:rPr>
      </w:pPr>
      <w:r>
        <w:rPr>
          <w:rFonts w:ascii="Arial" w:cs="Arial" w:eastAsia="Arial" w:hAnsi="Arial"/>
          <w:sz w:val="18"/>
          <w:szCs w:val="18"/>
          <w:color w:val="51555C"/>
        </w:rPr>
        <w:t>Definitive Additional Materials</w:t>
      </w:r>
    </w:p>
    <w:p>
      <w:pPr>
        <w:spacing w:after="0" w:line="111" w:lineRule="exact"/>
        <w:rPr>
          <w:rFonts w:ascii="MS PGothic" w:cs="MS PGothic" w:eastAsia="MS PGothic" w:hAnsi="MS PGothic"/>
          <w:sz w:val="25"/>
          <w:szCs w:val="25"/>
          <w:color w:val="51555C"/>
        </w:rPr>
      </w:pPr>
    </w:p>
    <w:p>
      <w:pPr>
        <w:ind w:left="640" w:hanging="463"/>
        <w:spacing w:after="0"/>
        <w:tabs>
          <w:tab w:leader="none" w:pos="640" w:val="left"/>
        </w:tabs>
        <w:numPr>
          <w:ilvl w:val="0"/>
          <w:numId w:val="3"/>
        </w:numPr>
        <w:rPr>
          <w:rFonts w:ascii="MS PGothic" w:cs="MS PGothic" w:eastAsia="MS PGothic" w:hAnsi="MS PGothic"/>
          <w:sz w:val="25"/>
          <w:szCs w:val="25"/>
          <w:color w:val="51555C"/>
        </w:rPr>
      </w:pPr>
      <w:r>
        <w:rPr>
          <w:rFonts w:ascii="Arial" w:cs="Arial" w:eastAsia="Arial" w:hAnsi="Arial"/>
          <w:sz w:val="18"/>
          <w:szCs w:val="18"/>
          <w:color w:val="51555C"/>
        </w:rPr>
        <w:t>Soliciting Material Pursuant to §240.14a-12</w:t>
      </w:r>
    </w:p>
    <w:p>
      <w:pPr>
        <w:spacing w:after="0" w:line="277" w:lineRule="exact"/>
        <w:rPr>
          <w:sz w:val="24"/>
          <w:szCs w:val="24"/>
          <w:color w:val="auto"/>
        </w:rPr>
      </w:pPr>
    </w:p>
    <w:p>
      <w:pPr>
        <w:ind w:left="4020"/>
        <w:spacing w:after="0"/>
        <w:rPr>
          <w:sz w:val="20"/>
          <w:szCs w:val="20"/>
          <w:color w:val="auto"/>
        </w:rPr>
      </w:pPr>
      <w:r>
        <w:rPr>
          <w:rFonts w:ascii="Arial" w:cs="Arial" w:eastAsia="Arial" w:hAnsi="Arial"/>
          <w:sz w:val="43"/>
          <w:szCs w:val="43"/>
          <w:b w:val="1"/>
          <w:bCs w:val="1"/>
          <w:color w:val="51555C"/>
        </w:rPr>
        <w:t>Blackbaud, Inc.</w:t>
      </w:r>
    </w:p>
    <w:p>
      <w:pPr>
        <w:spacing w:after="0" w:line="273"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51555C"/>
        </w:rPr>
        <w:t>(Name of Registrant as Specified in Its Charter)</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51555C"/>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126365</wp:posOffset>
            </wp:positionV>
            <wp:extent cx="7140575" cy="917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91757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51555C"/>
        </w:rPr>
        <w:t>Payment of Filing Fee (Check the appropriate box):</w:t>
      </w:r>
    </w:p>
    <w:p>
      <w:pPr>
        <w:spacing w:after="0" w:line="138" w:lineRule="exact"/>
        <w:rPr>
          <w:sz w:val="24"/>
          <w:szCs w:val="24"/>
          <w:color w:val="auto"/>
        </w:rPr>
      </w:pPr>
    </w:p>
    <w:p>
      <w:pPr>
        <w:ind w:left="640" w:hanging="463"/>
        <w:spacing w:after="0"/>
        <w:tabs>
          <w:tab w:leader="none" w:pos="640" w:val="left"/>
        </w:tabs>
        <w:numPr>
          <w:ilvl w:val="0"/>
          <w:numId w:val="4"/>
        </w:numPr>
        <w:rPr>
          <w:rFonts w:ascii="MS PGothic" w:cs="MS PGothic" w:eastAsia="MS PGothic" w:hAnsi="MS PGothic"/>
          <w:sz w:val="25"/>
          <w:szCs w:val="25"/>
          <w:color w:val="51555C"/>
        </w:rPr>
      </w:pPr>
      <w:r>
        <w:rPr>
          <w:rFonts w:ascii="Arial" w:cs="Arial" w:eastAsia="Arial" w:hAnsi="Arial"/>
          <w:sz w:val="18"/>
          <w:szCs w:val="18"/>
          <w:b w:val="1"/>
          <w:bCs w:val="1"/>
          <w:color w:val="51555C"/>
        </w:rPr>
        <w:t>No fee required.</w:t>
      </w:r>
    </w:p>
    <w:p>
      <w:pPr>
        <w:spacing w:after="0" w:line="112" w:lineRule="exact"/>
        <w:rPr>
          <w:sz w:val="24"/>
          <w:szCs w:val="24"/>
          <w:color w:val="auto"/>
        </w:rPr>
      </w:pPr>
    </w:p>
    <w:p>
      <w:pPr>
        <w:ind w:left="640" w:hanging="463"/>
        <w:spacing w:after="0"/>
        <w:tabs>
          <w:tab w:leader="none" w:pos="640" w:val="left"/>
        </w:tabs>
        <w:numPr>
          <w:ilvl w:val="0"/>
          <w:numId w:val="5"/>
        </w:numPr>
        <w:rPr>
          <w:rFonts w:ascii="MS PGothic" w:cs="MS PGothic" w:eastAsia="MS PGothic" w:hAnsi="MS PGothic"/>
          <w:sz w:val="25"/>
          <w:szCs w:val="25"/>
          <w:color w:val="51555C"/>
        </w:rPr>
      </w:pPr>
      <w:r>
        <w:rPr>
          <w:rFonts w:ascii="Arial" w:cs="Arial" w:eastAsia="Arial" w:hAnsi="Arial"/>
          <w:sz w:val="18"/>
          <w:szCs w:val="18"/>
          <w:b w:val="1"/>
          <w:bCs w:val="1"/>
          <w:color w:val="51555C"/>
        </w:rPr>
        <w:t>Fee paid previously with preliminary materials.</w:t>
      </w:r>
    </w:p>
    <w:p>
      <w:pPr>
        <w:spacing w:after="0" w:line="117" w:lineRule="exact"/>
        <w:rPr>
          <w:rFonts w:ascii="MS PGothic" w:cs="MS PGothic" w:eastAsia="MS PGothic" w:hAnsi="MS PGothic"/>
          <w:sz w:val="25"/>
          <w:szCs w:val="25"/>
          <w:color w:val="51555C"/>
        </w:rPr>
      </w:pPr>
    </w:p>
    <w:p>
      <w:pPr>
        <w:ind w:left="640" w:hanging="463"/>
        <w:spacing w:after="0"/>
        <w:tabs>
          <w:tab w:leader="none" w:pos="640" w:val="left"/>
        </w:tabs>
        <w:numPr>
          <w:ilvl w:val="0"/>
          <w:numId w:val="5"/>
        </w:numPr>
        <w:rPr>
          <w:rFonts w:ascii="MS PGothic" w:cs="MS PGothic" w:eastAsia="MS PGothic" w:hAnsi="MS PGothic"/>
          <w:sz w:val="24"/>
          <w:szCs w:val="24"/>
          <w:color w:val="51555C"/>
        </w:rPr>
      </w:pPr>
      <w:r>
        <w:rPr>
          <w:rFonts w:ascii="Arial" w:cs="Arial" w:eastAsia="Arial" w:hAnsi="Arial"/>
          <w:sz w:val="17"/>
          <w:szCs w:val="17"/>
          <w:b w:val="1"/>
          <w:bCs w:val="1"/>
          <w:color w:val="51555C"/>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1114425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25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448945</wp:posOffset>
            </wp:positionV>
            <wp:extent cx="7157720" cy="9210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9210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0"/>
          <w:szCs w:val="40"/>
          <w:b w:val="1"/>
          <w:bCs w:val="1"/>
          <w:color w:val="50535A"/>
        </w:rPr>
        <w:t>TABLE OF CONTENTS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42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004054"/>
              </w:rPr>
              <w:t>LETTER TO STOCKHOLDERS FROM OUR BOARD OF DIRECTORS</w:t>
            </w:r>
          </w:p>
        </w:tc>
        <w:tc>
          <w:tcPr>
            <w:tcW w:w="820" w:type="dxa"/>
            <w:vAlign w:val="bottom"/>
            <w:tcBorders>
              <w:bottom w:val="single" w:sz="8" w:color="0CD973"/>
            </w:tcBorders>
          </w:tcPr>
          <w:p>
            <w:pPr>
              <w:jc w:val="right"/>
              <w:spacing w:after="0"/>
              <w:rPr>
                <w:sz w:val="20"/>
                <w:szCs w:val="20"/>
                <w:color w:val="auto"/>
              </w:rPr>
            </w:pPr>
            <w:r>
              <w:rPr>
                <w:rFonts w:ascii="Arial" w:cs="Arial" w:eastAsia="Arial" w:hAnsi="Arial"/>
                <w:sz w:val="18"/>
                <w:szCs w:val="18"/>
                <w:b w:val="1"/>
                <w:bCs w:val="1"/>
                <w:color w:val="004054"/>
              </w:rPr>
              <w:t>2</w:t>
            </w:r>
          </w:p>
        </w:tc>
      </w:tr>
      <w:tr>
        <w:trPr>
          <w:trHeight w:val="298"/>
        </w:trPr>
        <w:tc>
          <w:tcPr>
            <w:tcW w:w="1042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004054"/>
              </w:rPr>
              <w:t>NOTICE OF ANNUAL MEETING OF STOCKHOLDERS</w:t>
            </w:r>
          </w:p>
        </w:tc>
        <w:tc>
          <w:tcPr>
            <w:tcW w:w="820" w:type="dxa"/>
            <w:vAlign w:val="bottom"/>
            <w:tcBorders>
              <w:bottom w:val="single" w:sz="8" w:color="0CD973"/>
            </w:tcBorders>
          </w:tcPr>
          <w:p>
            <w:pPr>
              <w:jc w:val="right"/>
              <w:spacing w:after="0"/>
              <w:rPr>
                <w:sz w:val="20"/>
                <w:szCs w:val="20"/>
                <w:color w:val="auto"/>
              </w:rPr>
            </w:pPr>
            <w:r>
              <w:rPr>
                <w:rFonts w:ascii="Arial" w:cs="Arial" w:eastAsia="Arial" w:hAnsi="Arial"/>
                <w:sz w:val="18"/>
                <w:szCs w:val="18"/>
                <w:b w:val="1"/>
                <w:bCs w:val="1"/>
                <w:color w:val="004054"/>
              </w:rPr>
              <w:t>3</w:t>
            </w:r>
          </w:p>
        </w:tc>
      </w:tr>
      <w:tr>
        <w:trPr>
          <w:trHeight w:val="304"/>
        </w:trPr>
        <w:tc>
          <w:tcPr>
            <w:tcW w:w="1042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004054"/>
              </w:rPr>
              <w:t>CAUTIONARY NOTE REGARDING FORWARD-LOOKING STATEMENTS</w:t>
            </w:r>
          </w:p>
        </w:tc>
        <w:tc>
          <w:tcPr>
            <w:tcW w:w="820" w:type="dxa"/>
            <w:vAlign w:val="bottom"/>
            <w:tcBorders>
              <w:bottom w:val="single" w:sz="8" w:color="0CD973"/>
            </w:tcBorders>
          </w:tcPr>
          <w:p>
            <w:pPr>
              <w:jc w:val="right"/>
              <w:spacing w:after="0"/>
              <w:rPr>
                <w:sz w:val="20"/>
                <w:szCs w:val="20"/>
                <w:color w:val="auto"/>
              </w:rPr>
            </w:pPr>
            <w:r>
              <w:rPr>
                <w:rFonts w:ascii="Arial" w:cs="Arial" w:eastAsia="Arial" w:hAnsi="Arial"/>
                <w:sz w:val="18"/>
                <w:szCs w:val="18"/>
                <w:b w:val="1"/>
                <w:bCs w:val="1"/>
                <w:color w:val="004054"/>
              </w:rPr>
              <w:t>4</w:t>
            </w:r>
          </w:p>
        </w:tc>
      </w:tr>
      <w:tr>
        <w:trPr>
          <w:trHeight w:val="304"/>
        </w:trPr>
        <w:tc>
          <w:tcPr>
            <w:tcW w:w="1042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004054"/>
              </w:rPr>
              <w:t>PROXY SUMMARY</w:t>
            </w:r>
          </w:p>
        </w:tc>
        <w:tc>
          <w:tcPr>
            <w:tcW w:w="820" w:type="dxa"/>
            <w:vAlign w:val="bottom"/>
            <w:tcBorders>
              <w:bottom w:val="single" w:sz="8" w:color="0CD973"/>
            </w:tcBorders>
          </w:tcPr>
          <w:p>
            <w:pPr>
              <w:jc w:val="right"/>
              <w:spacing w:after="0"/>
              <w:rPr>
                <w:sz w:val="20"/>
                <w:szCs w:val="20"/>
                <w:color w:val="auto"/>
              </w:rPr>
            </w:pPr>
            <w:r>
              <w:rPr>
                <w:rFonts w:ascii="Arial" w:cs="Arial" w:eastAsia="Arial" w:hAnsi="Arial"/>
                <w:sz w:val="18"/>
                <w:szCs w:val="18"/>
                <w:b w:val="1"/>
                <w:bCs w:val="1"/>
                <w:color w:val="004054"/>
              </w:rPr>
              <w:t>4</w:t>
            </w:r>
          </w:p>
        </w:tc>
      </w:tr>
      <w:tr>
        <w:trPr>
          <w:trHeight w:val="304"/>
        </w:trPr>
        <w:tc>
          <w:tcPr>
            <w:tcW w:w="1042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004054"/>
              </w:rPr>
              <w:t>PROXY STATEMENT</w:t>
            </w:r>
          </w:p>
        </w:tc>
        <w:tc>
          <w:tcPr>
            <w:tcW w:w="820" w:type="dxa"/>
            <w:vAlign w:val="bottom"/>
            <w:tcBorders>
              <w:bottom w:val="single" w:sz="8" w:color="0CD973"/>
            </w:tcBorders>
          </w:tcPr>
          <w:p>
            <w:pPr>
              <w:jc w:val="right"/>
              <w:spacing w:after="0"/>
              <w:rPr>
                <w:sz w:val="20"/>
                <w:szCs w:val="20"/>
                <w:color w:val="auto"/>
              </w:rPr>
            </w:pPr>
            <w:r>
              <w:rPr>
                <w:rFonts w:ascii="Arial" w:cs="Arial" w:eastAsia="Arial" w:hAnsi="Arial"/>
                <w:sz w:val="18"/>
                <w:szCs w:val="18"/>
                <w:b w:val="1"/>
                <w:bCs w:val="1"/>
                <w:color w:val="004054"/>
              </w:rPr>
              <w:t>10</w:t>
            </w:r>
          </w:p>
        </w:tc>
      </w:tr>
      <w:tr>
        <w:trPr>
          <w:trHeight w:val="304"/>
        </w:trPr>
        <w:tc>
          <w:tcPr>
            <w:tcW w:w="1042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004054"/>
              </w:rPr>
              <w:t>GOVERNANCE</w:t>
            </w:r>
          </w:p>
        </w:tc>
        <w:tc>
          <w:tcPr>
            <w:tcW w:w="820" w:type="dxa"/>
            <w:vAlign w:val="bottom"/>
            <w:tcBorders>
              <w:bottom w:val="single" w:sz="8" w:color="0CD973"/>
            </w:tcBorders>
          </w:tcPr>
          <w:p>
            <w:pPr>
              <w:jc w:val="right"/>
              <w:spacing w:after="0"/>
              <w:rPr>
                <w:sz w:val="20"/>
                <w:szCs w:val="20"/>
                <w:color w:val="auto"/>
              </w:rPr>
            </w:pPr>
            <w:r>
              <w:rPr>
                <w:rFonts w:ascii="Arial" w:cs="Arial" w:eastAsia="Arial" w:hAnsi="Arial"/>
                <w:sz w:val="18"/>
                <w:szCs w:val="18"/>
                <w:b w:val="1"/>
                <w:bCs w:val="1"/>
                <w:color w:val="004054"/>
              </w:rPr>
              <w:t>11</w:t>
            </w:r>
          </w:p>
        </w:tc>
      </w:tr>
      <w:tr>
        <w:trPr>
          <w:trHeight w:val="208"/>
        </w:trPr>
        <w:tc>
          <w:tcPr>
            <w:tcW w:w="10420" w:type="dxa"/>
            <w:vAlign w:val="bottom"/>
          </w:tcPr>
          <w:p>
            <w:pPr>
              <w:ind w:left="20"/>
              <w:spacing w:after="0"/>
              <w:rPr>
                <w:sz w:val="20"/>
                <w:szCs w:val="20"/>
                <w:color w:val="auto"/>
              </w:rPr>
            </w:pPr>
            <w:r>
              <w:rPr>
                <w:rFonts w:ascii="Arial" w:cs="Arial" w:eastAsia="Arial" w:hAnsi="Arial"/>
                <w:sz w:val="14"/>
                <w:szCs w:val="14"/>
                <w:color w:val="51555C"/>
              </w:rPr>
              <w:t>Election of Directors</w:t>
            </w:r>
          </w:p>
        </w:tc>
        <w:tc>
          <w:tcPr>
            <w:tcW w:w="820" w:type="dxa"/>
            <w:vAlign w:val="bottom"/>
          </w:tcPr>
          <w:p>
            <w:pPr>
              <w:jc w:val="right"/>
              <w:spacing w:after="0"/>
              <w:rPr>
                <w:sz w:val="20"/>
                <w:szCs w:val="20"/>
                <w:color w:val="auto"/>
              </w:rPr>
            </w:pPr>
            <w:r>
              <w:rPr>
                <w:rFonts w:ascii="Arial" w:cs="Arial" w:eastAsia="Arial" w:hAnsi="Arial"/>
                <w:sz w:val="14"/>
                <w:szCs w:val="14"/>
                <w:color w:val="51555C"/>
              </w:rPr>
              <w:t>11</w:t>
            </w:r>
          </w:p>
        </w:tc>
      </w:tr>
      <w:tr>
        <w:trPr>
          <w:trHeight w:val="229"/>
        </w:trPr>
        <w:tc>
          <w:tcPr>
            <w:tcW w:w="10420" w:type="dxa"/>
            <w:vAlign w:val="bottom"/>
          </w:tcPr>
          <w:p>
            <w:pPr>
              <w:ind w:left="20"/>
              <w:spacing w:after="0"/>
              <w:rPr>
                <w:sz w:val="20"/>
                <w:szCs w:val="20"/>
                <w:color w:val="auto"/>
              </w:rPr>
            </w:pPr>
            <w:r>
              <w:rPr>
                <w:rFonts w:ascii="Arial" w:cs="Arial" w:eastAsia="Arial" w:hAnsi="Arial"/>
                <w:sz w:val="14"/>
                <w:szCs w:val="14"/>
                <w:color w:val="51555C"/>
              </w:rPr>
              <w:t>Board of Directors and Committees</w:t>
            </w:r>
          </w:p>
        </w:tc>
        <w:tc>
          <w:tcPr>
            <w:tcW w:w="820" w:type="dxa"/>
            <w:vAlign w:val="bottom"/>
          </w:tcPr>
          <w:p>
            <w:pPr>
              <w:jc w:val="right"/>
              <w:spacing w:after="0"/>
              <w:rPr>
                <w:sz w:val="20"/>
                <w:szCs w:val="20"/>
                <w:color w:val="auto"/>
              </w:rPr>
            </w:pPr>
            <w:r>
              <w:rPr>
                <w:rFonts w:ascii="Arial" w:cs="Arial" w:eastAsia="Arial" w:hAnsi="Arial"/>
                <w:sz w:val="14"/>
                <w:szCs w:val="14"/>
                <w:color w:val="51555C"/>
              </w:rPr>
              <w:t>20</w:t>
            </w:r>
          </w:p>
        </w:tc>
      </w:tr>
      <w:tr>
        <w:trPr>
          <w:trHeight w:val="230"/>
        </w:trPr>
        <w:tc>
          <w:tcPr>
            <w:tcW w:w="10420" w:type="dxa"/>
            <w:vAlign w:val="bottom"/>
          </w:tcPr>
          <w:p>
            <w:pPr>
              <w:ind w:left="20"/>
              <w:spacing w:after="0"/>
              <w:rPr>
                <w:sz w:val="20"/>
                <w:szCs w:val="20"/>
                <w:color w:val="auto"/>
              </w:rPr>
            </w:pPr>
            <w:r>
              <w:rPr>
                <w:rFonts w:ascii="Arial" w:cs="Arial" w:eastAsia="Arial" w:hAnsi="Arial"/>
                <w:sz w:val="14"/>
                <w:szCs w:val="14"/>
                <w:color w:val="51555C"/>
              </w:rPr>
              <w:t>Director Compensation</w:t>
            </w:r>
          </w:p>
        </w:tc>
        <w:tc>
          <w:tcPr>
            <w:tcW w:w="820" w:type="dxa"/>
            <w:vAlign w:val="bottom"/>
          </w:tcPr>
          <w:p>
            <w:pPr>
              <w:jc w:val="right"/>
              <w:spacing w:after="0"/>
              <w:rPr>
                <w:sz w:val="20"/>
                <w:szCs w:val="20"/>
                <w:color w:val="auto"/>
              </w:rPr>
            </w:pPr>
            <w:r>
              <w:rPr>
                <w:rFonts w:ascii="Arial" w:cs="Arial" w:eastAsia="Arial" w:hAnsi="Arial"/>
                <w:sz w:val="14"/>
                <w:szCs w:val="14"/>
                <w:color w:val="51555C"/>
              </w:rPr>
              <w:t>26</w:t>
            </w:r>
          </w:p>
        </w:tc>
      </w:tr>
      <w:tr>
        <w:trPr>
          <w:trHeight w:val="229"/>
        </w:trPr>
        <w:tc>
          <w:tcPr>
            <w:tcW w:w="10420" w:type="dxa"/>
            <w:vAlign w:val="bottom"/>
          </w:tcPr>
          <w:p>
            <w:pPr>
              <w:ind w:left="20"/>
              <w:spacing w:after="0"/>
              <w:rPr>
                <w:sz w:val="20"/>
                <w:szCs w:val="20"/>
                <w:color w:val="auto"/>
              </w:rPr>
            </w:pPr>
            <w:r>
              <w:rPr>
                <w:rFonts w:ascii="Arial" w:cs="Arial" w:eastAsia="Arial" w:hAnsi="Arial"/>
                <w:sz w:val="14"/>
                <w:szCs w:val="14"/>
                <w:color w:val="51555C"/>
              </w:rPr>
              <w:t>Transactions with Related Persons</w:t>
            </w:r>
          </w:p>
        </w:tc>
        <w:tc>
          <w:tcPr>
            <w:tcW w:w="820" w:type="dxa"/>
            <w:vAlign w:val="bottom"/>
          </w:tcPr>
          <w:p>
            <w:pPr>
              <w:jc w:val="right"/>
              <w:spacing w:after="0"/>
              <w:rPr>
                <w:sz w:val="20"/>
                <w:szCs w:val="20"/>
                <w:color w:val="auto"/>
              </w:rPr>
            </w:pPr>
            <w:r>
              <w:rPr>
                <w:rFonts w:ascii="Arial" w:cs="Arial" w:eastAsia="Arial" w:hAnsi="Arial"/>
                <w:sz w:val="14"/>
                <w:szCs w:val="14"/>
                <w:color w:val="51555C"/>
              </w:rPr>
              <w:t>29</w:t>
            </w:r>
          </w:p>
        </w:tc>
      </w:tr>
      <w:tr>
        <w:trPr>
          <w:trHeight w:val="229"/>
        </w:trPr>
        <w:tc>
          <w:tcPr>
            <w:tcW w:w="10420" w:type="dxa"/>
            <w:vAlign w:val="bottom"/>
          </w:tcPr>
          <w:p>
            <w:pPr>
              <w:ind w:left="20"/>
              <w:spacing w:after="0"/>
              <w:rPr>
                <w:sz w:val="20"/>
                <w:szCs w:val="20"/>
                <w:color w:val="auto"/>
              </w:rPr>
            </w:pPr>
            <w:r>
              <w:rPr>
                <w:rFonts w:ascii="Arial" w:cs="Arial" w:eastAsia="Arial" w:hAnsi="Arial"/>
                <w:sz w:val="14"/>
                <w:szCs w:val="14"/>
                <w:color w:val="51555C"/>
              </w:rPr>
              <w:t>Environmental, Social and Governance Responsibility</w:t>
            </w:r>
          </w:p>
        </w:tc>
        <w:tc>
          <w:tcPr>
            <w:tcW w:w="820" w:type="dxa"/>
            <w:vAlign w:val="bottom"/>
          </w:tcPr>
          <w:p>
            <w:pPr>
              <w:jc w:val="right"/>
              <w:spacing w:after="0"/>
              <w:rPr>
                <w:sz w:val="20"/>
                <w:szCs w:val="20"/>
                <w:color w:val="auto"/>
              </w:rPr>
            </w:pPr>
            <w:r>
              <w:rPr>
                <w:rFonts w:ascii="Arial" w:cs="Arial" w:eastAsia="Arial" w:hAnsi="Arial"/>
                <w:sz w:val="14"/>
                <w:szCs w:val="14"/>
                <w:color w:val="51555C"/>
              </w:rPr>
              <w:t>29</w:t>
            </w:r>
          </w:p>
        </w:tc>
      </w:tr>
      <w:tr>
        <w:trPr>
          <w:trHeight w:val="230"/>
        </w:trPr>
        <w:tc>
          <w:tcPr>
            <w:tcW w:w="10420" w:type="dxa"/>
            <w:vAlign w:val="bottom"/>
          </w:tcPr>
          <w:p>
            <w:pPr>
              <w:ind w:left="20"/>
              <w:spacing w:after="0"/>
              <w:rPr>
                <w:sz w:val="20"/>
                <w:szCs w:val="20"/>
                <w:color w:val="auto"/>
              </w:rPr>
            </w:pPr>
            <w:r>
              <w:rPr>
                <w:rFonts w:ascii="Arial" w:cs="Arial" w:eastAsia="Arial" w:hAnsi="Arial"/>
                <w:sz w:val="14"/>
                <w:szCs w:val="14"/>
                <w:color w:val="51555C"/>
              </w:rPr>
              <w:t>Insider Trading Arrangements and Policies</w:t>
            </w:r>
          </w:p>
        </w:tc>
        <w:tc>
          <w:tcPr>
            <w:tcW w:w="820" w:type="dxa"/>
            <w:vAlign w:val="bottom"/>
          </w:tcPr>
          <w:p>
            <w:pPr>
              <w:jc w:val="right"/>
              <w:spacing w:after="0"/>
              <w:rPr>
                <w:sz w:val="20"/>
                <w:szCs w:val="20"/>
                <w:color w:val="auto"/>
              </w:rPr>
            </w:pPr>
            <w:r>
              <w:rPr>
                <w:rFonts w:ascii="Arial" w:cs="Arial" w:eastAsia="Arial" w:hAnsi="Arial"/>
                <w:sz w:val="14"/>
                <w:szCs w:val="14"/>
                <w:color w:val="51555C"/>
              </w:rPr>
              <w:t>31</w:t>
            </w:r>
          </w:p>
        </w:tc>
      </w:tr>
      <w:tr>
        <w:trPr>
          <w:trHeight w:val="339"/>
        </w:trPr>
        <w:tc>
          <w:tcPr>
            <w:tcW w:w="1042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004054"/>
              </w:rPr>
              <w:t>STOCK OWNERSHIP</w:t>
            </w:r>
          </w:p>
        </w:tc>
        <w:tc>
          <w:tcPr>
            <w:tcW w:w="820" w:type="dxa"/>
            <w:vAlign w:val="bottom"/>
            <w:tcBorders>
              <w:bottom w:val="single" w:sz="8" w:color="0CD973"/>
            </w:tcBorders>
          </w:tcPr>
          <w:p>
            <w:pPr>
              <w:jc w:val="right"/>
              <w:spacing w:after="0"/>
              <w:rPr>
                <w:sz w:val="20"/>
                <w:szCs w:val="20"/>
                <w:color w:val="auto"/>
              </w:rPr>
            </w:pPr>
            <w:r>
              <w:rPr>
                <w:rFonts w:ascii="Arial" w:cs="Arial" w:eastAsia="Arial" w:hAnsi="Arial"/>
                <w:sz w:val="18"/>
                <w:szCs w:val="18"/>
                <w:b w:val="1"/>
                <w:bCs w:val="1"/>
                <w:color w:val="004054"/>
              </w:rPr>
              <w:t>32</w:t>
            </w:r>
          </w:p>
        </w:tc>
      </w:tr>
      <w:tr>
        <w:trPr>
          <w:trHeight w:val="208"/>
        </w:trPr>
        <w:tc>
          <w:tcPr>
            <w:tcW w:w="10420" w:type="dxa"/>
            <w:vAlign w:val="bottom"/>
          </w:tcPr>
          <w:p>
            <w:pPr>
              <w:ind w:left="20"/>
              <w:spacing w:after="0"/>
              <w:rPr>
                <w:sz w:val="20"/>
                <w:szCs w:val="20"/>
                <w:color w:val="auto"/>
              </w:rPr>
            </w:pPr>
            <w:r>
              <w:rPr>
                <w:rFonts w:ascii="Arial" w:cs="Arial" w:eastAsia="Arial" w:hAnsi="Arial"/>
                <w:sz w:val="14"/>
                <w:szCs w:val="14"/>
                <w:color w:val="51555C"/>
              </w:rPr>
              <w:t>Ownership of Equity Securities of the Company</w:t>
            </w:r>
          </w:p>
        </w:tc>
        <w:tc>
          <w:tcPr>
            <w:tcW w:w="820" w:type="dxa"/>
            <w:vAlign w:val="bottom"/>
          </w:tcPr>
          <w:p>
            <w:pPr>
              <w:jc w:val="right"/>
              <w:spacing w:after="0"/>
              <w:rPr>
                <w:sz w:val="20"/>
                <w:szCs w:val="20"/>
                <w:color w:val="auto"/>
              </w:rPr>
            </w:pPr>
            <w:r>
              <w:rPr>
                <w:rFonts w:ascii="Arial" w:cs="Arial" w:eastAsia="Arial" w:hAnsi="Arial"/>
                <w:sz w:val="14"/>
                <w:szCs w:val="14"/>
                <w:color w:val="51555C"/>
              </w:rPr>
              <w:t>32</w:t>
            </w:r>
          </w:p>
        </w:tc>
      </w:tr>
      <w:tr>
        <w:trPr>
          <w:trHeight w:val="230"/>
        </w:trPr>
        <w:tc>
          <w:tcPr>
            <w:tcW w:w="10420" w:type="dxa"/>
            <w:vAlign w:val="bottom"/>
          </w:tcPr>
          <w:p>
            <w:pPr>
              <w:ind w:left="20"/>
              <w:spacing w:after="0"/>
              <w:rPr>
                <w:sz w:val="20"/>
                <w:szCs w:val="20"/>
                <w:color w:val="auto"/>
              </w:rPr>
            </w:pPr>
            <w:r>
              <w:rPr>
                <w:rFonts w:ascii="Arial" w:cs="Arial" w:eastAsia="Arial" w:hAnsi="Arial"/>
                <w:sz w:val="14"/>
                <w:szCs w:val="14"/>
                <w:color w:val="51555C"/>
              </w:rPr>
              <w:t>Delinquent Section 16(a) Reports</w:t>
            </w:r>
          </w:p>
        </w:tc>
        <w:tc>
          <w:tcPr>
            <w:tcW w:w="820" w:type="dxa"/>
            <w:vAlign w:val="bottom"/>
          </w:tcPr>
          <w:p>
            <w:pPr>
              <w:jc w:val="right"/>
              <w:spacing w:after="0"/>
              <w:rPr>
                <w:sz w:val="20"/>
                <w:szCs w:val="20"/>
                <w:color w:val="auto"/>
              </w:rPr>
            </w:pPr>
            <w:r>
              <w:rPr>
                <w:rFonts w:ascii="Arial" w:cs="Arial" w:eastAsia="Arial" w:hAnsi="Arial"/>
                <w:sz w:val="14"/>
                <w:szCs w:val="14"/>
                <w:color w:val="51555C"/>
              </w:rPr>
              <w:t>33</w:t>
            </w:r>
          </w:p>
        </w:tc>
      </w:tr>
      <w:tr>
        <w:trPr>
          <w:trHeight w:val="339"/>
        </w:trPr>
        <w:tc>
          <w:tcPr>
            <w:tcW w:w="1042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004054"/>
              </w:rPr>
              <w:t>EXECUTIVE COMPENSATION</w:t>
            </w:r>
          </w:p>
        </w:tc>
        <w:tc>
          <w:tcPr>
            <w:tcW w:w="820" w:type="dxa"/>
            <w:vAlign w:val="bottom"/>
            <w:tcBorders>
              <w:bottom w:val="single" w:sz="8" w:color="0CD973"/>
            </w:tcBorders>
          </w:tcPr>
          <w:p>
            <w:pPr>
              <w:jc w:val="right"/>
              <w:spacing w:after="0"/>
              <w:rPr>
                <w:sz w:val="20"/>
                <w:szCs w:val="20"/>
                <w:color w:val="auto"/>
              </w:rPr>
            </w:pPr>
            <w:r>
              <w:rPr>
                <w:rFonts w:ascii="Arial" w:cs="Arial" w:eastAsia="Arial" w:hAnsi="Arial"/>
                <w:sz w:val="18"/>
                <w:szCs w:val="18"/>
                <w:b w:val="1"/>
                <w:bCs w:val="1"/>
                <w:color w:val="004054"/>
              </w:rPr>
              <w:t>34</w:t>
            </w:r>
          </w:p>
        </w:tc>
      </w:tr>
      <w:tr>
        <w:trPr>
          <w:trHeight w:val="236"/>
        </w:trPr>
        <w:tc>
          <w:tcPr>
            <w:tcW w:w="10420" w:type="dxa"/>
            <w:vAlign w:val="bottom"/>
          </w:tcPr>
          <w:p>
            <w:pPr>
              <w:ind w:left="20"/>
              <w:spacing w:after="0"/>
              <w:rPr>
                <w:sz w:val="20"/>
                <w:szCs w:val="20"/>
                <w:color w:val="auto"/>
              </w:rPr>
            </w:pPr>
            <w:r>
              <w:rPr>
                <w:rFonts w:ascii="Arial" w:cs="Arial" w:eastAsia="Arial" w:hAnsi="Arial"/>
                <w:sz w:val="16"/>
                <w:szCs w:val="16"/>
                <w:b w:val="1"/>
                <w:bCs w:val="1"/>
                <w:color w:val="51555C"/>
              </w:rPr>
              <w:t>Proposal 1—Advisory Vote to Approve Named Executive Officer Compensation</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51555C"/>
              </w:rPr>
              <w:t>34</w:t>
            </w:r>
          </w:p>
        </w:tc>
      </w:tr>
      <w:tr>
        <w:trPr>
          <w:trHeight w:val="215"/>
        </w:trPr>
        <w:tc>
          <w:tcPr>
            <w:tcW w:w="10420" w:type="dxa"/>
            <w:vAlign w:val="bottom"/>
          </w:tcPr>
          <w:p>
            <w:pPr>
              <w:ind w:left="20"/>
              <w:spacing w:after="0"/>
              <w:rPr>
                <w:sz w:val="20"/>
                <w:szCs w:val="20"/>
                <w:color w:val="auto"/>
              </w:rPr>
            </w:pPr>
            <w:r>
              <w:rPr>
                <w:rFonts w:ascii="Arial" w:cs="Arial" w:eastAsia="Arial" w:hAnsi="Arial"/>
                <w:sz w:val="14"/>
                <w:szCs w:val="14"/>
                <w:color w:val="51555C"/>
              </w:rPr>
              <w:t>Compensation Discussion and Analysis</w:t>
            </w:r>
          </w:p>
        </w:tc>
        <w:tc>
          <w:tcPr>
            <w:tcW w:w="820" w:type="dxa"/>
            <w:vAlign w:val="bottom"/>
          </w:tcPr>
          <w:p>
            <w:pPr>
              <w:jc w:val="right"/>
              <w:spacing w:after="0"/>
              <w:rPr>
                <w:sz w:val="20"/>
                <w:szCs w:val="20"/>
                <w:color w:val="auto"/>
              </w:rPr>
            </w:pPr>
            <w:r>
              <w:rPr>
                <w:rFonts w:ascii="Arial" w:cs="Arial" w:eastAsia="Arial" w:hAnsi="Arial"/>
                <w:sz w:val="14"/>
                <w:szCs w:val="14"/>
                <w:color w:val="51555C"/>
              </w:rPr>
              <w:t>35</w:t>
            </w:r>
          </w:p>
        </w:tc>
      </w:tr>
      <w:tr>
        <w:trPr>
          <w:trHeight w:val="230"/>
        </w:trPr>
        <w:tc>
          <w:tcPr>
            <w:tcW w:w="10420" w:type="dxa"/>
            <w:vAlign w:val="bottom"/>
          </w:tcPr>
          <w:p>
            <w:pPr>
              <w:ind w:left="20"/>
              <w:spacing w:after="0"/>
              <w:rPr>
                <w:sz w:val="20"/>
                <w:szCs w:val="20"/>
                <w:color w:val="auto"/>
              </w:rPr>
            </w:pPr>
            <w:r>
              <w:rPr>
                <w:rFonts w:ascii="Arial" w:cs="Arial" w:eastAsia="Arial" w:hAnsi="Arial"/>
                <w:sz w:val="14"/>
                <w:szCs w:val="14"/>
                <w:color w:val="51555C"/>
              </w:rPr>
              <w:t>Compensation Committee Report</w:t>
            </w:r>
          </w:p>
        </w:tc>
        <w:tc>
          <w:tcPr>
            <w:tcW w:w="820" w:type="dxa"/>
            <w:vAlign w:val="bottom"/>
          </w:tcPr>
          <w:p>
            <w:pPr>
              <w:jc w:val="right"/>
              <w:spacing w:after="0"/>
              <w:rPr>
                <w:sz w:val="20"/>
                <w:szCs w:val="20"/>
                <w:color w:val="auto"/>
              </w:rPr>
            </w:pPr>
            <w:r>
              <w:rPr>
                <w:rFonts w:ascii="Arial" w:cs="Arial" w:eastAsia="Arial" w:hAnsi="Arial"/>
                <w:sz w:val="14"/>
                <w:szCs w:val="14"/>
                <w:color w:val="51555C"/>
              </w:rPr>
              <w:t>52</w:t>
            </w:r>
          </w:p>
        </w:tc>
      </w:tr>
      <w:tr>
        <w:trPr>
          <w:trHeight w:val="229"/>
        </w:trPr>
        <w:tc>
          <w:tcPr>
            <w:tcW w:w="10420" w:type="dxa"/>
            <w:vAlign w:val="bottom"/>
          </w:tcPr>
          <w:p>
            <w:pPr>
              <w:ind w:left="20"/>
              <w:spacing w:after="0"/>
              <w:rPr>
                <w:sz w:val="20"/>
                <w:szCs w:val="20"/>
                <w:color w:val="auto"/>
              </w:rPr>
            </w:pPr>
            <w:r>
              <w:rPr>
                <w:rFonts w:ascii="Arial" w:cs="Arial" w:eastAsia="Arial" w:hAnsi="Arial"/>
                <w:sz w:val="14"/>
                <w:szCs w:val="14"/>
                <w:color w:val="51555C"/>
              </w:rPr>
              <w:t>Compensation Committee Interlocks and Insider Participation</w:t>
            </w:r>
          </w:p>
        </w:tc>
        <w:tc>
          <w:tcPr>
            <w:tcW w:w="820" w:type="dxa"/>
            <w:vAlign w:val="bottom"/>
          </w:tcPr>
          <w:p>
            <w:pPr>
              <w:jc w:val="right"/>
              <w:spacing w:after="0"/>
              <w:rPr>
                <w:sz w:val="20"/>
                <w:szCs w:val="20"/>
                <w:color w:val="auto"/>
              </w:rPr>
            </w:pPr>
            <w:r>
              <w:rPr>
                <w:rFonts w:ascii="Arial" w:cs="Arial" w:eastAsia="Arial" w:hAnsi="Arial"/>
                <w:sz w:val="14"/>
                <w:szCs w:val="14"/>
                <w:color w:val="51555C"/>
              </w:rPr>
              <w:t>52</w:t>
            </w:r>
          </w:p>
        </w:tc>
      </w:tr>
      <w:tr>
        <w:trPr>
          <w:trHeight w:val="230"/>
        </w:trPr>
        <w:tc>
          <w:tcPr>
            <w:tcW w:w="10420" w:type="dxa"/>
            <w:vAlign w:val="bottom"/>
          </w:tcPr>
          <w:p>
            <w:pPr>
              <w:ind w:left="20"/>
              <w:spacing w:after="0"/>
              <w:rPr>
                <w:sz w:val="20"/>
                <w:szCs w:val="20"/>
                <w:color w:val="auto"/>
              </w:rPr>
            </w:pPr>
            <w:r>
              <w:rPr>
                <w:rFonts w:ascii="Arial" w:cs="Arial" w:eastAsia="Arial" w:hAnsi="Arial"/>
                <w:sz w:val="14"/>
                <w:szCs w:val="14"/>
                <w:color w:val="51555C"/>
              </w:rPr>
              <w:t>Compensation Tables</w:t>
            </w:r>
          </w:p>
        </w:tc>
        <w:tc>
          <w:tcPr>
            <w:tcW w:w="820" w:type="dxa"/>
            <w:vAlign w:val="bottom"/>
          </w:tcPr>
          <w:p>
            <w:pPr>
              <w:jc w:val="right"/>
              <w:spacing w:after="0"/>
              <w:rPr>
                <w:sz w:val="20"/>
                <w:szCs w:val="20"/>
                <w:color w:val="auto"/>
              </w:rPr>
            </w:pPr>
            <w:r>
              <w:rPr>
                <w:rFonts w:ascii="Arial" w:cs="Arial" w:eastAsia="Arial" w:hAnsi="Arial"/>
                <w:sz w:val="14"/>
                <w:szCs w:val="14"/>
                <w:color w:val="51555C"/>
              </w:rPr>
              <w:t>53</w:t>
            </w:r>
          </w:p>
        </w:tc>
      </w:tr>
      <w:tr>
        <w:trPr>
          <w:trHeight w:val="230"/>
        </w:trPr>
        <w:tc>
          <w:tcPr>
            <w:tcW w:w="10420" w:type="dxa"/>
            <w:vAlign w:val="bottom"/>
          </w:tcPr>
          <w:p>
            <w:pPr>
              <w:ind w:left="20"/>
              <w:spacing w:after="0"/>
              <w:rPr>
                <w:sz w:val="20"/>
                <w:szCs w:val="20"/>
                <w:color w:val="auto"/>
              </w:rPr>
            </w:pPr>
            <w:r>
              <w:rPr>
                <w:rFonts w:ascii="Arial" w:cs="Arial" w:eastAsia="Arial" w:hAnsi="Arial"/>
                <w:sz w:val="14"/>
                <w:szCs w:val="14"/>
                <w:color w:val="51555C"/>
              </w:rPr>
              <w:t>Pay Versus Performance</w:t>
            </w:r>
          </w:p>
        </w:tc>
        <w:tc>
          <w:tcPr>
            <w:tcW w:w="820" w:type="dxa"/>
            <w:vAlign w:val="bottom"/>
          </w:tcPr>
          <w:p>
            <w:pPr>
              <w:jc w:val="right"/>
              <w:spacing w:after="0"/>
              <w:rPr>
                <w:sz w:val="20"/>
                <w:szCs w:val="20"/>
                <w:color w:val="auto"/>
              </w:rPr>
            </w:pPr>
            <w:r>
              <w:rPr>
                <w:rFonts w:ascii="Arial" w:cs="Arial" w:eastAsia="Arial" w:hAnsi="Arial"/>
                <w:sz w:val="14"/>
                <w:szCs w:val="14"/>
                <w:color w:val="51555C"/>
              </w:rPr>
              <w:t>59</w:t>
            </w:r>
          </w:p>
        </w:tc>
      </w:tr>
      <w:tr>
        <w:trPr>
          <w:trHeight w:val="230"/>
        </w:trPr>
        <w:tc>
          <w:tcPr>
            <w:tcW w:w="10420" w:type="dxa"/>
            <w:vAlign w:val="bottom"/>
          </w:tcPr>
          <w:p>
            <w:pPr>
              <w:ind w:left="20"/>
              <w:spacing w:after="0"/>
              <w:rPr>
                <w:sz w:val="20"/>
                <w:szCs w:val="20"/>
                <w:color w:val="auto"/>
              </w:rPr>
            </w:pPr>
            <w:r>
              <w:rPr>
                <w:rFonts w:ascii="Arial" w:cs="Arial" w:eastAsia="Arial" w:hAnsi="Arial"/>
                <w:sz w:val="14"/>
                <w:szCs w:val="14"/>
                <w:color w:val="51555C"/>
              </w:rPr>
              <w:t>Nonqualified Deferred Compensation and Retirement Plans</w:t>
            </w:r>
          </w:p>
        </w:tc>
        <w:tc>
          <w:tcPr>
            <w:tcW w:w="820" w:type="dxa"/>
            <w:vAlign w:val="bottom"/>
          </w:tcPr>
          <w:p>
            <w:pPr>
              <w:jc w:val="right"/>
              <w:spacing w:after="0"/>
              <w:rPr>
                <w:sz w:val="20"/>
                <w:szCs w:val="20"/>
                <w:color w:val="auto"/>
              </w:rPr>
            </w:pPr>
            <w:r>
              <w:rPr>
                <w:rFonts w:ascii="Arial" w:cs="Arial" w:eastAsia="Arial" w:hAnsi="Arial"/>
                <w:sz w:val="14"/>
                <w:szCs w:val="14"/>
                <w:color w:val="51555C"/>
              </w:rPr>
              <w:t>61</w:t>
            </w:r>
          </w:p>
        </w:tc>
      </w:tr>
      <w:tr>
        <w:trPr>
          <w:trHeight w:val="229"/>
        </w:trPr>
        <w:tc>
          <w:tcPr>
            <w:tcW w:w="10420" w:type="dxa"/>
            <w:vAlign w:val="bottom"/>
          </w:tcPr>
          <w:p>
            <w:pPr>
              <w:ind w:left="20"/>
              <w:spacing w:after="0"/>
              <w:rPr>
                <w:sz w:val="20"/>
                <w:szCs w:val="20"/>
                <w:color w:val="auto"/>
              </w:rPr>
            </w:pPr>
            <w:r>
              <w:rPr>
                <w:rFonts w:ascii="Arial" w:cs="Arial" w:eastAsia="Arial" w:hAnsi="Arial"/>
                <w:sz w:val="14"/>
                <w:szCs w:val="14"/>
                <w:color w:val="51555C"/>
              </w:rPr>
              <w:t>Potential Payments Upon Termination or Change in Control</w:t>
            </w:r>
          </w:p>
        </w:tc>
        <w:tc>
          <w:tcPr>
            <w:tcW w:w="820" w:type="dxa"/>
            <w:vAlign w:val="bottom"/>
          </w:tcPr>
          <w:p>
            <w:pPr>
              <w:jc w:val="right"/>
              <w:spacing w:after="0"/>
              <w:rPr>
                <w:sz w:val="20"/>
                <w:szCs w:val="20"/>
                <w:color w:val="auto"/>
              </w:rPr>
            </w:pPr>
            <w:r>
              <w:rPr>
                <w:rFonts w:ascii="Arial" w:cs="Arial" w:eastAsia="Arial" w:hAnsi="Arial"/>
                <w:sz w:val="14"/>
                <w:szCs w:val="14"/>
                <w:color w:val="51555C"/>
              </w:rPr>
              <w:t>62</w:t>
            </w:r>
          </w:p>
        </w:tc>
      </w:tr>
      <w:tr>
        <w:trPr>
          <w:trHeight w:val="230"/>
        </w:trPr>
        <w:tc>
          <w:tcPr>
            <w:tcW w:w="10420" w:type="dxa"/>
            <w:vAlign w:val="bottom"/>
          </w:tcPr>
          <w:p>
            <w:pPr>
              <w:ind w:left="20"/>
              <w:spacing w:after="0"/>
              <w:rPr>
                <w:sz w:val="20"/>
                <w:szCs w:val="20"/>
                <w:color w:val="auto"/>
              </w:rPr>
            </w:pPr>
            <w:r>
              <w:rPr>
                <w:rFonts w:ascii="Arial" w:cs="Arial" w:eastAsia="Arial" w:hAnsi="Arial"/>
                <w:sz w:val="14"/>
                <w:szCs w:val="14"/>
                <w:color w:val="51555C"/>
              </w:rPr>
              <w:t>CEO Pay Ratio</w:t>
            </w:r>
          </w:p>
        </w:tc>
        <w:tc>
          <w:tcPr>
            <w:tcW w:w="820" w:type="dxa"/>
            <w:vAlign w:val="bottom"/>
          </w:tcPr>
          <w:p>
            <w:pPr>
              <w:jc w:val="right"/>
              <w:spacing w:after="0"/>
              <w:rPr>
                <w:sz w:val="20"/>
                <w:szCs w:val="20"/>
                <w:color w:val="auto"/>
              </w:rPr>
            </w:pPr>
            <w:r>
              <w:rPr>
                <w:rFonts w:ascii="Arial" w:cs="Arial" w:eastAsia="Arial" w:hAnsi="Arial"/>
                <w:sz w:val="14"/>
                <w:szCs w:val="14"/>
                <w:color w:val="51555C"/>
              </w:rPr>
              <w:t>67</w:t>
            </w:r>
          </w:p>
        </w:tc>
      </w:tr>
      <w:tr>
        <w:trPr>
          <w:trHeight w:val="257"/>
        </w:trPr>
        <w:tc>
          <w:tcPr>
            <w:tcW w:w="10420" w:type="dxa"/>
            <w:vAlign w:val="bottom"/>
          </w:tcPr>
          <w:p>
            <w:pPr>
              <w:ind w:left="20"/>
              <w:spacing w:after="0"/>
              <w:rPr>
                <w:sz w:val="20"/>
                <w:szCs w:val="20"/>
                <w:color w:val="auto"/>
              </w:rPr>
            </w:pPr>
            <w:r>
              <w:rPr>
                <w:rFonts w:ascii="Arial" w:cs="Arial" w:eastAsia="Arial" w:hAnsi="Arial"/>
                <w:sz w:val="16"/>
                <w:szCs w:val="16"/>
                <w:b w:val="1"/>
                <w:bCs w:val="1"/>
                <w:color w:val="006880"/>
              </w:rPr>
              <w:t>Proposal 2</w:t>
            </w:r>
            <w:r>
              <w:rPr>
                <w:rFonts w:ascii="Arial" w:cs="Arial" w:eastAsia="Arial" w:hAnsi="Arial"/>
                <w:sz w:val="16"/>
                <w:szCs w:val="16"/>
                <w:b w:val="1"/>
                <w:bCs w:val="1"/>
                <w:color w:val="51555C"/>
              </w:rPr>
              <w:t>—Approval of the Amendment and Restatement of the Blackbaud, Inc. 2016 Equity and Incentive Compensation Plan</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51555C"/>
              </w:rPr>
              <w:t>68</w:t>
            </w:r>
          </w:p>
        </w:tc>
      </w:tr>
      <w:tr>
        <w:trPr>
          <w:trHeight w:val="215"/>
        </w:trPr>
        <w:tc>
          <w:tcPr>
            <w:tcW w:w="10420" w:type="dxa"/>
            <w:vAlign w:val="bottom"/>
          </w:tcPr>
          <w:p>
            <w:pPr>
              <w:ind w:left="20"/>
              <w:spacing w:after="0"/>
              <w:rPr>
                <w:sz w:val="20"/>
                <w:szCs w:val="20"/>
                <w:color w:val="auto"/>
              </w:rPr>
            </w:pPr>
            <w:r>
              <w:rPr>
                <w:rFonts w:ascii="Arial" w:cs="Arial" w:eastAsia="Arial" w:hAnsi="Arial"/>
                <w:sz w:val="14"/>
                <w:szCs w:val="14"/>
                <w:color w:val="51555C"/>
              </w:rPr>
              <w:t>Equity Compensation Plan Information</w:t>
            </w:r>
          </w:p>
        </w:tc>
        <w:tc>
          <w:tcPr>
            <w:tcW w:w="820" w:type="dxa"/>
            <w:vAlign w:val="bottom"/>
          </w:tcPr>
          <w:p>
            <w:pPr>
              <w:jc w:val="right"/>
              <w:spacing w:after="0"/>
              <w:rPr>
                <w:sz w:val="20"/>
                <w:szCs w:val="20"/>
                <w:color w:val="auto"/>
              </w:rPr>
            </w:pPr>
            <w:r>
              <w:rPr>
                <w:rFonts w:ascii="Arial" w:cs="Arial" w:eastAsia="Arial" w:hAnsi="Arial"/>
                <w:sz w:val="14"/>
                <w:szCs w:val="14"/>
                <w:color w:val="51555C"/>
              </w:rPr>
              <w:t>78</w:t>
            </w:r>
          </w:p>
        </w:tc>
      </w:tr>
      <w:tr>
        <w:trPr>
          <w:trHeight w:val="339"/>
        </w:trPr>
        <w:tc>
          <w:tcPr>
            <w:tcW w:w="1042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004054"/>
              </w:rPr>
              <w:t>AUDIT MATTERS</w:t>
            </w:r>
          </w:p>
        </w:tc>
        <w:tc>
          <w:tcPr>
            <w:tcW w:w="820" w:type="dxa"/>
            <w:vAlign w:val="bottom"/>
            <w:tcBorders>
              <w:bottom w:val="single" w:sz="8" w:color="0CD973"/>
            </w:tcBorders>
          </w:tcPr>
          <w:p>
            <w:pPr>
              <w:jc w:val="right"/>
              <w:spacing w:after="0"/>
              <w:rPr>
                <w:sz w:val="20"/>
                <w:szCs w:val="20"/>
                <w:color w:val="auto"/>
              </w:rPr>
            </w:pPr>
            <w:r>
              <w:rPr>
                <w:rFonts w:ascii="Arial" w:cs="Arial" w:eastAsia="Arial" w:hAnsi="Arial"/>
                <w:sz w:val="18"/>
                <w:szCs w:val="18"/>
                <w:b w:val="1"/>
                <w:bCs w:val="1"/>
                <w:color w:val="004054"/>
              </w:rPr>
              <w:t>79</w:t>
            </w:r>
          </w:p>
        </w:tc>
      </w:tr>
      <w:tr>
        <w:trPr>
          <w:trHeight w:val="235"/>
        </w:trPr>
        <w:tc>
          <w:tcPr>
            <w:tcW w:w="10420" w:type="dxa"/>
            <w:vAlign w:val="bottom"/>
          </w:tcPr>
          <w:p>
            <w:pPr>
              <w:ind w:left="20"/>
              <w:spacing w:after="0"/>
              <w:rPr>
                <w:sz w:val="20"/>
                <w:szCs w:val="20"/>
                <w:color w:val="auto"/>
              </w:rPr>
            </w:pPr>
            <w:r>
              <w:rPr>
                <w:rFonts w:ascii="Arial" w:cs="Arial" w:eastAsia="Arial" w:hAnsi="Arial"/>
                <w:sz w:val="16"/>
                <w:szCs w:val="16"/>
                <w:b w:val="1"/>
                <w:bCs w:val="1"/>
                <w:color w:val="006880"/>
              </w:rPr>
              <w:t>Proposal 3</w:t>
            </w:r>
            <w:r>
              <w:rPr>
                <w:rFonts w:ascii="Arial" w:cs="Arial" w:eastAsia="Arial" w:hAnsi="Arial"/>
                <w:sz w:val="16"/>
                <w:szCs w:val="16"/>
                <w:b w:val="1"/>
                <w:bCs w:val="1"/>
                <w:color w:val="51555C"/>
              </w:rPr>
              <w:t>—Ratification of the Appointment of Independent Registered Public Accounting Firm</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51555C"/>
              </w:rPr>
              <w:t>79</w:t>
            </w:r>
          </w:p>
        </w:tc>
      </w:tr>
      <w:tr>
        <w:trPr>
          <w:trHeight w:val="215"/>
        </w:trPr>
        <w:tc>
          <w:tcPr>
            <w:tcW w:w="10420" w:type="dxa"/>
            <w:vAlign w:val="bottom"/>
          </w:tcPr>
          <w:p>
            <w:pPr>
              <w:ind w:left="20"/>
              <w:spacing w:after="0"/>
              <w:rPr>
                <w:sz w:val="20"/>
                <w:szCs w:val="20"/>
                <w:color w:val="auto"/>
              </w:rPr>
            </w:pPr>
            <w:r>
              <w:rPr>
                <w:rFonts w:ascii="Arial" w:cs="Arial" w:eastAsia="Arial" w:hAnsi="Arial"/>
                <w:sz w:val="14"/>
                <w:szCs w:val="14"/>
                <w:color w:val="51555C"/>
              </w:rPr>
              <w:t>Audit Committee Report</w:t>
            </w:r>
          </w:p>
        </w:tc>
        <w:tc>
          <w:tcPr>
            <w:tcW w:w="820" w:type="dxa"/>
            <w:vAlign w:val="bottom"/>
          </w:tcPr>
          <w:p>
            <w:pPr>
              <w:jc w:val="right"/>
              <w:spacing w:after="0"/>
              <w:rPr>
                <w:sz w:val="20"/>
                <w:szCs w:val="20"/>
                <w:color w:val="auto"/>
              </w:rPr>
            </w:pPr>
            <w:r>
              <w:rPr>
                <w:rFonts w:ascii="Arial" w:cs="Arial" w:eastAsia="Arial" w:hAnsi="Arial"/>
                <w:sz w:val="14"/>
                <w:szCs w:val="14"/>
                <w:color w:val="51555C"/>
              </w:rPr>
              <w:t>79</w:t>
            </w:r>
          </w:p>
        </w:tc>
      </w:tr>
      <w:tr>
        <w:trPr>
          <w:trHeight w:val="339"/>
        </w:trPr>
        <w:tc>
          <w:tcPr>
            <w:tcW w:w="1042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004054"/>
              </w:rPr>
              <w:t>ADDITIONAL INFORMATION</w:t>
            </w:r>
          </w:p>
        </w:tc>
        <w:tc>
          <w:tcPr>
            <w:tcW w:w="820" w:type="dxa"/>
            <w:vAlign w:val="bottom"/>
            <w:tcBorders>
              <w:bottom w:val="single" w:sz="8" w:color="0CD973"/>
            </w:tcBorders>
          </w:tcPr>
          <w:p>
            <w:pPr>
              <w:jc w:val="right"/>
              <w:spacing w:after="0"/>
              <w:rPr>
                <w:sz w:val="20"/>
                <w:szCs w:val="20"/>
                <w:color w:val="auto"/>
              </w:rPr>
            </w:pPr>
            <w:r>
              <w:rPr>
                <w:rFonts w:ascii="Arial" w:cs="Arial" w:eastAsia="Arial" w:hAnsi="Arial"/>
                <w:sz w:val="18"/>
                <w:szCs w:val="18"/>
                <w:b w:val="1"/>
                <w:bCs w:val="1"/>
                <w:color w:val="004054"/>
              </w:rPr>
              <w:t>81</w:t>
            </w:r>
          </w:p>
        </w:tc>
      </w:tr>
      <w:tr>
        <w:trPr>
          <w:trHeight w:val="208"/>
        </w:trPr>
        <w:tc>
          <w:tcPr>
            <w:tcW w:w="10420" w:type="dxa"/>
            <w:vAlign w:val="bottom"/>
          </w:tcPr>
          <w:p>
            <w:pPr>
              <w:ind w:left="20"/>
              <w:spacing w:after="0"/>
              <w:rPr>
                <w:sz w:val="20"/>
                <w:szCs w:val="20"/>
                <w:color w:val="auto"/>
              </w:rPr>
            </w:pPr>
            <w:r>
              <w:rPr>
                <w:rFonts w:ascii="Arial" w:cs="Arial" w:eastAsia="Arial" w:hAnsi="Arial"/>
                <w:sz w:val="14"/>
                <w:szCs w:val="14"/>
                <w:color w:val="51555C"/>
              </w:rPr>
              <w:t>Questions and Answers about the 2026 Annual Meeting of Stockholders</w:t>
            </w:r>
          </w:p>
        </w:tc>
        <w:tc>
          <w:tcPr>
            <w:tcW w:w="82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229"/>
        </w:trPr>
        <w:tc>
          <w:tcPr>
            <w:tcW w:w="10420" w:type="dxa"/>
            <w:vAlign w:val="bottom"/>
          </w:tcPr>
          <w:p>
            <w:pPr>
              <w:ind w:left="20"/>
              <w:spacing w:after="0"/>
              <w:rPr>
                <w:sz w:val="20"/>
                <w:szCs w:val="20"/>
                <w:color w:val="auto"/>
              </w:rPr>
            </w:pPr>
            <w:r>
              <w:rPr>
                <w:rFonts w:ascii="Arial" w:cs="Arial" w:eastAsia="Arial" w:hAnsi="Arial"/>
                <w:sz w:val="14"/>
                <w:szCs w:val="14"/>
                <w:color w:val="51555C"/>
              </w:rPr>
              <w:t>Stockholder Proposals</w:t>
            </w:r>
          </w:p>
        </w:tc>
        <w:tc>
          <w:tcPr>
            <w:tcW w:w="820" w:type="dxa"/>
            <w:vAlign w:val="bottom"/>
          </w:tcPr>
          <w:p>
            <w:pPr>
              <w:jc w:val="right"/>
              <w:spacing w:after="0"/>
              <w:rPr>
                <w:sz w:val="20"/>
                <w:szCs w:val="20"/>
                <w:color w:val="auto"/>
              </w:rPr>
            </w:pPr>
            <w:r>
              <w:rPr>
                <w:rFonts w:ascii="Arial" w:cs="Arial" w:eastAsia="Arial" w:hAnsi="Arial"/>
                <w:sz w:val="14"/>
                <w:szCs w:val="14"/>
                <w:color w:val="51555C"/>
              </w:rPr>
              <w:t>83</w:t>
            </w:r>
          </w:p>
        </w:tc>
      </w:tr>
      <w:tr>
        <w:trPr>
          <w:trHeight w:val="230"/>
        </w:trPr>
        <w:tc>
          <w:tcPr>
            <w:tcW w:w="10420" w:type="dxa"/>
            <w:vAlign w:val="bottom"/>
          </w:tcPr>
          <w:p>
            <w:pPr>
              <w:ind w:left="20"/>
              <w:spacing w:after="0"/>
              <w:rPr>
                <w:sz w:val="20"/>
                <w:szCs w:val="20"/>
                <w:color w:val="auto"/>
              </w:rPr>
            </w:pPr>
            <w:r>
              <w:rPr>
                <w:rFonts w:ascii="Arial" w:cs="Arial" w:eastAsia="Arial" w:hAnsi="Arial"/>
                <w:sz w:val="14"/>
                <w:szCs w:val="14"/>
                <w:color w:val="51555C"/>
              </w:rPr>
              <w:t>Delivery of Documents to Stockholders Sharing an Address</w:t>
            </w:r>
          </w:p>
        </w:tc>
        <w:tc>
          <w:tcPr>
            <w:tcW w:w="820" w:type="dxa"/>
            <w:vAlign w:val="bottom"/>
          </w:tcPr>
          <w:p>
            <w:pPr>
              <w:jc w:val="right"/>
              <w:spacing w:after="0"/>
              <w:rPr>
                <w:sz w:val="20"/>
                <w:szCs w:val="20"/>
                <w:color w:val="auto"/>
              </w:rPr>
            </w:pPr>
            <w:r>
              <w:rPr>
                <w:rFonts w:ascii="Arial" w:cs="Arial" w:eastAsia="Arial" w:hAnsi="Arial"/>
                <w:sz w:val="14"/>
                <w:szCs w:val="14"/>
                <w:color w:val="51555C"/>
              </w:rPr>
              <w:t>84</w:t>
            </w:r>
          </w:p>
        </w:tc>
      </w:tr>
      <w:tr>
        <w:trPr>
          <w:trHeight w:val="230"/>
        </w:trPr>
        <w:tc>
          <w:tcPr>
            <w:tcW w:w="10420" w:type="dxa"/>
            <w:vAlign w:val="bottom"/>
          </w:tcPr>
          <w:p>
            <w:pPr>
              <w:ind w:left="20"/>
              <w:spacing w:after="0"/>
              <w:rPr>
                <w:sz w:val="20"/>
                <w:szCs w:val="20"/>
                <w:color w:val="auto"/>
              </w:rPr>
            </w:pPr>
            <w:r>
              <w:rPr>
                <w:rFonts w:ascii="Arial" w:cs="Arial" w:eastAsia="Arial" w:hAnsi="Arial"/>
                <w:sz w:val="14"/>
                <w:szCs w:val="14"/>
                <w:color w:val="51555C"/>
              </w:rPr>
              <w:t>Annual Report on Form 10-K</w:t>
            </w:r>
          </w:p>
        </w:tc>
        <w:tc>
          <w:tcPr>
            <w:tcW w:w="820" w:type="dxa"/>
            <w:vAlign w:val="bottom"/>
          </w:tcPr>
          <w:p>
            <w:pPr>
              <w:jc w:val="right"/>
              <w:spacing w:after="0"/>
              <w:rPr>
                <w:sz w:val="20"/>
                <w:szCs w:val="20"/>
                <w:color w:val="auto"/>
              </w:rPr>
            </w:pPr>
            <w:r>
              <w:rPr>
                <w:rFonts w:ascii="Arial" w:cs="Arial" w:eastAsia="Arial" w:hAnsi="Arial"/>
                <w:sz w:val="14"/>
                <w:szCs w:val="14"/>
                <w:color w:val="51555C"/>
              </w:rPr>
              <w:t>84</w:t>
            </w:r>
          </w:p>
        </w:tc>
      </w:tr>
      <w:tr>
        <w:trPr>
          <w:trHeight w:val="230"/>
        </w:trPr>
        <w:tc>
          <w:tcPr>
            <w:tcW w:w="10420" w:type="dxa"/>
            <w:vAlign w:val="bottom"/>
          </w:tcPr>
          <w:p>
            <w:pPr>
              <w:ind w:left="20"/>
              <w:spacing w:after="0"/>
              <w:rPr>
                <w:sz w:val="20"/>
                <w:szCs w:val="20"/>
                <w:color w:val="auto"/>
              </w:rPr>
            </w:pPr>
            <w:r>
              <w:rPr>
                <w:rFonts w:ascii="Arial" w:cs="Arial" w:eastAsia="Arial" w:hAnsi="Arial"/>
                <w:sz w:val="14"/>
                <w:szCs w:val="14"/>
                <w:color w:val="51555C"/>
              </w:rPr>
              <w:t>Other Matters</w:t>
            </w:r>
          </w:p>
        </w:tc>
        <w:tc>
          <w:tcPr>
            <w:tcW w:w="820" w:type="dxa"/>
            <w:vAlign w:val="bottom"/>
          </w:tcPr>
          <w:p>
            <w:pPr>
              <w:jc w:val="right"/>
              <w:spacing w:after="0"/>
              <w:rPr>
                <w:sz w:val="20"/>
                <w:szCs w:val="20"/>
                <w:color w:val="auto"/>
              </w:rPr>
            </w:pPr>
            <w:r>
              <w:rPr>
                <w:rFonts w:ascii="Arial" w:cs="Arial" w:eastAsia="Arial" w:hAnsi="Arial"/>
                <w:sz w:val="14"/>
                <w:szCs w:val="14"/>
                <w:color w:val="51555C"/>
              </w:rPr>
              <w:t>84</w:t>
            </w:r>
          </w:p>
        </w:tc>
      </w:tr>
      <w:tr>
        <w:trPr>
          <w:trHeight w:val="339"/>
        </w:trPr>
        <w:tc>
          <w:tcPr>
            <w:tcW w:w="1042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004054"/>
              </w:rPr>
              <w:t>APPENDICES</w:t>
            </w:r>
          </w:p>
        </w:tc>
        <w:tc>
          <w:tcPr>
            <w:tcW w:w="820" w:type="dxa"/>
            <w:vAlign w:val="bottom"/>
            <w:tcBorders>
              <w:bottom w:val="single" w:sz="8" w:color="0CD973"/>
            </w:tcBorders>
          </w:tcPr>
          <w:p>
            <w:pPr>
              <w:jc w:val="right"/>
              <w:spacing w:after="0"/>
              <w:rPr>
                <w:sz w:val="20"/>
                <w:szCs w:val="20"/>
                <w:color w:val="auto"/>
              </w:rPr>
            </w:pPr>
            <w:r>
              <w:rPr>
                <w:rFonts w:ascii="Arial" w:cs="Arial" w:eastAsia="Arial" w:hAnsi="Arial"/>
                <w:sz w:val="18"/>
                <w:szCs w:val="18"/>
                <w:b w:val="1"/>
                <w:bCs w:val="1"/>
                <w:color w:val="004054"/>
              </w:rPr>
              <w:t>85</w:t>
            </w:r>
          </w:p>
        </w:tc>
      </w:tr>
      <w:tr>
        <w:trPr>
          <w:trHeight w:val="208"/>
        </w:trPr>
        <w:tc>
          <w:tcPr>
            <w:tcW w:w="10420" w:type="dxa"/>
            <w:vAlign w:val="bottom"/>
          </w:tcPr>
          <w:p>
            <w:pPr>
              <w:ind w:left="20"/>
              <w:spacing w:after="0"/>
              <w:rPr>
                <w:sz w:val="20"/>
                <w:szCs w:val="20"/>
                <w:color w:val="auto"/>
              </w:rPr>
            </w:pPr>
            <w:r>
              <w:rPr>
                <w:rFonts w:ascii="Arial" w:cs="Arial" w:eastAsia="Arial" w:hAnsi="Arial"/>
                <w:sz w:val="14"/>
                <w:szCs w:val="14"/>
                <w:color w:val="51555C"/>
              </w:rPr>
              <w:t>Appendix A—Reconciliations of GAAP to non-GAAP Financial Measures</w:t>
            </w:r>
          </w:p>
        </w:tc>
        <w:tc>
          <w:tcPr>
            <w:tcW w:w="820" w:type="dxa"/>
            <w:vAlign w:val="bottom"/>
          </w:tcPr>
          <w:p>
            <w:pPr>
              <w:spacing w:after="0"/>
              <w:rPr>
                <w:sz w:val="18"/>
                <w:szCs w:val="18"/>
                <w:color w:val="auto"/>
              </w:rPr>
            </w:pPr>
          </w:p>
        </w:tc>
      </w:tr>
      <w:tr>
        <w:trPr>
          <w:trHeight w:val="230"/>
        </w:trPr>
        <w:tc>
          <w:tcPr>
            <w:tcW w:w="10420" w:type="dxa"/>
            <w:vAlign w:val="bottom"/>
          </w:tcPr>
          <w:p>
            <w:pPr>
              <w:ind w:left="20"/>
              <w:spacing w:after="0"/>
              <w:rPr>
                <w:sz w:val="20"/>
                <w:szCs w:val="20"/>
                <w:color w:val="auto"/>
              </w:rPr>
            </w:pPr>
            <w:r>
              <w:rPr>
                <w:rFonts w:ascii="Arial" w:cs="Arial" w:eastAsia="Arial" w:hAnsi="Arial"/>
                <w:sz w:val="14"/>
                <w:szCs w:val="14"/>
                <w:color w:val="51555C"/>
              </w:rPr>
              <w:t>Appendix B—Amended and Restated Blackbaud, Inc. 2016 Equity and Incentive Compensation Plan</w:t>
            </w:r>
          </w:p>
        </w:tc>
        <w:tc>
          <w:tcPr>
            <w:tcW w:w="820" w:type="dxa"/>
            <w:vAlign w:val="bottom"/>
          </w:tcPr>
          <w:p>
            <w:pPr>
              <w:spacing w:after="0"/>
              <w:rPr>
                <w:sz w:val="19"/>
                <w:szCs w:val="19"/>
                <w:color w:val="auto"/>
              </w:rPr>
            </w:pPr>
          </w:p>
        </w:tc>
      </w:tr>
      <w:tr>
        <w:trPr>
          <w:trHeight w:val="230"/>
        </w:trPr>
        <w:tc>
          <w:tcPr>
            <w:tcW w:w="10420" w:type="dxa"/>
            <w:vAlign w:val="bottom"/>
          </w:tcPr>
          <w:p>
            <w:pPr>
              <w:ind w:left="20"/>
              <w:spacing w:after="0"/>
              <w:rPr>
                <w:sz w:val="20"/>
                <w:szCs w:val="20"/>
                <w:color w:val="auto"/>
              </w:rPr>
            </w:pPr>
            <w:r>
              <w:rPr>
                <w:rFonts w:ascii="Arial" w:cs="Arial" w:eastAsia="Arial" w:hAnsi="Arial"/>
                <w:sz w:val="14"/>
                <w:szCs w:val="14"/>
                <w:color w:val="51555C"/>
              </w:rPr>
              <w:t>Appendix C—Form of Proxy Card</w:t>
            </w:r>
          </w:p>
        </w:tc>
        <w:tc>
          <w:tcPr>
            <w:tcW w:w="820" w:type="dxa"/>
            <w:vAlign w:val="bottom"/>
          </w:tcPr>
          <w:p>
            <w:pPr>
              <w:spacing w:after="0"/>
              <w:rPr>
                <w:sz w:val="19"/>
                <w:szCs w:val="19"/>
                <w:color w:val="auto"/>
              </w:rPr>
            </w:pPr>
          </w:p>
        </w:tc>
      </w:tr>
      <w:tr>
        <w:trPr>
          <w:trHeight w:val="675"/>
        </w:trPr>
        <w:tc>
          <w:tcPr>
            <w:tcW w:w="1042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820" w:type="dxa"/>
            <w:vAlign w:val="bottom"/>
          </w:tcPr>
          <w:p>
            <w:pPr>
              <w:jc w:val="right"/>
              <w:ind w:right="82"/>
              <w:spacing w:after="0"/>
              <w:rPr>
                <w:sz w:val="20"/>
                <w:szCs w:val="20"/>
                <w:color w:val="auto"/>
              </w:rPr>
            </w:pPr>
            <w:r>
              <w:rPr>
                <w:rFonts w:ascii="Arial" w:cs="Arial" w:eastAsia="Arial" w:hAnsi="Arial"/>
                <w:sz w:val="14"/>
                <w:szCs w:val="14"/>
                <w:color w:val="51555C"/>
              </w:rPr>
              <w:t>1</w:t>
            </w:r>
          </w:p>
        </w:tc>
      </w:tr>
      <w:tr>
        <w:trPr>
          <w:trHeight w:val="285"/>
        </w:trPr>
        <w:tc>
          <w:tcPr>
            <w:tcW w:w="10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-316865</wp:posOffset>
            </wp:positionV>
            <wp:extent cx="702945" cy="111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3" w:name="page4"/>
    <w:bookmarkEnd w:id="3"/>
    <w:p>
      <w:pPr>
        <w:ind w:left="10160"/>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0"/>
        <w:spacing w:after="0"/>
        <w:rPr>
          <w:sz w:val="20"/>
          <w:szCs w:val="20"/>
          <w:color w:val="auto"/>
        </w:rPr>
      </w:pPr>
      <w:r>
        <w:rPr>
          <w:sz w:val="1"/>
          <w:szCs w:val="1"/>
          <w:color w:val="auto"/>
        </w:rPr>
        <w:drawing>
          <wp:inline distT="0" distB="0" distL="0" distR="0">
            <wp:extent cx="257175" cy="2571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Arial" w:cs="Arial" w:eastAsia="Arial" w:hAnsi="Arial"/>
          <w:sz w:val="40"/>
          <w:szCs w:val="40"/>
          <w:b w:val="1"/>
          <w:bCs w:val="1"/>
          <w:color w:val="50535A"/>
        </w:rPr>
        <w:t xml:space="preserve"> LETTER TO STOCKHOLDERS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40"/>
          <w:szCs w:val="40"/>
          <w:b w:val="1"/>
          <w:bCs w:val="1"/>
          <w:color w:val="50535A"/>
        </w:rPr>
        <w:t>FROM OUR BOARD OF DIRECTORS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006880"/>
        </w:rPr>
        <w:t>Dear Blackbaud Stockholders: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As the world's leading provider of AI-powered solutions for social impact, Blackbaud serves nonprofits, educational institutions, companies committed to social responsibility, and individual change makers, fueling impact at scale. As stewards of our Company, we are committed to achieving long-term performance and delivering stockholder value through a strong business model and strategy. The Board of Directors is pleased with the Company’s progress over the past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51555C"/>
        </w:rPr>
        <w:t>In 2025, Blackbaud:</w:t>
      </w:r>
    </w:p>
    <w:p>
      <w:pPr>
        <w:spacing w:after="0" w:line="63" w:lineRule="exact"/>
        <w:rPr>
          <w:sz w:val="20"/>
          <w:szCs w:val="20"/>
          <w:color w:val="auto"/>
        </w:rPr>
      </w:pPr>
    </w:p>
    <w:p>
      <w:pPr>
        <w:jc w:val="both"/>
        <w:ind w:left="500" w:hanging="168"/>
        <w:spacing w:after="0" w:line="262" w:lineRule="auto"/>
        <w:tabs>
          <w:tab w:leader="none" w:pos="468" w:val="left"/>
        </w:tabs>
        <w:numPr>
          <w:ilvl w:val="0"/>
          <w:numId w:val="6"/>
        </w:numPr>
        <w:rPr>
          <w:rFonts w:ascii="Arial" w:cs="Arial" w:eastAsia="Arial" w:hAnsi="Arial"/>
          <w:sz w:val="18"/>
          <w:szCs w:val="18"/>
          <w:color w:val="51555C"/>
        </w:rPr>
      </w:pPr>
      <w:r>
        <w:rPr>
          <w:rFonts w:ascii="Arial" w:cs="Arial" w:eastAsia="Arial" w:hAnsi="Arial"/>
          <w:sz w:val="18"/>
          <w:szCs w:val="18"/>
          <w:color w:val="51555C"/>
        </w:rPr>
        <w:t>Extended our position as the market leader, providing the sector's most intelligent solutions for fundraising and engagement, education solutions, financial management and CSR and grantmaking. With Blackbaud AI, we are transforming our products from systems of record into systems of intelligent action, helping our customers achieve more connection, unlock more possibilities, and gain more confidence in their use of technology to drive mission impact;</w:t>
      </w:r>
    </w:p>
    <w:p>
      <w:pPr>
        <w:spacing w:after="0" w:line="14" w:lineRule="exact"/>
        <w:rPr>
          <w:rFonts w:ascii="Arial" w:cs="Arial" w:eastAsia="Arial" w:hAnsi="Arial"/>
          <w:sz w:val="18"/>
          <w:szCs w:val="18"/>
          <w:color w:val="51555C"/>
        </w:rPr>
      </w:pPr>
    </w:p>
    <w:p>
      <w:pPr>
        <w:ind w:left="500" w:hanging="168"/>
        <w:spacing w:after="0" w:line="281" w:lineRule="auto"/>
        <w:tabs>
          <w:tab w:leader="none" w:pos="468" w:val="left"/>
        </w:tabs>
        <w:numPr>
          <w:ilvl w:val="0"/>
          <w:numId w:val="6"/>
        </w:numPr>
        <w:rPr>
          <w:rFonts w:ascii="Arial" w:cs="Arial" w:eastAsia="Arial" w:hAnsi="Arial"/>
          <w:sz w:val="18"/>
          <w:szCs w:val="18"/>
          <w:color w:val="51555C"/>
        </w:rPr>
      </w:pPr>
      <w:r>
        <w:rPr>
          <w:rFonts w:ascii="Arial" w:cs="Arial" w:eastAsia="Arial" w:hAnsi="Arial"/>
          <w:sz w:val="18"/>
          <w:szCs w:val="18"/>
          <w:color w:val="51555C"/>
        </w:rPr>
        <w:t>Announced Agents for Good™, our agentic AI suite, designed to augment customer teams with virtual AI-driven assistants capable of autonomously executing complex workflows across fundraising, finance and corporate impact functions;</w:t>
      </w:r>
    </w:p>
    <w:p>
      <w:pPr>
        <w:spacing w:after="0" w:line="1" w:lineRule="exact"/>
        <w:rPr>
          <w:rFonts w:ascii="Arial" w:cs="Arial" w:eastAsia="Arial" w:hAnsi="Arial"/>
          <w:sz w:val="18"/>
          <w:szCs w:val="18"/>
          <w:color w:val="51555C"/>
        </w:rPr>
      </w:pPr>
    </w:p>
    <w:p>
      <w:pPr>
        <w:ind w:left="460" w:hanging="128"/>
        <w:spacing w:after="0"/>
        <w:tabs>
          <w:tab w:leader="none" w:pos="460" w:val="left"/>
        </w:tabs>
        <w:numPr>
          <w:ilvl w:val="0"/>
          <w:numId w:val="6"/>
        </w:numPr>
        <w:rPr>
          <w:rFonts w:ascii="Arial" w:cs="Arial" w:eastAsia="Arial" w:hAnsi="Arial"/>
          <w:sz w:val="18"/>
          <w:szCs w:val="18"/>
          <w:color w:val="51555C"/>
        </w:rPr>
      </w:pPr>
      <w:r>
        <w:rPr>
          <w:rFonts w:ascii="Arial" w:cs="Arial" w:eastAsia="Arial" w:hAnsi="Arial"/>
          <w:sz w:val="18"/>
          <w:szCs w:val="18"/>
          <w:color w:val="51555C"/>
        </w:rPr>
        <w:t>Achieved full-year Rule of 40* for the first time and two years ahead of expectations;</w:t>
      </w:r>
    </w:p>
    <w:p>
      <w:pPr>
        <w:spacing w:after="0" w:line="63" w:lineRule="exact"/>
        <w:rPr>
          <w:rFonts w:ascii="Arial" w:cs="Arial" w:eastAsia="Arial" w:hAnsi="Arial"/>
          <w:sz w:val="18"/>
          <w:szCs w:val="18"/>
          <w:color w:val="51555C"/>
        </w:rPr>
      </w:pPr>
    </w:p>
    <w:p>
      <w:pPr>
        <w:jc w:val="both"/>
        <w:ind w:left="500" w:right="20" w:hanging="168"/>
        <w:spacing w:after="0" w:line="268" w:lineRule="auto"/>
        <w:tabs>
          <w:tab w:leader="none" w:pos="468" w:val="left"/>
        </w:tabs>
        <w:numPr>
          <w:ilvl w:val="0"/>
          <w:numId w:val="6"/>
        </w:numPr>
        <w:rPr>
          <w:rFonts w:ascii="Arial" w:cs="Arial" w:eastAsia="Arial" w:hAnsi="Arial"/>
          <w:sz w:val="18"/>
          <w:szCs w:val="18"/>
          <w:color w:val="51555C"/>
        </w:rPr>
      </w:pPr>
      <w:r>
        <w:rPr>
          <w:rFonts w:ascii="Arial" w:cs="Arial" w:eastAsia="Arial" w:hAnsi="Arial"/>
          <w:sz w:val="18"/>
          <w:szCs w:val="18"/>
          <w:color w:val="51555C"/>
        </w:rPr>
        <w:t>Delivered solid financial performance, including organic recurring revenue growth of 5.8% which reflects our continued growth in transactional revenue from donation processing, consumer giving and tuition management and growth in contractual revenue due to the positive impact of our pricing initiatives and new subscription sales of our cloud solutions; and</w:t>
      </w:r>
    </w:p>
    <w:p>
      <w:pPr>
        <w:spacing w:after="0" w:line="8" w:lineRule="exact"/>
        <w:rPr>
          <w:rFonts w:ascii="Arial" w:cs="Arial" w:eastAsia="Arial" w:hAnsi="Arial"/>
          <w:sz w:val="18"/>
          <w:szCs w:val="18"/>
          <w:color w:val="51555C"/>
        </w:rPr>
      </w:pPr>
    </w:p>
    <w:p>
      <w:pPr>
        <w:ind w:left="500" w:right="20" w:hanging="168"/>
        <w:spacing w:after="0" w:line="287" w:lineRule="auto"/>
        <w:tabs>
          <w:tab w:leader="none" w:pos="468" w:val="left"/>
        </w:tabs>
        <w:numPr>
          <w:ilvl w:val="0"/>
          <w:numId w:val="6"/>
        </w:numPr>
        <w:rPr>
          <w:rFonts w:ascii="Arial" w:cs="Arial" w:eastAsia="Arial" w:hAnsi="Arial"/>
          <w:sz w:val="18"/>
          <w:szCs w:val="18"/>
          <w:color w:val="51555C"/>
        </w:rPr>
      </w:pPr>
      <w:r>
        <w:rPr>
          <w:rFonts w:ascii="Arial" w:cs="Arial" w:eastAsia="Arial" w:hAnsi="Arial"/>
          <w:sz w:val="18"/>
          <w:szCs w:val="18"/>
          <w:color w:val="51555C"/>
        </w:rPr>
        <w:t>Repurchased approximately 7.9% of common stock that was outstanding as of December 31, 2024, including the net share settlement on employee stock-based compensation.</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As we look ahead, we expect mid-single digit organic revenue growth, driven by visible and full recurring revenue streams targeting both new logos and the expansion of our installed base empowered by innovation. We continue to expect a strong focus on cost management and productivity to improve profitability. Additionally, our strong free cash flow generation will drive a purposeful capital allocation strategy in 2026 and beyond, with a plan to buy back in 2026 5% to 10% of the Company's common stock outstanding as of December 31, 2025. We are confident in the outlook for Blackbaud and we expect to deliver significant, enhanced stockholder value.</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We remain committed to continuous and transparent stockholder communication and engagement to better understand your views on the Company's strategy and performance as well as our executive compensation program. In 2025, as we do every year, we reviewed our executive compensation program with our Compensation Committee’s independent compensation consultant, Compensia, Inc., and evaluated our program against our industry peers.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Our compensation decisions, including the continued practice of granting annual equity awards to our executive officers that are at least 50% performance-based, reinforce our strong pay-for-performance compensation philosophy. We are committed to providing competitive, performance-based compensation opportunities to our executive officers, who collectively are responsible for making our Company successful, and we are confident that our compensation program achieves this objective.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51555C"/>
        </w:rPr>
        <w:t>We appreciate your investment in Blackbaud and value your input and continued support.</w:t>
      </w:r>
    </w:p>
    <w:p>
      <w:pPr>
        <w:spacing w:after="0" w:line="27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51555C"/>
        </w:rPr>
        <w:t>The Board of Directors of Blackbaud, Inc.</w:t>
      </w:r>
    </w:p>
    <w:p>
      <w:pPr>
        <w:spacing w:after="0" w:line="11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51555C"/>
        </w:rPr>
        <w:t>April 21, 2026</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color w:val="51555C"/>
        </w:rPr>
        <w:t>*See Appendix A for a reconciliation of non-GAAP financial measures to results reported in accordance with generally accepted accounting principles.</w:t>
      </w:r>
    </w:p>
    <w:p>
      <w:pPr>
        <w:spacing w:after="0" w:line="384" w:lineRule="exact"/>
        <w:rPr>
          <w:sz w:val="20"/>
          <w:szCs w:val="20"/>
          <w:color w:val="auto"/>
        </w:rPr>
      </w:pPr>
    </w:p>
    <w:p>
      <w:pPr>
        <w:ind w:left="180"/>
        <w:spacing w:after="0"/>
        <w:tabs>
          <w:tab w:leader="none" w:pos="514" w:val="left"/>
        </w:tabs>
        <w:rPr>
          <w:sz w:val="20"/>
          <w:szCs w:val="20"/>
          <w:color w:val="auto"/>
        </w:rPr>
      </w:pPr>
      <w:r>
        <w:rPr>
          <w:rFonts w:ascii="Arial" w:cs="Arial" w:eastAsia="Arial" w:hAnsi="Arial"/>
          <w:sz w:val="14"/>
          <w:szCs w:val="14"/>
          <w:color w:val="51555C"/>
        </w:rPr>
        <w:t>2</w:t>
      </w:r>
      <w:r>
        <w:rPr>
          <w:sz w:val="20"/>
          <w:szCs w:val="20"/>
          <w:color w:val="auto"/>
        </w:rPr>
        <w:tab/>
      </w:r>
      <w:r>
        <w:rPr>
          <w:sz w:val="1"/>
          <w:szCs w:val="1"/>
          <w:color w:val="auto"/>
        </w:rPr>
        <w:drawing>
          <wp:inline distT="0" distB="0" distL="0" distR="0">
            <wp:extent cx="70294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945" cy="111760"/>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653415</wp:posOffset>
            </wp:positionV>
            <wp:extent cx="3017520" cy="685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1752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0"/>
        <w:spacing w:after="0"/>
        <w:rPr>
          <w:sz w:val="20"/>
          <w:szCs w:val="20"/>
          <w:color w:val="auto"/>
        </w:rPr>
      </w:pPr>
      <w:r>
        <w:rPr>
          <w:sz w:val="1"/>
          <w:szCs w:val="1"/>
          <w:color w:val="auto"/>
        </w:rPr>
        <w:drawing>
          <wp:inline distT="0" distB="0" distL="0" distR="0">
            <wp:extent cx="257175" cy="2571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Arial" w:cs="Arial" w:eastAsia="Arial" w:hAnsi="Arial"/>
          <w:sz w:val="40"/>
          <w:szCs w:val="40"/>
          <w:b w:val="1"/>
          <w:bCs w:val="1"/>
          <w:color w:val="50535A"/>
        </w:rPr>
        <w:t xml:space="preserve"> NOTICE OF ANNUAL MEETING</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40"/>
          <w:szCs w:val="40"/>
          <w:b w:val="1"/>
          <w:bCs w:val="1"/>
          <w:color w:val="50535A"/>
        </w:rPr>
        <w:t>OF STOCKHOLDERS</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006880"/>
        </w:rPr>
        <w:t>Virtual Meeting</w:t>
      </w:r>
    </w:p>
    <w:p>
      <w:pPr>
        <w:spacing w:after="0" w:line="49" w:lineRule="exact"/>
        <w:rPr>
          <w:sz w:val="20"/>
          <w:szCs w:val="20"/>
          <w:color w:val="auto"/>
        </w:rPr>
      </w:pPr>
    </w:p>
    <w:p>
      <w:pPr>
        <w:spacing w:after="0"/>
        <w:rPr>
          <w:sz w:val="20"/>
          <w:szCs w:val="20"/>
          <w:color w:val="auto"/>
        </w:rPr>
      </w:pPr>
      <w:r>
        <w:rPr>
          <w:rFonts w:ascii="Arial" w:cs="Arial" w:eastAsia="Arial" w:hAnsi="Arial"/>
          <w:sz w:val="25"/>
          <w:szCs w:val="25"/>
          <w:color w:val="51555C"/>
        </w:rPr>
        <w:t>Wednesday, June 10, 2026 4:00 p.m., Eastern Time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1555C"/>
        </w:rPr>
        <w:t>Dear Blackbaud Stockholders: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The 2026 Annual Meeting of Stockholders of Blackbaud, Inc. will be a live virtual meeting held via the Internet at https://www.virtualshareholdermeeting.com/BLKB2026 on Wednesday, June 10, 2026 at 4:00 p.m., Eastern Time, to take action on the following business:</w:t>
      </w:r>
    </w:p>
    <w:p>
      <w:pPr>
        <w:spacing w:after="0" w:line="63" w:lineRule="exact"/>
        <w:rPr>
          <w:sz w:val="20"/>
          <w:szCs w:val="20"/>
          <w:color w:val="auto"/>
        </w:rPr>
      </w:pPr>
    </w:p>
    <w:p>
      <w:pPr>
        <w:ind w:left="360" w:hanging="182"/>
        <w:spacing w:after="0"/>
        <w:tabs>
          <w:tab w:leader="none" w:pos="360" w:val="left"/>
        </w:tabs>
        <w:numPr>
          <w:ilvl w:val="0"/>
          <w:numId w:val="7"/>
        </w:numPr>
        <w:rPr>
          <w:rFonts w:ascii="Arial" w:cs="Arial" w:eastAsia="Arial" w:hAnsi="Arial"/>
          <w:sz w:val="18"/>
          <w:szCs w:val="18"/>
          <w:color w:val="51555C"/>
        </w:rPr>
      </w:pPr>
      <w:r>
        <w:rPr>
          <w:rFonts w:ascii="Arial" w:cs="Arial" w:eastAsia="Arial" w:hAnsi="Arial"/>
          <w:sz w:val="18"/>
          <w:szCs w:val="18"/>
          <w:color w:val="51555C"/>
        </w:rPr>
        <w:t>To hold an advisory vote to approve the 2025 compensation of our named executive officers;</w:t>
      </w:r>
    </w:p>
    <w:p>
      <w:pPr>
        <w:spacing w:after="0" w:line="63" w:lineRule="exact"/>
        <w:rPr>
          <w:rFonts w:ascii="Arial" w:cs="Arial" w:eastAsia="Arial" w:hAnsi="Arial"/>
          <w:sz w:val="18"/>
          <w:szCs w:val="18"/>
          <w:color w:val="51555C"/>
        </w:rPr>
      </w:pPr>
    </w:p>
    <w:p>
      <w:pPr>
        <w:ind w:left="360" w:hanging="182"/>
        <w:spacing w:after="0"/>
        <w:tabs>
          <w:tab w:leader="none" w:pos="360" w:val="left"/>
        </w:tabs>
        <w:numPr>
          <w:ilvl w:val="0"/>
          <w:numId w:val="7"/>
        </w:numPr>
        <w:rPr>
          <w:rFonts w:ascii="Arial" w:cs="Arial" w:eastAsia="Arial" w:hAnsi="Arial"/>
          <w:sz w:val="18"/>
          <w:szCs w:val="18"/>
          <w:color w:val="51555C"/>
        </w:rPr>
      </w:pPr>
      <w:r>
        <w:rPr>
          <w:rFonts w:ascii="Arial" w:cs="Arial" w:eastAsia="Arial" w:hAnsi="Arial"/>
          <w:sz w:val="18"/>
          <w:szCs w:val="18"/>
          <w:color w:val="51555C"/>
        </w:rPr>
        <w:t>To approve the amendment and restatement of the Blackbaud, Inc. 2016 Equity and Incentive Compensation Plan;</w:t>
      </w:r>
    </w:p>
    <w:p>
      <w:pPr>
        <w:spacing w:after="0" w:line="63" w:lineRule="exact"/>
        <w:rPr>
          <w:rFonts w:ascii="Arial" w:cs="Arial" w:eastAsia="Arial" w:hAnsi="Arial"/>
          <w:sz w:val="18"/>
          <w:szCs w:val="18"/>
          <w:color w:val="51555C"/>
        </w:rPr>
      </w:pPr>
    </w:p>
    <w:p>
      <w:pPr>
        <w:ind w:left="360" w:right="20" w:hanging="182"/>
        <w:spacing w:after="0" w:line="281" w:lineRule="auto"/>
        <w:tabs>
          <w:tab w:leader="none" w:pos="360" w:val="left"/>
        </w:tabs>
        <w:numPr>
          <w:ilvl w:val="0"/>
          <w:numId w:val="7"/>
        </w:numPr>
        <w:rPr>
          <w:rFonts w:ascii="Arial" w:cs="Arial" w:eastAsia="Arial" w:hAnsi="Arial"/>
          <w:sz w:val="18"/>
          <w:szCs w:val="18"/>
          <w:color w:val="51555C"/>
        </w:rPr>
      </w:pPr>
      <w:r>
        <w:rPr>
          <w:rFonts w:ascii="Arial" w:cs="Arial" w:eastAsia="Arial" w:hAnsi="Arial"/>
          <w:sz w:val="18"/>
          <w:szCs w:val="18"/>
          <w:color w:val="51555C"/>
        </w:rPr>
        <w:t>To ratify the appointment of Ernst &amp; Young LLP as our independent registered public accounting firm for the fiscal year ending December 31, 2026; and</w:t>
      </w:r>
    </w:p>
    <w:p>
      <w:pPr>
        <w:spacing w:after="0" w:line="1" w:lineRule="exact"/>
        <w:rPr>
          <w:rFonts w:ascii="Arial" w:cs="Arial" w:eastAsia="Arial" w:hAnsi="Arial"/>
          <w:sz w:val="18"/>
          <w:szCs w:val="18"/>
          <w:color w:val="51555C"/>
        </w:rPr>
      </w:pPr>
    </w:p>
    <w:p>
      <w:pPr>
        <w:ind w:left="360" w:hanging="182"/>
        <w:spacing w:after="0"/>
        <w:tabs>
          <w:tab w:leader="none" w:pos="360" w:val="left"/>
        </w:tabs>
        <w:numPr>
          <w:ilvl w:val="0"/>
          <w:numId w:val="7"/>
        </w:numPr>
        <w:rPr>
          <w:rFonts w:ascii="Arial" w:cs="Arial" w:eastAsia="Arial" w:hAnsi="Arial"/>
          <w:sz w:val="18"/>
          <w:szCs w:val="18"/>
          <w:color w:val="51555C"/>
        </w:rPr>
      </w:pPr>
      <w:r>
        <w:rPr>
          <w:rFonts w:ascii="Arial" w:cs="Arial" w:eastAsia="Arial" w:hAnsi="Arial"/>
          <w:sz w:val="18"/>
          <w:szCs w:val="18"/>
          <w:color w:val="51555C"/>
        </w:rPr>
        <w:t>To transact such other business as may properly come before the meeting or any adjournment thereof.</w:t>
      </w:r>
    </w:p>
    <w:p>
      <w:pPr>
        <w:spacing w:after="0" w:line="2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These matters are more fully described in the Proxy Statement accompanying this Notice. Because the 2026 Annual Meeting of Stockholders will be held via the Internet only, the accompanying proxy materials include instructions on how to attend the meeting and the means by which you may vote and submit questions during the meeting. We are committed to ensuring that our stockholders will be afforded the same rights and opportunities to participate in our virtual meeting as they would at an in-person meeting. Stockholders of record as of the record date will be able to attend the meeting online, vote your shares electronically and submit questions during the virtual meeting.</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If you were a stockholder of record of Blackbaud common stock as of the close of business on April 13, 2026, you are entitled to receive this Notice and vote at the Annual Meeting of Stockholders and any adjournments or postponements thereof.</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You are cordially invited to attend the virtual meeting; however, to assure your representation at the meeting, you are urged to vote by proxy by following the instructions contained in the accompanying Proxy Statement. You may revoke your proxy in the manner described in the Proxy Statement at any time before it has been voted at the meeting. Any stockholder attending the meeting may vote electronically even if he or she has returned a proxy.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important. Whether or not you plan to attend the meeting, we hope that you will vote as soon as possible.</w:t>
      </w:r>
    </w:p>
    <w:p>
      <w:pPr>
        <w:spacing w:after="0" w:line="333" w:lineRule="exact"/>
        <w:rPr>
          <w:sz w:val="20"/>
          <w:szCs w:val="20"/>
          <w:color w:val="auto"/>
        </w:rPr>
      </w:pPr>
    </w:p>
    <w:p>
      <w:pPr>
        <w:ind w:left="8540"/>
        <w:spacing w:after="0"/>
        <w:rPr>
          <w:sz w:val="20"/>
          <w:szCs w:val="20"/>
          <w:color w:val="auto"/>
        </w:rPr>
      </w:pPr>
      <w:r>
        <w:rPr>
          <w:rFonts w:ascii="Arial" w:cs="Arial" w:eastAsia="Arial" w:hAnsi="Arial"/>
          <w:sz w:val="18"/>
          <w:szCs w:val="18"/>
          <w:color w:val="51555C"/>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77470</wp:posOffset>
            </wp:positionV>
            <wp:extent cx="82296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296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51555C"/>
        </w:rPr>
        <w:t>Jon W. Olson</w:t>
      </w:r>
    </w:p>
    <w:p>
      <w:pPr>
        <w:spacing w:after="0" w:line="11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51555C"/>
        </w:rPr>
        <w:t>Chief Legal Officer and Corporate Secretary</w:t>
      </w:r>
    </w:p>
    <w:p>
      <w:pPr>
        <w:spacing w:after="0" w:line="11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51555C"/>
        </w:rPr>
        <w:t>Dated: April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326390</wp:posOffset>
            </wp:positionV>
            <wp:extent cx="702945" cy="111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2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20" w:type="dxa"/>
            <w:vAlign w:val="bottom"/>
          </w:tcPr>
          <w:p>
            <w:pPr>
              <w:jc w:val="right"/>
              <w:ind w:right="88"/>
              <w:spacing w:after="0"/>
              <w:rPr>
                <w:sz w:val="20"/>
                <w:szCs w:val="20"/>
                <w:color w:val="auto"/>
              </w:rPr>
            </w:pPr>
            <w:r>
              <w:rPr>
                <w:rFonts w:ascii="Arial" w:cs="Arial" w:eastAsia="Arial" w:hAnsi="Arial"/>
                <w:sz w:val="14"/>
                <w:szCs w:val="14"/>
                <w:color w:val="51555C"/>
              </w:rPr>
              <w:t>3</w:t>
            </w:r>
          </w:p>
        </w:tc>
      </w:tr>
      <w:tr>
        <w:trPr>
          <w:trHeight w:val="271"/>
        </w:trPr>
        <w:tc>
          <w:tcPr>
            <w:tcW w:w="10220" w:type="dxa"/>
            <w:vAlign w:val="bottom"/>
            <w:tcBorders>
              <w:bottom w:val="single" w:sz="8" w:color="9A9A9A"/>
            </w:tcBorders>
          </w:tcPr>
          <w:p>
            <w:pPr>
              <w:spacing w:after="0"/>
              <w:rPr>
                <w:sz w:val="23"/>
                <w:szCs w:val="23"/>
                <w:color w:val="auto"/>
              </w:rPr>
            </w:pPr>
          </w:p>
        </w:tc>
        <w:tc>
          <w:tcPr>
            <w:tcW w:w="1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5" w:name="page6"/>
    <w:bookmarkEnd w:id="5"/>
    <w:p>
      <w:pPr>
        <w:ind w:left="10160"/>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80" w:right="60" w:hanging="489"/>
        <w:spacing w:after="0"/>
        <w:rPr>
          <w:sz w:val="20"/>
          <w:szCs w:val="20"/>
          <w:color w:val="auto"/>
        </w:rPr>
      </w:pPr>
      <w:r>
        <w:rPr>
          <w:sz w:val="1"/>
          <w:szCs w:val="1"/>
          <w:color w:val="auto"/>
        </w:rPr>
        <w:drawing>
          <wp:inline distT="0" distB="0" distL="0" distR="0">
            <wp:extent cx="257175" cy="2571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Arial" w:cs="Arial" w:eastAsia="Arial" w:hAnsi="Arial"/>
          <w:sz w:val="40"/>
          <w:szCs w:val="40"/>
          <w:b w:val="1"/>
          <w:bCs w:val="1"/>
          <w:color w:val="50535A"/>
        </w:rPr>
        <w:t xml:space="preserve"> CAUTIONARY NOTE REGARDING FORWARD-LOOKING STATEMENTS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This Proxy Statement contains certain forward-looking statements within the meaning of the Private Securities Litigation Reform Act of 1995 that are subject to risks and uncertainties. Words such as “believes,” “seeks,” “expects,” “may,” “might,” “should,” “intends,” “could,” “would,” “likely,” “will,” “targets,” “plans,” “anticipates,” “aims,” “projects,” “estimates,” or any variations of such words and similar expressions are intended to identify such forward-looking statements. Actual results may differ from those set forth in the forward-looking statements due to a variety of factors, including those contained in the Company's Annual Report on Form 10-K for the year ended December 31, 2025 and the Company's other filings with the U.S. Securities and Exchange Commission. You are cautioned not to place undue reliance on these forward-looking statements, which speak only as of the date on which they are made. We undertake no obligation to update or revise any forward-looking statement.</w:t>
      </w:r>
    </w:p>
    <w:p>
      <w:pPr>
        <w:spacing w:after="0" w:line="210" w:lineRule="exact"/>
        <w:rPr>
          <w:sz w:val="20"/>
          <w:szCs w:val="20"/>
          <w:color w:val="auto"/>
        </w:rPr>
      </w:pPr>
    </w:p>
    <w:p>
      <w:pPr>
        <w:ind w:left="200"/>
        <w:spacing w:after="0"/>
        <w:rPr>
          <w:sz w:val="20"/>
          <w:szCs w:val="20"/>
          <w:color w:val="auto"/>
        </w:rPr>
      </w:pPr>
      <w:r>
        <w:rPr>
          <w:sz w:val="1"/>
          <w:szCs w:val="1"/>
          <w:color w:val="auto"/>
        </w:rPr>
        <w:drawing>
          <wp:inline distT="0" distB="0" distL="0" distR="0">
            <wp:extent cx="257175" cy="2571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Arial" w:cs="Arial" w:eastAsia="Arial" w:hAnsi="Arial"/>
          <w:sz w:val="40"/>
          <w:szCs w:val="40"/>
          <w:b w:val="1"/>
          <w:bCs w:val="1"/>
          <w:color w:val="50535A"/>
        </w:rPr>
        <w:t xml:space="preserve"> PROXY SUMMARY</w:t>
      </w:r>
    </w:p>
    <w:p>
      <w:pPr>
        <w:spacing w:after="0" w:line="25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51555C"/>
        </w:rPr>
        <w:t>This proxy summary is intended to provide a broad overview of the items that you will find elsewhere in this Proxy Statement. Because this is only a summary, it does not contain all of the information that you should consider, and you should read the entire Proxy Statement carefully prior to voting.</w:t>
      </w: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4054"/>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33604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360420"/>
                    </a:xfrm>
                    <a:prstGeom prst="rect">
                      <a:avLst/>
                    </a:prstGeom>
                    <a:noFill/>
                  </pic:spPr>
                </pic:pic>
              </a:graphicData>
            </a:graphic>
          </wp:anchor>
        </w:drawing>
      </w:r>
    </w:p>
    <w:p>
      <w:pPr>
        <w:sectPr>
          <w:pgSz w:w="11900" w:h="16838" w:orient="portrait"/>
          <w:cols w:equalWidth="0" w:num="1">
            <w:col w:w="11240"/>
          </w:cols>
          <w:pgMar w:left="320" w:top="338" w:right="339" w:bottom="779" w:gutter="0" w:footer="0" w:header="0"/>
        </w:sect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51555C"/>
        </w:rPr>
        <w:t>TIME AND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51555C"/>
        </w:rPr>
        <w:t>June 10, 2026, 4:00 p.m., Eastern Time</w:t>
      </w:r>
    </w:p>
    <w:p>
      <w:pPr>
        <w:spacing w:after="0" w:line="183" w:lineRule="exact"/>
        <w:rPr>
          <w:sz w:val="20"/>
          <w:szCs w:val="20"/>
          <w:color w:val="auto"/>
        </w:rPr>
      </w:pPr>
    </w:p>
    <w:p>
      <w:pPr>
        <w:sectPr>
          <w:pgSz w:w="11900" w:h="16838" w:orient="portrait"/>
          <w:cols w:equalWidth="0" w:num="2">
            <w:col w:w="1680" w:space="720"/>
            <w:col w:w="8840"/>
          </w:cols>
          <w:pgMar w:left="320" w:top="338" w:right="339" w:bottom="779" w:gutter="0" w:footer="0" w:header="0"/>
          <w:type w:val="continuous"/>
        </w:sectPr>
      </w:pPr>
    </w:p>
    <w:p>
      <w:pPr>
        <w:ind w:left="20"/>
        <w:spacing w:after="0"/>
        <w:rPr>
          <w:sz w:val="20"/>
          <w:szCs w:val="20"/>
          <w:color w:val="auto"/>
        </w:rPr>
      </w:pPr>
      <w:r>
        <w:rPr>
          <w:rFonts w:ascii="Arial" w:cs="Arial" w:eastAsia="Arial" w:hAnsi="Arial"/>
          <w:sz w:val="18"/>
          <w:szCs w:val="18"/>
          <w:b w:val="1"/>
          <w:bCs w:val="1"/>
          <w:color w:val="51555C"/>
        </w:rPr>
        <w:t>VIRTUAL MEETING:</w:t>
      </w:r>
    </w:p>
    <w:p>
      <w:pPr>
        <w:spacing w:after="0" w:line="20" w:lineRule="exact"/>
        <w:rPr>
          <w:sz w:val="20"/>
          <w:szCs w:val="20"/>
          <w:color w:val="auto"/>
        </w:rPr>
      </w:pPr>
      <w:r>
        <w:rPr>
          <w:sz w:val="20"/>
          <w:szCs w:val="20"/>
          <w:color w:val="auto"/>
        </w:rPr>
        <w:br w:type="column"/>
      </w:r>
    </w:p>
    <w:p>
      <w:pPr>
        <w:ind w:right="3900"/>
        <w:spacing w:after="0" w:line="287" w:lineRule="auto"/>
        <w:rPr>
          <w:sz w:val="20"/>
          <w:szCs w:val="20"/>
          <w:color w:val="auto"/>
        </w:rPr>
      </w:pPr>
      <w:r>
        <w:rPr>
          <w:rFonts w:ascii="Arial" w:cs="Arial" w:eastAsia="Arial" w:hAnsi="Arial"/>
          <w:sz w:val="18"/>
          <w:szCs w:val="18"/>
          <w:color w:val="51555C"/>
        </w:rPr>
        <w:t>The meeting will be held live via the Internet - to attend please visit www.virtualshareholdermeeting.com/BLKB2026</w:t>
      </w:r>
    </w:p>
    <w:p>
      <w:pPr>
        <w:spacing w:after="0" w:line="99" w:lineRule="exact"/>
        <w:rPr>
          <w:sz w:val="20"/>
          <w:szCs w:val="20"/>
          <w:color w:val="auto"/>
        </w:rPr>
      </w:pPr>
    </w:p>
    <w:p>
      <w:pPr>
        <w:sectPr>
          <w:pgSz w:w="11900" w:h="16838" w:orient="portrait"/>
          <w:cols w:equalWidth="0" w:num="2">
            <w:col w:w="1740" w:space="660"/>
            <w:col w:w="8840"/>
          </w:cols>
          <w:pgMar w:left="320" w:top="338" w:right="339" w:bottom="779" w:gutter="0" w:footer="0" w:header="0"/>
          <w:type w:val="continuous"/>
        </w:sectPr>
      </w:pPr>
    </w:p>
    <w:p>
      <w:pPr>
        <w:ind w:left="20"/>
        <w:spacing w:after="0"/>
        <w:rPr>
          <w:sz w:val="20"/>
          <w:szCs w:val="20"/>
          <w:color w:val="auto"/>
        </w:rPr>
      </w:pPr>
      <w:r>
        <w:rPr>
          <w:rFonts w:ascii="Arial" w:cs="Arial" w:eastAsia="Arial" w:hAnsi="Arial"/>
          <w:sz w:val="17"/>
          <w:szCs w:val="17"/>
          <w:b w:val="1"/>
          <w:bCs w:val="1"/>
          <w:color w:val="51555C"/>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51555C"/>
        </w:rPr>
        <w:t>April 13, 2026</w:t>
      </w:r>
    </w:p>
    <w:p>
      <w:pPr>
        <w:spacing w:after="0" w:line="171" w:lineRule="exact"/>
        <w:rPr>
          <w:sz w:val="20"/>
          <w:szCs w:val="20"/>
          <w:color w:val="auto"/>
        </w:rPr>
      </w:pPr>
    </w:p>
    <w:p>
      <w:pPr>
        <w:sectPr>
          <w:pgSz w:w="11900" w:h="16838" w:orient="portrait"/>
          <w:cols w:equalWidth="0" w:num="2">
            <w:col w:w="1680" w:space="720"/>
            <w:col w:w="8840"/>
          </w:cols>
          <w:pgMar w:left="320" w:top="338" w:right="339" w:bottom="779" w:gutter="0" w:footer="0" w:header="0"/>
          <w:type w:val="continuous"/>
        </w:sectPr>
      </w:pPr>
    </w:p>
    <w:p>
      <w:pPr>
        <w:ind w:left="20"/>
        <w:spacing w:after="0"/>
        <w:rPr>
          <w:sz w:val="20"/>
          <w:szCs w:val="20"/>
          <w:color w:val="auto"/>
        </w:rPr>
      </w:pPr>
      <w:r>
        <w:rPr>
          <w:rFonts w:ascii="Arial" w:cs="Arial" w:eastAsia="Arial" w:hAnsi="Arial"/>
          <w:sz w:val="18"/>
          <w:szCs w:val="18"/>
          <w:b w:val="1"/>
          <w:bCs w:val="1"/>
          <w:color w:val="51555C"/>
        </w:rPr>
        <w:t>VOTING:</w:t>
      </w:r>
    </w:p>
    <w:p>
      <w:pPr>
        <w:spacing w:after="0" w:line="20" w:lineRule="exact"/>
        <w:rPr>
          <w:sz w:val="20"/>
          <w:szCs w:val="20"/>
          <w:color w:val="auto"/>
        </w:rPr>
      </w:pPr>
      <w:r>
        <w:rPr>
          <w:sz w:val="20"/>
          <w:szCs w:val="20"/>
          <w:color w:val="auto"/>
        </w:rPr>
        <w:br w:type="column"/>
      </w:r>
    </w:p>
    <w:p>
      <w:pPr>
        <w:ind w:right="40"/>
        <w:spacing w:after="0" w:line="281" w:lineRule="auto"/>
        <w:rPr>
          <w:sz w:val="20"/>
          <w:szCs w:val="20"/>
          <w:color w:val="auto"/>
        </w:rPr>
      </w:pPr>
      <w:r>
        <w:rPr>
          <w:rFonts w:ascii="Arial" w:cs="Arial" w:eastAsia="Arial" w:hAnsi="Arial"/>
          <w:sz w:val="18"/>
          <w:szCs w:val="18"/>
          <w:color w:val="51555C"/>
        </w:rPr>
        <w:t>Stockholders as of the record date are entitled to vote. Each share of Blackbaud common stock is entitled to one vote for each of the proposals to be voted on.</w:t>
      </w:r>
    </w:p>
    <w:p>
      <w:pPr>
        <w:spacing w:after="0" w:line="1" w:lineRule="exact"/>
        <w:rPr>
          <w:sz w:val="20"/>
          <w:szCs w:val="20"/>
          <w:color w:val="auto"/>
        </w:rPr>
      </w:pPr>
    </w:p>
    <w:p>
      <w:pPr>
        <w:sectPr>
          <w:pgSz w:w="11900" w:h="16838" w:orient="portrait"/>
          <w:cols w:equalWidth="0" w:num="2">
            <w:col w:w="1680" w:space="720"/>
            <w:col w:w="8840"/>
          </w:cols>
          <w:pgMar w:left="320" w:top="338" w:right="339" w:bottom="779" w:gutter="0" w:footer="0" w:header="0"/>
          <w:type w:val="continuous"/>
        </w:sectPr>
      </w:pPr>
    </w:p>
    <w:p>
      <w:pPr>
        <w:jc w:val="both"/>
        <w:ind w:left="2400" w:right="20"/>
        <w:spacing w:after="0" w:line="268" w:lineRule="auto"/>
        <w:rPr>
          <w:sz w:val="20"/>
          <w:szCs w:val="20"/>
          <w:color w:val="auto"/>
        </w:rPr>
      </w:pPr>
      <w:r>
        <w:rPr>
          <w:rFonts w:ascii="Arial" w:cs="Arial" w:eastAsia="Arial" w:hAnsi="Arial"/>
          <w:sz w:val="18"/>
          <w:szCs w:val="18"/>
          <w:color w:val="51555C"/>
        </w:rPr>
        <w:t>Even if you plan to attend the 2026 Annual Meeting of Stockholders, please vote right away using one of the following advance voting methods (see page 81 for additional details). Make sure you have your proxy card or voting instruction form in hand and follow the instructions.</w:t>
      </w:r>
    </w:p>
    <w:p>
      <w:pPr>
        <w:sectPr>
          <w:pgSz w:w="11900" w:h="16838" w:orient="portrait"/>
          <w:cols w:equalWidth="0" w:num="1">
            <w:col w:w="11240"/>
          </w:cols>
          <w:pgMar w:left="320" w:top="338" w:right="339" w:bottom="779" w:gutter="0" w:footer="0" w:header="0"/>
          <w:type w:val="continuous"/>
        </w:sectPr>
      </w:pPr>
    </w:p>
    <w:p>
      <w:pPr>
        <w:spacing w:after="0" w:line="9" w:lineRule="exact"/>
        <w:rPr>
          <w:sz w:val="20"/>
          <w:szCs w:val="20"/>
          <w:color w:val="auto"/>
        </w:rPr>
      </w:pPr>
    </w:p>
    <w:p>
      <w:pPr>
        <w:ind w:left="3180"/>
        <w:spacing w:after="0"/>
        <w:rPr>
          <w:sz w:val="20"/>
          <w:szCs w:val="20"/>
          <w:color w:val="auto"/>
        </w:rPr>
      </w:pPr>
      <w:r>
        <w:rPr>
          <w:rFonts w:ascii="Arial" w:cs="Arial" w:eastAsia="Arial" w:hAnsi="Arial"/>
          <w:sz w:val="17"/>
          <w:szCs w:val="17"/>
          <w:b w:val="1"/>
          <w:bCs w:val="1"/>
          <w:color w:val="006880"/>
        </w:rPr>
        <w:t>Use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110490</wp:posOffset>
            </wp:positionV>
            <wp:extent cx="257175" cy="248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000000"/>
                        </a:clrFrom>
                        <a:clrTo>
                          <a:srgbClr val="000000">
                            <a:alpha val="0"/>
                          </a:srgbClr>
                        </a:clrTo>
                      </a:clrChange>
                      <a:extLst>
                        <a:ext uri="{28A0092B-C50C-407E-A947-70E740481C1C}"/>
                      </a:extLst>
                    </a:blip>
                    <a:srcRect/>
                    <a:stretch>
                      <a:fillRect/>
                    </a:stretch>
                  </pic:blipFill>
                  <pic:spPr bwMode="auto">
                    <a:xfrm>
                      <a:off x="0" y="0"/>
                      <a:ext cx="257175" cy="24892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110490</wp:posOffset>
            </wp:positionV>
            <wp:extent cx="257175" cy="248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57175"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006880"/>
        </w:rPr>
        <w:t>Call Toll-Free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127635</wp:posOffset>
            </wp:positionV>
            <wp:extent cx="222885"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251460</wp:posOffset>
            </wp:positionH>
            <wp:positionV relativeFrom="paragraph">
              <wp:posOffset>127635</wp:posOffset>
            </wp:positionV>
            <wp:extent cx="222885"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006880"/>
        </w:rPr>
        <w:t>Mail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119380</wp:posOffset>
            </wp:positionV>
            <wp:extent cx="222885"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000000"/>
                        </a:clrFrom>
                        <a:clrTo>
                          <a:srgbClr val="000000">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465455</wp:posOffset>
            </wp:positionH>
            <wp:positionV relativeFrom="paragraph">
              <wp:posOffset>119380</wp:posOffset>
            </wp:positionV>
            <wp:extent cx="222885"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520" w:space="720"/>
            <w:col w:w="1900" w:space="720"/>
            <w:col w:w="2380"/>
          </w:cols>
          <w:pgMar w:left="320" w:top="338" w:right="339" w:bottom="779"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3220"/>
        <w:spacing w:after="0"/>
        <w:rPr>
          <w:sz w:val="20"/>
          <w:szCs w:val="20"/>
          <w:color w:val="auto"/>
        </w:rPr>
      </w:pPr>
      <w:r>
        <w:rPr>
          <w:rFonts w:ascii="Arial" w:cs="Arial" w:eastAsia="Arial" w:hAnsi="Arial"/>
          <w:sz w:val="14"/>
          <w:szCs w:val="14"/>
          <w:color w:val="51555C"/>
        </w:rPr>
        <w:t>www.proxyvote.com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51555C"/>
        </w:rPr>
        <w:t>1-800-690-6903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51555C"/>
        </w:rPr>
        <w:t>Follow the instructions on</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4"/>
          <w:szCs w:val="14"/>
          <w:color w:val="51555C"/>
        </w:rPr>
        <w:t>your proxy materials</w:t>
      </w:r>
    </w:p>
    <w:p>
      <w:pPr>
        <w:spacing w:after="0" w:line="99" w:lineRule="exact"/>
        <w:rPr>
          <w:sz w:val="20"/>
          <w:szCs w:val="20"/>
          <w:color w:val="auto"/>
        </w:rPr>
      </w:pPr>
    </w:p>
    <w:p>
      <w:pPr>
        <w:sectPr>
          <w:pgSz w:w="11900" w:h="16838" w:orient="portrait"/>
          <w:cols w:equalWidth="0" w:num="3">
            <w:col w:w="5580" w:space="720"/>
            <w:col w:w="1920" w:space="720"/>
            <w:col w:w="2300"/>
          </w:cols>
          <w:pgMar w:left="320" w:top="338" w:right="339" w:bottom="779" w:gutter="0" w:footer="0" w:header="0"/>
          <w:type w:val="continuous"/>
        </w:sectPr>
      </w:pPr>
    </w:p>
    <w:p>
      <w:pPr>
        <w:ind w:left="2400" w:right="20" w:hanging="2379"/>
        <w:spacing w:after="0" w:line="287" w:lineRule="auto"/>
        <w:tabs>
          <w:tab w:leader="none" w:pos="2380" w:val="left"/>
        </w:tabs>
        <w:rPr>
          <w:sz w:val="20"/>
          <w:szCs w:val="20"/>
          <w:color w:val="auto"/>
        </w:rPr>
      </w:pPr>
      <w:r>
        <w:rPr>
          <w:rFonts w:ascii="Arial" w:cs="Arial" w:eastAsia="Arial" w:hAnsi="Arial"/>
          <w:sz w:val="18"/>
          <w:szCs w:val="18"/>
          <w:b w:val="1"/>
          <w:bCs w:val="1"/>
          <w:color w:val="51555C"/>
        </w:rPr>
        <w:t>ADMISSION:</w:t>
      </w:r>
      <w:r>
        <w:rPr>
          <w:sz w:val="20"/>
          <w:szCs w:val="20"/>
          <w:color w:val="auto"/>
        </w:rPr>
        <w:tab/>
      </w:r>
      <w:r>
        <w:rPr>
          <w:rFonts w:ascii="Arial" w:cs="Arial" w:eastAsia="Arial" w:hAnsi="Arial"/>
          <w:sz w:val="18"/>
          <w:szCs w:val="18"/>
          <w:color w:val="51555C"/>
        </w:rPr>
        <w:t>Visit www.virtualshareholdermeeting.com/BLKB2026 and enter the 16-digit control number found on your Notice of Annual Meeting of Stockholders or proxy card.</w:t>
      </w:r>
    </w:p>
    <w:p>
      <w:pPr>
        <w:spacing w:after="0" w:line="99" w:lineRule="exact"/>
        <w:rPr>
          <w:sz w:val="20"/>
          <w:szCs w:val="20"/>
          <w:color w:val="auto"/>
        </w:rPr>
      </w:pPr>
    </w:p>
    <w:p>
      <w:pPr>
        <w:ind w:left="20"/>
        <w:spacing w:after="0"/>
        <w:tabs>
          <w:tab w:leader="none" w:pos="2380" w:val="left"/>
        </w:tabs>
        <w:rPr>
          <w:sz w:val="20"/>
          <w:szCs w:val="20"/>
          <w:color w:val="auto"/>
        </w:rPr>
      </w:pPr>
      <w:r>
        <w:rPr>
          <w:rFonts w:ascii="Arial" w:cs="Arial" w:eastAsia="Arial" w:hAnsi="Arial"/>
          <w:sz w:val="18"/>
          <w:szCs w:val="18"/>
          <w:b w:val="1"/>
          <w:bCs w:val="1"/>
          <w:color w:val="51555C"/>
        </w:rPr>
        <w:t>MAILING OF NOTICE:</w:t>
      </w:r>
      <w:r>
        <w:rPr>
          <w:sz w:val="20"/>
          <w:szCs w:val="20"/>
          <w:color w:val="auto"/>
        </w:rPr>
        <w:tab/>
      </w:r>
      <w:r>
        <w:rPr>
          <w:rFonts w:ascii="Arial" w:cs="Arial" w:eastAsia="Arial" w:hAnsi="Arial"/>
          <w:sz w:val="18"/>
          <w:szCs w:val="18"/>
          <w:color w:val="51555C"/>
        </w:rPr>
        <w:t>A Notice of Internet Availability of Proxy Materials (or this Proxy Statement and the accompanying materials)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51555C"/>
        </w:rPr>
        <w:t>are being mailed on or about April 21, 2026 to stockholders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Virtual Stockholder Meeting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The 2026 Annual Meeting of Stockholders will be held via the Internet only. You will be able to attend the meeting online only if you were a stockholder of record as of the close of business on April 13, 2026, the record date. You also will be able to vote and submit your questions during the meeting. To be admitted to the 2026 Annual Meeting of Stockholders at www.virtualshareholdermeeting.com/BLKB2026, you will need the 16-digit control number included on your proxy card or on the instructions that accompanied your proxy materials. In the event that you do not have a control number, please contact your broker, bank, or other nominee as soon as possible so that you can be provided with a control number.</w:t>
      </w:r>
    </w:p>
    <w:p>
      <w:pPr>
        <w:spacing w:after="0" w:line="12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The meeting webcast will begin promptly at 4:00 p.m. Eastern Time on June 10, 2026. Online access will begin at 3:45 p.m. Eastern Time, and we encourage you to access the meeting prior to the start time.</w:t>
      </w:r>
    </w:p>
    <w:p>
      <w:pPr>
        <w:spacing w:after="0" w:line="310" w:lineRule="exact"/>
        <w:rPr>
          <w:sz w:val="20"/>
          <w:szCs w:val="20"/>
          <w:color w:val="auto"/>
        </w:rPr>
      </w:pPr>
    </w:p>
    <w:p>
      <w:pPr>
        <w:ind w:left="180"/>
        <w:spacing w:after="0"/>
        <w:tabs>
          <w:tab w:leader="none" w:pos="514" w:val="left"/>
        </w:tabs>
        <w:rPr>
          <w:sz w:val="20"/>
          <w:szCs w:val="20"/>
          <w:color w:val="auto"/>
        </w:rPr>
      </w:pPr>
      <w:r>
        <w:rPr>
          <w:rFonts w:ascii="Arial" w:cs="Arial" w:eastAsia="Arial" w:hAnsi="Arial"/>
          <w:sz w:val="14"/>
          <w:szCs w:val="14"/>
          <w:color w:val="51555C"/>
        </w:rPr>
        <w:t>4</w:t>
      </w:r>
      <w:r>
        <w:rPr>
          <w:sz w:val="20"/>
          <w:szCs w:val="20"/>
          <w:color w:val="auto"/>
        </w:rPr>
        <w:tab/>
      </w:r>
      <w:r>
        <w:rPr>
          <w:sz w:val="1"/>
          <w:szCs w:val="1"/>
          <w:color w:val="auto"/>
        </w:rPr>
        <w:drawing>
          <wp:inline distT="0" distB="0" distL="0" distR="0">
            <wp:extent cx="702945" cy="11176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2945" cy="111760"/>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779" w:gutter="0" w:footer="0" w:header="0"/>
          <w:type w:val="continuous"/>
        </w:sectPr>
      </w:pPr>
    </w:p>
    <w:bookmarkStart w:id="6" w:name="page7"/>
    <w:bookmarkEnd w:id="6"/>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9020"/>
        <w:spacing w:after="0"/>
        <w:rPr>
          <w:sz w:val="20"/>
          <w:szCs w:val="20"/>
          <w:color w:val="auto"/>
        </w:rPr>
      </w:pPr>
      <w:r>
        <w:rPr>
          <w:rFonts w:ascii="Arial" w:cs="Arial" w:eastAsia="Arial" w:hAnsi="Arial"/>
          <w:sz w:val="18"/>
          <w:szCs w:val="18"/>
          <w:b w:val="1"/>
          <w:bCs w:val="1"/>
          <w:color w:val="51555C"/>
        </w:rPr>
        <w:t>PROXY SUMMARY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51555C"/>
        </w:rPr>
        <w:t>A complete list of stockholders entitled to vote at the 2026 Annual Meeting of Stockholders will be available at least 10 days prior to the meeting at our principal executive offices at 65 Fairchild Street, Charleston, South Carolina 29492.</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Submitting questions at the 2026 Annual Meeting of Stockholders</w:t>
      </w:r>
    </w:p>
    <w:p>
      <w:pPr>
        <w:spacing w:after="0" w:line="16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Stockholders may submit questions during the 2026 Annual Meeting of Stockholders. If you wish to submit a question during the 2026 Annual Meeting of Stockholders, you may do so by logging into the virtual meeting platform at www.virtualshareholdermeeting.com/BLKB2026, typing your question into the “Ask a Question” field, and clicking “Submit.” As part of the 2026 Annual Meeting of Stockholders, we intend to answer all questions submitted during the meeting which are pertinent to the meeting matters and as time permits in accordance with the Rules of Conduct. The Rules of Conduct will be posted at www.virtualshareholdermeeting.com/BLKB2026 and will address the ability of stockholders to ask questions during the meeting and rules for how questions and comments will be recognized and disclosed to meeting participants.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If you have technical difficulties or trouble accessing the virtual meeting</w:t>
      </w:r>
    </w:p>
    <w:p>
      <w:pPr>
        <w:spacing w:after="0" w:line="16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We will have technicians ready to assist you with any technical difficulties you may have accessing or participating in the virtual meeting. If you encounter any difficulties accessing the virtual meeting or during the meeting time, please call the technical support number that will be posted on the Virtual Stockholder Meeting log in page.</w:t>
      </w: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4054"/>
        </w:rPr>
        <w:t>MEETING AGENDA AND VOTING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0" w:type="dxa"/>
            <w:vAlign w:val="bottom"/>
            <w:shd w:val="clear" w:color="auto" w:fill="004054"/>
          </w:tcPr>
          <w:p>
            <w:pPr>
              <w:spacing w:after="0"/>
              <w:rPr>
                <w:sz w:val="16"/>
                <w:szCs w:val="16"/>
                <w:color w:val="auto"/>
              </w:rPr>
            </w:pPr>
          </w:p>
        </w:tc>
        <w:tc>
          <w:tcPr>
            <w:tcW w:w="6170" w:type="dxa"/>
            <w:vAlign w:val="bottom"/>
            <w:shd w:val="clear" w:color="auto" w:fill="004054"/>
          </w:tcPr>
          <w:p>
            <w:pPr>
              <w:ind w:left="4660"/>
              <w:spacing w:after="0"/>
              <w:rPr>
                <w:sz w:val="20"/>
                <w:szCs w:val="20"/>
                <w:color w:val="auto"/>
              </w:rPr>
            </w:pPr>
            <w:r>
              <w:rPr>
                <w:rFonts w:ascii="Arial" w:cs="Arial" w:eastAsia="Arial" w:hAnsi="Arial"/>
                <w:sz w:val="14"/>
                <w:szCs w:val="14"/>
                <w:b w:val="1"/>
                <w:bCs w:val="1"/>
                <w:color w:val="FFFFFF"/>
              </w:rPr>
              <w:t>Board's Voting</w:t>
            </w:r>
          </w:p>
        </w:tc>
        <w:tc>
          <w:tcPr>
            <w:tcW w:w="301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Voting</w:t>
            </w:r>
          </w:p>
        </w:tc>
        <w:tc>
          <w:tcPr>
            <w:tcW w:w="140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Page Number</w:t>
            </w:r>
          </w:p>
        </w:tc>
        <w:tc>
          <w:tcPr>
            <w:tcW w:w="20" w:type="dxa"/>
            <w:vAlign w:val="bottom"/>
            <w:shd w:val="clear" w:color="auto" w:fill="004054"/>
          </w:tcPr>
          <w:p>
            <w:pPr>
              <w:spacing w:after="0"/>
              <w:rPr>
                <w:sz w:val="16"/>
                <w:szCs w:val="16"/>
                <w:color w:val="auto"/>
              </w:rPr>
            </w:pPr>
          </w:p>
        </w:tc>
      </w:tr>
      <w:tr>
        <w:trPr>
          <w:trHeight w:val="219"/>
        </w:trPr>
        <w:tc>
          <w:tcPr>
            <w:tcW w:w="6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Proposal</w:t>
            </w:r>
          </w:p>
        </w:tc>
        <w:tc>
          <w:tcPr>
            <w:tcW w:w="6170" w:type="dxa"/>
            <w:vAlign w:val="bottom"/>
            <w:tcBorders>
              <w:bottom w:val="single" w:sz="8" w:color="004054"/>
            </w:tcBorders>
            <w:shd w:val="clear" w:color="auto" w:fill="004054"/>
          </w:tcPr>
          <w:p>
            <w:pPr>
              <w:ind w:left="4660"/>
              <w:spacing w:after="0"/>
              <w:rPr>
                <w:sz w:val="20"/>
                <w:szCs w:val="20"/>
                <w:color w:val="auto"/>
              </w:rPr>
            </w:pPr>
            <w:r>
              <w:rPr>
                <w:rFonts w:ascii="Arial" w:cs="Arial" w:eastAsia="Arial" w:hAnsi="Arial"/>
                <w:sz w:val="14"/>
                <w:szCs w:val="14"/>
                <w:b w:val="1"/>
                <w:bCs w:val="1"/>
                <w:color w:val="FFFFFF"/>
              </w:rPr>
              <w:t>Recommendation</w:t>
            </w:r>
          </w:p>
        </w:tc>
        <w:tc>
          <w:tcPr>
            <w:tcW w:w="301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Standard</w:t>
            </w:r>
          </w:p>
        </w:tc>
        <w:tc>
          <w:tcPr>
            <w:tcW w:w="140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(for more details)</w:t>
            </w:r>
          </w:p>
        </w:tc>
        <w:tc>
          <w:tcPr>
            <w:tcW w:w="20" w:type="dxa"/>
            <w:vAlign w:val="bottom"/>
            <w:shd w:val="clear" w:color="auto" w:fill="004054"/>
          </w:tcPr>
          <w:p>
            <w:pPr>
              <w:spacing w:after="0"/>
              <w:rPr>
                <w:sz w:val="19"/>
                <w:szCs w:val="19"/>
                <w:color w:val="auto"/>
              </w:rPr>
            </w:pPr>
          </w:p>
        </w:tc>
      </w:tr>
      <w:tr>
        <w:trPr>
          <w:trHeight w:val="278"/>
        </w:trPr>
        <w:tc>
          <w:tcPr>
            <w:tcW w:w="6830" w:type="dxa"/>
            <w:vAlign w:val="bottom"/>
            <w:gridSpan w:val="2"/>
            <w:shd w:val="clear" w:color="auto" w:fill="EBFBFF"/>
          </w:tcPr>
          <w:p>
            <w:pPr>
              <w:ind w:left="20"/>
              <w:spacing w:after="0" w:line="278" w:lineRule="exact"/>
              <w:rPr>
                <w:sz w:val="20"/>
                <w:szCs w:val="20"/>
                <w:color w:val="auto"/>
              </w:rPr>
            </w:pPr>
            <w:r>
              <w:rPr>
                <w:rFonts w:ascii="Arial" w:cs="Arial" w:eastAsia="Arial" w:hAnsi="Arial"/>
                <w:sz w:val="18"/>
                <w:szCs w:val="18"/>
                <w:b w:val="1"/>
                <w:bCs w:val="1"/>
                <w:color w:val="51555C"/>
              </w:rPr>
              <w:t xml:space="preserve">No. 1  </w:t>
            </w:r>
            <w:r>
              <w:rPr>
                <w:rFonts w:ascii="Arial" w:cs="Arial" w:eastAsia="Arial" w:hAnsi="Arial"/>
                <w:sz w:val="18"/>
                <w:szCs w:val="18"/>
                <w:color w:val="51555C"/>
              </w:rPr>
              <w:t>Advisory vote to approve the 2025 compensation of our</w:t>
            </w:r>
            <w:r>
              <w:rPr>
                <w:rFonts w:ascii="Arial" w:cs="Arial" w:eastAsia="Arial" w:hAnsi="Arial"/>
                <w:sz w:val="18"/>
                <w:szCs w:val="18"/>
                <w:b w:val="1"/>
                <w:bCs w:val="1"/>
                <w:color w:val="51555C"/>
              </w:rPr>
              <w:t xml:space="preserve"> </w:t>
            </w:r>
            <w:r>
              <w:rPr>
                <w:rFonts w:ascii="Wingdings" w:cs="Wingdings" w:eastAsia="Wingdings" w:hAnsi="Wingdings"/>
                <w:sz w:val="25"/>
                <w:szCs w:val="25"/>
                <w:b w:val="1"/>
                <w:bCs w:val="1"/>
                <w:color w:val="0CD973"/>
              </w:rPr>
              <w:t>ü</w:t>
            </w:r>
            <w:r>
              <w:rPr>
                <w:rFonts w:ascii="Arial" w:cs="Arial" w:eastAsia="Arial" w:hAnsi="Arial"/>
                <w:sz w:val="18"/>
                <w:szCs w:val="18"/>
                <w:b w:val="1"/>
                <w:bCs w:val="1"/>
                <w:color w:val="51555C"/>
              </w:rPr>
              <w:t xml:space="preserve"> FOR</w:t>
            </w:r>
          </w:p>
        </w:tc>
        <w:tc>
          <w:tcPr>
            <w:tcW w:w="3010" w:type="dxa"/>
            <w:vAlign w:val="bottom"/>
            <w:shd w:val="clear" w:color="auto" w:fill="EBFBFF"/>
          </w:tcPr>
          <w:p>
            <w:pPr>
              <w:ind w:left="10"/>
              <w:spacing w:after="0"/>
              <w:rPr>
                <w:sz w:val="20"/>
                <w:szCs w:val="20"/>
                <w:color w:val="auto"/>
              </w:rPr>
            </w:pPr>
            <w:r>
              <w:rPr>
                <w:rFonts w:ascii="Arial" w:cs="Arial" w:eastAsia="Arial" w:hAnsi="Arial"/>
                <w:sz w:val="18"/>
                <w:szCs w:val="18"/>
                <w:color w:val="51555C"/>
              </w:rPr>
              <w:t>Majority of votes present or</w:t>
            </w:r>
          </w:p>
        </w:tc>
        <w:tc>
          <w:tcPr>
            <w:tcW w:w="140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9"/>
              </w:rPr>
              <w:t>34</w:t>
            </w:r>
          </w:p>
        </w:tc>
        <w:tc>
          <w:tcPr>
            <w:tcW w:w="20" w:type="dxa"/>
            <w:vAlign w:val="bottom"/>
          </w:tcPr>
          <w:p>
            <w:pPr>
              <w:spacing w:after="0"/>
              <w:rPr>
                <w:sz w:val="24"/>
                <w:szCs w:val="24"/>
                <w:color w:val="auto"/>
              </w:rPr>
            </w:pPr>
          </w:p>
        </w:tc>
      </w:tr>
      <w:tr>
        <w:trPr>
          <w:trHeight w:val="216"/>
        </w:trPr>
        <w:tc>
          <w:tcPr>
            <w:tcW w:w="660" w:type="dxa"/>
            <w:vAlign w:val="bottom"/>
            <w:shd w:val="clear" w:color="auto" w:fill="EBFBFF"/>
          </w:tcPr>
          <w:p>
            <w:pPr>
              <w:spacing w:after="0"/>
              <w:rPr>
                <w:sz w:val="18"/>
                <w:szCs w:val="18"/>
                <w:color w:val="auto"/>
              </w:rPr>
            </w:pPr>
          </w:p>
        </w:tc>
        <w:tc>
          <w:tcPr>
            <w:tcW w:w="617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named executive officers.</w:t>
            </w:r>
          </w:p>
        </w:tc>
        <w:tc>
          <w:tcPr>
            <w:tcW w:w="3010" w:type="dxa"/>
            <w:vAlign w:val="bottom"/>
            <w:shd w:val="clear" w:color="auto" w:fill="EBFBFF"/>
          </w:tcPr>
          <w:p>
            <w:pPr>
              <w:ind w:left="10"/>
              <w:spacing w:after="0"/>
              <w:rPr>
                <w:sz w:val="20"/>
                <w:szCs w:val="20"/>
                <w:color w:val="auto"/>
              </w:rPr>
            </w:pPr>
            <w:r>
              <w:rPr>
                <w:rFonts w:ascii="Arial" w:cs="Arial" w:eastAsia="Arial" w:hAnsi="Arial"/>
                <w:sz w:val="18"/>
                <w:szCs w:val="18"/>
                <w:color w:val="51555C"/>
              </w:rPr>
              <w:t>represented by proxy and entitled to</w:t>
            </w:r>
          </w:p>
        </w:tc>
        <w:tc>
          <w:tcPr>
            <w:tcW w:w="1400" w:type="dxa"/>
            <w:vAlign w:val="bottom"/>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660" w:type="dxa"/>
            <w:vAlign w:val="bottom"/>
            <w:shd w:val="clear" w:color="auto" w:fill="EBFBFF"/>
          </w:tcPr>
          <w:p>
            <w:pPr>
              <w:spacing w:after="0"/>
              <w:rPr>
                <w:sz w:val="20"/>
                <w:szCs w:val="20"/>
                <w:color w:val="auto"/>
              </w:rPr>
            </w:pPr>
          </w:p>
        </w:tc>
        <w:tc>
          <w:tcPr>
            <w:tcW w:w="6170" w:type="dxa"/>
            <w:vAlign w:val="bottom"/>
            <w:shd w:val="clear" w:color="auto" w:fill="EBFBFF"/>
          </w:tcPr>
          <w:p>
            <w:pPr>
              <w:spacing w:after="0"/>
              <w:rPr>
                <w:sz w:val="20"/>
                <w:szCs w:val="20"/>
                <w:color w:val="auto"/>
              </w:rPr>
            </w:pPr>
          </w:p>
        </w:tc>
        <w:tc>
          <w:tcPr>
            <w:tcW w:w="3010" w:type="dxa"/>
            <w:vAlign w:val="bottom"/>
            <w:shd w:val="clear" w:color="auto" w:fill="EBFBFF"/>
          </w:tcPr>
          <w:p>
            <w:pPr>
              <w:ind w:left="10"/>
              <w:spacing w:after="0"/>
              <w:rPr>
                <w:sz w:val="20"/>
                <w:szCs w:val="20"/>
                <w:color w:val="auto"/>
              </w:rPr>
            </w:pPr>
            <w:r>
              <w:rPr>
                <w:rFonts w:ascii="Arial" w:cs="Arial" w:eastAsia="Arial" w:hAnsi="Arial"/>
                <w:sz w:val="18"/>
                <w:szCs w:val="18"/>
                <w:color w:val="51555C"/>
              </w:rPr>
              <w:t>vote on the proposal</w:t>
            </w:r>
          </w:p>
        </w:tc>
        <w:tc>
          <w:tcPr>
            <w:tcW w:w="1400" w:type="dxa"/>
            <w:vAlign w:val="bottom"/>
            <w:shd w:val="clear" w:color="auto" w:fill="EBFBFF"/>
          </w:tcPr>
          <w:p>
            <w:pPr>
              <w:spacing w:after="0"/>
              <w:rPr>
                <w:sz w:val="20"/>
                <w:szCs w:val="20"/>
                <w:color w:val="auto"/>
              </w:rPr>
            </w:pPr>
          </w:p>
        </w:tc>
        <w:tc>
          <w:tcPr>
            <w:tcW w:w="20" w:type="dxa"/>
            <w:vAlign w:val="bottom"/>
          </w:tcPr>
          <w:p>
            <w:pPr>
              <w:spacing w:after="0"/>
              <w:rPr>
                <w:sz w:val="20"/>
                <w:szCs w:val="20"/>
                <w:color w:val="auto"/>
              </w:rPr>
            </w:pPr>
          </w:p>
        </w:tc>
      </w:tr>
      <w:tr>
        <w:trPr>
          <w:trHeight w:val="23"/>
        </w:trPr>
        <w:tc>
          <w:tcPr>
            <w:tcW w:w="660" w:type="dxa"/>
            <w:vAlign w:val="bottom"/>
            <w:shd w:val="clear" w:color="auto" w:fill="EBFBFF"/>
          </w:tcPr>
          <w:p>
            <w:pPr>
              <w:spacing w:after="0"/>
              <w:rPr>
                <w:sz w:val="2"/>
                <w:szCs w:val="2"/>
                <w:color w:val="auto"/>
              </w:rPr>
            </w:pPr>
          </w:p>
        </w:tc>
        <w:tc>
          <w:tcPr>
            <w:tcW w:w="6170" w:type="dxa"/>
            <w:vAlign w:val="bottom"/>
            <w:shd w:val="clear" w:color="auto" w:fill="EBFBFF"/>
          </w:tcPr>
          <w:p>
            <w:pPr>
              <w:spacing w:after="0"/>
              <w:rPr>
                <w:sz w:val="2"/>
                <w:szCs w:val="2"/>
                <w:color w:val="auto"/>
              </w:rPr>
            </w:pPr>
          </w:p>
        </w:tc>
        <w:tc>
          <w:tcPr>
            <w:tcW w:w="3010" w:type="dxa"/>
            <w:vAlign w:val="bottom"/>
            <w:shd w:val="clear" w:color="auto" w:fill="EBFBFF"/>
          </w:tcPr>
          <w:p>
            <w:pPr>
              <w:spacing w:after="0"/>
              <w:rPr>
                <w:sz w:val="2"/>
                <w:szCs w:val="2"/>
                <w:color w:val="auto"/>
              </w:rPr>
            </w:pPr>
          </w:p>
        </w:tc>
        <w:tc>
          <w:tcPr>
            <w:tcW w:w="1400" w:type="dxa"/>
            <w:vAlign w:val="bottom"/>
            <w:shd w:val="clear" w:color="auto" w:fill="EBFBFF"/>
          </w:tcPr>
          <w:p>
            <w:pPr>
              <w:spacing w:after="0"/>
              <w:rPr>
                <w:sz w:val="2"/>
                <w:szCs w:val="2"/>
                <w:color w:val="auto"/>
              </w:rPr>
            </w:pPr>
          </w:p>
        </w:tc>
        <w:tc>
          <w:tcPr>
            <w:tcW w:w="20" w:type="dxa"/>
            <w:vAlign w:val="bottom"/>
          </w:tcPr>
          <w:p>
            <w:pPr>
              <w:spacing w:after="0"/>
              <w:rPr>
                <w:sz w:val="2"/>
                <w:szCs w:val="2"/>
                <w:color w:val="auto"/>
              </w:rPr>
            </w:pPr>
          </w:p>
        </w:tc>
      </w:tr>
    </w:tbl>
    <w:p>
      <w:pPr>
        <w:spacing w:after="0" w:line="8" w:lineRule="exact"/>
        <w:rPr>
          <w:sz w:val="20"/>
          <w:szCs w:val="20"/>
          <w:color w:val="auto"/>
        </w:rPr>
      </w:pPr>
    </w:p>
    <w:p>
      <w:pPr>
        <w:sectPr>
          <w:pgSz w:w="11900" w:h="16838" w:orient="portrait"/>
          <w:cols w:equalWidth="0" w:num="1">
            <w:col w:w="11260"/>
          </w:cols>
          <w:pgMar w:left="320" w:top="300" w:right="319" w:bottom="1440" w:gutter="0" w:footer="0" w:header="0"/>
        </w:sectPr>
      </w:pPr>
    </w:p>
    <w:p>
      <w:pPr>
        <w:spacing w:after="0" w:line="1" w:lineRule="exact"/>
        <w:rPr>
          <w:sz w:val="20"/>
          <w:szCs w:val="20"/>
          <w:color w:val="auto"/>
        </w:rPr>
      </w:pPr>
    </w:p>
    <w:p>
      <w:pPr>
        <w:jc w:val="center"/>
        <w:ind w:right="160"/>
        <w:spacing w:after="0"/>
        <w:tabs>
          <w:tab w:leader="none" w:pos="200" w:val="left"/>
        </w:tabs>
        <w:rPr>
          <w:sz w:val="20"/>
          <w:szCs w:val="20"/>
          <w:color w:val="auto"/>
        </w:rPr>
      </w:pPr>
      <w:r>
        <w:rPr>
          <w:rFonts w:ascii="Arial" w:cs="Arial" w:eastAsia="Arial" w:hAnsi="Arial"/>
          <w:sz w:val="18"/>
          <w:szCs w:val="18"/>
          <w:b w:val="1"/>
          <w:bCs w:val="1"/>
          <w:color w:val="51555C"/>
        </w:rPr>
        <w:t>No. 2</w:t>
      </w:r>
      <w:r>
        <w:rPr>
          <w:sz w:val="20"/>
          <w:szCs w:val="20"/>
          <w:color w:val="auto"/>
        </w:rPr>
        <w:tab/>
      </w:r>
      <w:r>
        <w:rPr>
          <w:rFonts w:ascii="Arial" w:cs="Arial" w:eastAsia="Arial" w:hAnsi="Arial"/>
          <w:sz w:val="18"/>
          <w:szCs w:val="18"/>
          <w:color w:val="51555C"/>
        </w:rPr>
        <w:t xml:space="preserve">Approval  of  the  amendment  and  restatement  of  the </w:t>
      </w:r>
      <w:r>
        <w:rPr>
          <w:rFonts w:ascii="Wingdings" w:cs="Wingdings" w:eastAsia="Wingdings" w:hAnsi="Wingdings"/>
          <w:sz w:val="25"/>
          <w:szCs w:val="25"/>
          <w:b w:val="1"/>
          <w:bCs w:val="1"/>
          <w:color w:val="0CD973"/>
        </w:rPr>
        <w:t>ü</w:t>
      </w:r>
      <w:r>
        <w:rPr>
          <w:rFonts w:ascii="Arial" w:cs="Arial" w:eastAsia="Arial" w:hAnsi="Arial"/>
          <w:sz w:val="18"/>
          <w:szCs w:val="18"/>
          <w:color w:val="51555C"/>
        </w:rPr>
        <w:t xml:space="preserve"> </w:t>
      </w:r>
      <w:r>
        <w:rPr>
          <w:rFonts w:ascii="Arial" w:cs="Arial" w:eastAsia="Arial" w:hAnsi="Arial"/>
          <w:sz w:val="18"/>
          <w:szCs w:val="18"/>
          <w:b w:val="1"/>
          <w:bCs w:val="1"/>
          <w:color w:val="51555C"/>
        </w:rPr>
        <w:t>FOR</w:t>
      </w:r>
    </w:p>
    <w:p>
      <w:pPr>
        <w:ind w:left="680" w:right="860"/>
        <w:spacing w:after="0" w:line="266" w:lineRule="auto"/>
        <w:rPr>
          <w:sz w:val="20"/>
          <w:szCs w:val="20"/>
          <w:color w:val="auto"/>
        </w:rPr>
      </w:pPr>
      <w:r>
        <w:rPr>
          <w:rFonts w:ascii="Arial" w:cs="Arial" w:eastAsia="Arial" w:hAnsi="Arial"/>
          <w:sz w:val="18"/>
          <w:szCs w:val="18"/>
          <w:color w:val="51555C"/>
        </w:rPr>
        <w:t>Blackbaud, Inc. 2016 Equity and Incentive Compensation 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8"/>
        </w:trPr>
        <w:tc>
          <w:tcPr>
            <w:tcW w:w="2880" w:type="dxa"/>
            <w:vAlign w:val="bottom"/>
          </w:tcPr>
          <w:p>
            <w:pPr>
              <w:spacing w:after="0"/>
              <w:rPr>
                <w:sz w:val="20"/>
                <w:szCs w:val="20"/>
                <w:color w:val="auto"/>
              </w:rPr>
            </w:pPr>
            <w:r>
              <w:rPr>
                <w:rFonts w:ascii="Arial" w:cs="Arial" w:eastAsia="Arial" w:hAnsi="Arial"/>
                <w:sz w:val="18"/>
                <w:szCs w:val="18"/>
                <w:color w:val="51555C"/>
              </w:rPr>
              <w:t>Majority of votes present or</w:t>
            </w:r>
          </w:p>
        </w:tc>
        <w:tc>
          <w:tcPr>
            <w:tcW w:w="920" w:type="dxa"/>
            <w:vAlign w:val="bottom"/>
          </w:tcPr>
          <w:p>
            <w:pPr>
              <w:jc w:val="right"/>
              <w:spacing w:after="0"/>
              <w:rPr>
                <w:sz w:val="20"/>
                <w:szCs w:val="20"/>
                <w:color w:val="auto"/>
              </w:rPr>
            </w:pPr>
            <w:r>
              <w:rPr>
                <w:rFonts w:ascii="Arial" w:cs="Arial" w:eastAsia="Arial" w:hAnsi="Arial"/>
                <w:sz w:val="18"/>
                <w:szCs w:val="18"/>
                <w:color w:val="51555C"/>
              </w:rPr>
              <w:t>68</w:t>
            </w:r>
          </w:p>
        </w:tc>
      </w:tr>
    </w:tbl>
    <w:p>
      <w:pPr>
        <w:ind w:right="1540"/>
        <w:spacing w:after="0" w:line="266" w:lineRule="auto"/>
        <w:rPr>
          <w:sz w:val="20"/>
          <w:szCs w:val="20"/>
          <w:color w:val="auto"/>
        </w:rPr>
      </w:pPr>
      <w:r>
        <w:rPr>
          <w:rFonts w:ascii="Arial" w:cs="Arial" w:eastAsia="Arial" w:hAnsi="Arial"/>
          <w:sz w:val="18"/>
          <w:szCs w:val="18"/>
          <w:color w:val="51555C"/>
        </w:rPr>
        <w:t>represented by proxy and entitled to vote on the proposal</w:t>
      </w:r>
    </w:p>
    <w:p>
      <w:pPr>
        <w:spacing w:after="0" w:line="1" w:lineRule="exact"/>
        <w:rPr>
          <w:sz w:val="20"/>
          <w:szCs w:val="20"/>
          <w:color w:val="auto"/>
        </w:rPr>
      </w:pPr>
    </w:p>
    <w:p>
      <w:pPr>
        <w:sectPr>
          <w:pgSz w:w="11900" w:h="16838" w:orient="portrait"/>
          <w:cols w:equalWidth="0" w:num="2">
            <w:col w:w="6120" w:space="720"/>
            <w:col w:w="4420"/>
          </w:cols>
          <w:pgMar w:left="320" w:top="300" w:right="319" w:bottom="1440" w:gutter="0" w:footer="0" w:header="0"/>
          <w:type w:val="continuous"/>
        </w:sectPr>
      </w:pPr>
    </w:p>
    <w:tbl>
      <w:tblPr>
        <w:tblLayout w:type="fixed"/>
        <w:tblInd w:w="0" w:type="dxa"/>
        <w:tblCellMar>
          <w:top w:w="0" w:type="dxa"/>
          <w:left w:w="0" w:type="dxa"/>
          <w:bottom w:w="0" w:type="dxa"/>
          <w:right w:w="0" w:type="dxa"/>
        </w:tblCellMar>
      </w:tblPr>
      <w:tr>
        <w:trPr>
          <w:trHeight w:val="279"/>
        </w:trPr>
        <w:tc>
          <w:tcPr>
            <w:tcW w:w="6380" w:type="dxa"/>
            <w:vAlign w:val="bottom"/>
            <w:shd w:val="clear" w:color="auto" w:fill="EBFBFF"/>
          </w:tcPr>
          <w:p>
            <w:pPr>
              <w:ind w:left="20"/>
              <w:spacing w:after="0" w:line="280" w:lineRule="exact"/>
              <w:rPr>
                <w:sz w:val="20"/>
                <w:szCs w:val="20"/>
                <w:color w:val="auto"/>
              </w:rPr>
            </w:pPr>
            <w:r>
              <w:rPr>
                <w:rFonts w:ascii="Arial" w:cs="Arial" w:eastAsia="Arial" w:hAnsi="Arial"/>
                <w:sz w:val="18"/>
                <w:szCs w:val="18"/>
                <w:b w:val="1"/>
                <w:bCs w:val="1"/>
                <w:color w:val="51555C"/>
              </w:rPr>
              <w:t xml:space="preserve">No. 3  </w:t>
            </w:r>
            <w:r>
              <w:rPr>
                <w:rFonts w:ascii="Arial" w:cs="Arial" w:eastAsia="Arial" w:hAnsi="Arial"/>
                <w:sz w:val="18"/>
                <w:szCs w:val="18"/>
                <w:color w:val="51555C"/>
              </w:rPr>
              <w:t>Ratification of the appointment of Ernst &amp; Young LLP as</w:t>
            </w:r>
            <w:r>
              <w:rPr>
                <w:rFonts w:ascii="Arial" w:cs="Arial" w:eastAsia="Arial" w:hAnsi="Arial"/>
                <w:sz w:val="18"/>
                <w:szCs w:val="18"/>
                <w:b w:val="1"/>
                <w:bCs w:val="1"/>
                <w:color w:val="51555C"/>
              </w:rPr>
              <w:t xml:space="preserve"> </w:t>
            </w:r>
            <w:r>
              <w:rPr>
                <w:rFonts w:ascii="Wingdings" w:cs="Wingdings" w:eastAsia="Wingdings" w:hAnsi="Wingdings"/>
                <w:sz w:val="25"/>
                <w:szCs w:val="25"/>
                <w:b w:val="1"/>
                <w:bCs w:val="1"/>
                <w:color w:val="0CD973"/>
              </w:rPr>
              <w:t>ü</w:t>
            </w:r>
            <w:r>
              <w:rPr>
                <w:rFonts w:ascii="Arial" w:cs="Arial" w:eastAsia="Arial" w:hAnsi="Arial"/>
                <w:sz w:val="18"/>
                <w:szCs w:val="18"/>
                <w:b w:val="1"/>
                <w:bCs w:val="1"/>
                <w:color w:val="51555C"/>
              </w:rPr>
              <w:t xml:space="preserve"> FOR</w:t>
            </w:r>
          </w:p>
        </w:tc>
        <w:tc>
          <w:tcPr>
            <w:tcW w:w="3700" w:type="dxa"/>
            <w:vAlign w:val="bottom"/>
            <w:shd w:val="clear" w:color="auto" w:fill="EBFBFF"/>
          </w:tcPr>
          <w:p>
            <w:pPr>
              <w:ind w:left="460"/>
              <w:spacing w:after="0"/>
              <w:rPr>
                <w:sz w:val="20"/>
                <w:szCs w:val="20"/>
                <w:color w:val="auto"/>
              </w:rPr>
            </w:pPr>
            <w:r>
              <w:rPr>
                <w:rFonts w:ascii="Arial" w:cs="Arial" w:eastAsia="Arial" w:hAnsi="Arial"/>
                <w:sz w:val="18"/>
                <w:szCs w:val="18"/>
                <w:color w:val="51555C"/>
              </w:rPr>
              <w:t>Majority of votes present or</w:t>
            </w:r>
          </w:p>
        </w:tc>
        <w:tc>
          <w:tcPr>
            <w:tcW w:w="1160" w:type="dxa"/>
            <w:vAlign w:val="bottom"/>
            <w:shd w:val="clear" w:color="auto" w:fill="EBFBFF"/>
          </w:tcPr>
          <w:p>
            <w:pPr>
              <w:jc w:val="right"/>
              <w:ind w:right="519"/>
              <w:spacing w:after="0"/>
              <w:rPr>
                <w:sz w:val="20"/>
                <w:szCs w:val="20"/>
                <w:color w:val="auto"/>
              </w:rPr>
            </w:pPr>
            <w:r>
              <w:rPr>
                <w:rFonts w:ascii="Arial" w:cs="Arial" w:eastAsia="Arial" w:hAnsi="Arial"/>
                <w:sz w:val="18"/>
                <w:szCs w:val="18"/>
                <w:color w:val="51555C"/>
              </w:rPr>
              <w:t>79</w:t>
            </w:r>
          </w:p>
        </w:tc>
      </w:tr>
      <w:tr>
        <w:trPr>
          <w:trHeight w:val="216"/>
        </w:trPr>
        <w:tc>
          <w:tcPr>
            <w:tcW w:w="6380" w:type="dxa"/>
            <w:vAlign w:val="bottom"/>
            <w:shd w:val="clear" w:color="auto" w:fill="EBFBFF"/>
          </w:tcPr>
          <w:p>
            <w:pPr>
              <w:ind w:left="680"/>
              <w:spacing w:after="0"/>
              <w:rPr>
                <w:sz w:val="20"/>
                <w:szCs w:val="20"/>
                <w:color w:val="auto"/>
              </w:rPr>
            </w:pPr>
            <w:r>
              <w:rPr>
                <w:rFonts w:ascii="Arial" w:cs="Arial" w:eastAsia="Arial" w:hAnsi="Arial"/>
                <w:sz w:val="18"/>
                <w:szCs w:val="18"/>
                <w:color w:val="51555C"/>
              </w:rPr>
              <w:t>our independent registered public accounting firm for the</w:t>
            </w:r>
          </w:p>
        </w:tc>
        <w:tc>
          <w:tcPr>
            <w:tcW w:w="3700" w:type="dxa"/>
            <w:vAlign w:val="bottom"/>
            <w:shd w:val="clear" w:color="auto" w:fill="EBFBFF"/>
          </w:tcPr>
          <w:p>
            <w:pPr>
              <w:ind w:left="460"/>
              <w:spacing w:after="0"/>
              <w:rPr>
                <w:sz w:val="20"/>
                <w:szCs w:val="20"/>
                <w:color w:val="auto"/>
              </w:rPr>
            </w:pPr>
            <w:r>
              <w:rPr>
                <w:rFonts w:ascii="Arial" w:cs="Arial" w:eastAsia="Arial" w:hAnsi="Arial"/>
                <w:sz w:val="18"/>
                <w:szCs w:val="18"/>
                <w:color w:val="51555C"/>
              </w:rPr>
              <w:t>represented by proxy and entitled to</w:t>
            </w:r>
          </w:p>
        </w:tc>
        <w:tc>
          <w:tcPr>
            <w:tcW w:w="1160" w:type="dxa"/>
            <w:vAlign w:val="bottom"/>
            <w:shd w:val="clear" w:color="auto" w:fill="EBFBFF"/>
          </w:tcPr>
          <w:p>
            <w:pPr>
              <w:spacing w:after="0"/>
              <w:rPr>
                <w:sz w:val="18"/>
                <w:szCs w:val="18"/>
                <w:color w:val="auto"/>
              </w:rPr>
            </w:pPr>
          </w:p>
        </w:tc>
      </w:tr>
      <w:tr>
        <w:trPr>
          <w:trHeight w:val="267"/>
        </w:trPr>
        <w:tc>
          <w:tcPr>
            <w:tcW w:w="6380" w:type="dxa"/>
            <w:vAlign w:val="bottom"/>
            <w:tcBorders>
              <w:bottom w:val="single" w:sz="8" w:color="EBFBFF"/>
            </w:tcBorders>
            <w:shd w:val="clear" w:color="auto" w:fill="EBFBFF"/>
          </w:tcPr>
          <w:p>
            <w:pPr>
              <w:ind w:left="680"/>
              <w:spacing w:after="0"/>
              <w:rPr>
                <w:sz w:val="20"/>
                <w:szCs w:val="20"/>
                <w:color w:val="auto"/>
              </w:rPr>
            </w:pPr>
            <w:r>
              <w:rPr>
                <w:rFonts w:ascii="Arial" w:cs="Arial" w:eastAsia="Arial" w:hAnsi="Arial"/>
                <w:sz w:val="18"/>
                <w:szCs w:val="18"/>
                <w:color w:val="51555C"/>
              </w:rPr>
              <w:t>fiscal year ending December 31, 2026.</w:t>
            </w:r>
          </w:p>
        </w:tc>
        <w:tc>
          <w:tcPr>
            <w:tcW w:w="3700" w:type="dxa"/>
            <w:vAlign w:val="bottom"/>
            <w:tcBorders>
              <w:bottom w:val="single" w:sz="8" w:color="EBFBFF"/>
            </w:tcBorders>
            <w:shd w:val="clear" w:color="auto" w:fill="EBFBFF"/>
          </w:tcPr>
          <w:p>
            <w:pPr>
              <w:ind w:left="460"/>
              <w:spacing w:after="0"/>
              <w:rPr>
                <w:sz w:val="20"/>
                <w:szCs w:val="20"/>
                <w:color w:val="auto"/>
              </w:rPr>
            </w:pPr>
            <w:r>
              <w:rPr>
                <w:rFonts w:ascii="Arial" w:cs="Arial" w:eastAsia="Arial" w:hAnsi="Arial"/>
                <w:sz w:val="18"/>
                <w:szCs w:val="18"/>
                <w:color w:val="51555C"/>
              </w:rPr>
              <w:t>vote on the proposal</w:t>
            </w:r>
          </w:p>
        </w:tc>
        <w:tc>
          <w:tcPr>
            <w:tcW w:w="1160" w:type="dxa"/>
            <w:vAlign w:val="bottom"/>
            <w:tcBorders>
              <w:bottom w:val="single" w:sz="8" w:color="EBFBFF"/>
            </w:tcBorders>
            <w:shd w:val="clear" w:color="auto" w:fill="EBFBFF"/>
          </w:tcPr>
          <w:p>
            <w:pPr>
              <w:spacing w:after="0"/>
              <w:rPr>
                <w:sz w:val="22"/>
                <w:szCs w:val="22"/>
                <w:color w:val="auto"/>
              </w:rPr>
            </w:pPr>
          </w:p>
        </w:tc>
      </w:tr>
      <w:tr>
        <w:trPr>
          <w:trHeight w:val="633"/>
        </w:trPr>
        <w:tc>
          <w:tcPr>
            <w:tcW w:w="6380" w:type="dxa"/>
            <w:vAlign w:val="bottom"/>
            <w:tcBorders>
              <w:top w:val="single" w:sz="8" w:color="0CD973"/>
            </w:tcBorders>
          </w:tcPr>
          <w:p>
            <w:pPr>
              <w:spacing w:after="0"/>
              <w:rPr>
                <w:sz w:val="24"/>
                <w:szCs w:val="24"/>
                <w:color w:val="auto"/>
              </w:rPr>
            </w:pPr>
          </w:p>
        </w:tc>
        <w:tc>
          <w:tcPr>
            <w:tcW w:w="3700" w:type="dxa"/>
            <w:vAlign w:val="bottom"/>
            <w:tcBorders>
              <w:top w:val="single" w:sz="8" w:color="0CD973"/>
            </w:tcBorders>
          </w:tcPr>
          <w:p>
            <w:pPr>
              <w:ind w:left="1640"/>
              <w:spacing w:after="0"/>
              <w:rPr>
                <w:sz w:val="20"/>
                <w:szCs w:val="20"/>
                <w:color w:val="auto"/>
              </w:rPr>
            </w:pPr>
            <w:r>
              <w:rPr>
                <w:rFonts w:ascii="Arial" w:cs="Arial" w:eastAsia="Arial" w:hAnsi="Arial"/>
                <w:sz w:val="14"/>
                <w:szCs w:val="14"/>
                <w:color w:val="51555C"/>
              </w:rPr>
              <w:t>2026 Proxy Statement</w:t>
            </w:r>
          </w:p>
        </w:tc>
        <w:tc>
          <w:tcPr>
            <w:tcW w:w="1160" w:type="dxa"/>
            <w:vAlign w:val="bottom"/>
            <w:tcBorders>
              <w:top w:val="single" w:sz="8" w:color="0CD973"/>
            </w:tcBorders>
          </w:tcPr>
          <w:p>
            <w:pPr>
              <w:jc w:val="right"/>
              <w:ind w:right="79"/>
              <w:spacing w:after="0"/>
              <w:rPr>
                <w:sz w:val="20"/>
                <w:szCs w:val="20"/>
                <w:color w:val="auto"/>
              </w:rPr>
            </w:pPr>
            <w:r>
              <w:rPr>
                <w:rFonts w:ascii="Arial" w:cs="Arial" w:eastAsia="Arial" w:hAnsi="Arial"/>
                <w:sz w:val="14"/>
                <w:szCs w:val="14"/>
                <w:color w:val="51555C"/>
              </w:rPr>
              <w:t>5</w:t>
            </w:r>
          </w:p>
        </w:tc>
      </w:tr>
      <w:tr>
        <w:trPr>
          <w:trHeight w:val="272"/>
        </w:trPr>
        <w:tc>
          <w:tcPr>
            <w:tcW w:w="6380" w:type="dxa"/>
            <w:vAlign w:val="bottom"/>
            <w:tcBorders>
              <w:bottom w:val="single" w:sz="8" w:color="9A9A9A"/>
            </w:tcBorders>
          </w:tcPr>
          <w:p>
            <w:pPr>
              <w:spacing w:after="0"/>
              <w:rPr>
                <w:sz w:val="23"/>
                <w:szCs w:val="23"/>
                <w:color w:val="auto"/>
              </w:rPr>
            </w:pPr>
          </w:p>
        </w:tc>
        <w:tc>
          <w:tcPr>
            <w:tcW w:w="3700" w:type="dxa"/>
            <w:vAlign w:val="bottom"/>
            <w:tcBorders>
              <w:bottom w:val="single" w:sz="8" w:color="9A9A9A"/>
            </w:tcBorders>
          </w:tcPr>
          <w:p>
            <w:pPr>
              <w:spacing w:after="0"/>
              <w:rPr>
                <w:sz w:val="23"/>
                <w:szCs w:val="23"/>
                <w:color w:val="auto"/>
              </w:rPr>
            </w:pPr>
          </w:p>
        </w:tc>
        <w:tc>
          <w:tcPr>
            <w:tcW w:w="116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-307975</wp:posOffset>
            </wp:positionV>
            <wp:extent cx="702945" cy="1111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ectPr>
          <w:pgSz w:w="11900" w:h="16838" w:orient="portrait"/>
          <w:cols w:equalWidth="0" w:num="1">
            <w:col w:w="11260"/>
          </w:cols>
          <w:pgMar w:left="320" w:top="300" w:right="319" w:bottom="1440" w:gutter="0" w:footer="0" w:header="0"/>
          <w:type w:val="continuous"/>
        </w:sectPr>
      </w:pPr>
    </w:p>
    <w:bookmarkStart w:id="7" w:name="page8"/>
    <w:bookmarkEnd w:id="7"/>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PROXY SUMMARY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100"/>
          </w:cols>
          <w:pgMar w:left="320" w:top="33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4054"/>
        </w:rPr>
        <w:t xml:space="preserve">MEMBERS OF OUR BOARD OF DIRECTORS </w:t>
      </w:r>
      <w:r>
        <w:rPr>
          <w:rFonts w:ascii="Arial" w:cs="Arial" w:eastAsia="Arial" w:hAnsi="Arial"/>
          <w:sz w:val="17"/>
          <w:szCs w:val="17"/>
          <w:b w:val="1"/>
          <w:bCs w:val="1"/>
          <w:color w:val="51555C"/>
        </w:rPr>
        <w:t>(pages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10" w:type="dxa"/>
            <w:vAlign w:val="bottom"/>
            <w:tcBorders>
              <w:top w:val="single" w:sz="8" w:color="004054"/>
            </w:tcBorders>
            <w:shd w:val="clear" w:color="auto" w:fill="004054"/>
          </w:tcPr>
          <w:p>
            <w:pPr>
              <w:spacing w:after="0"/>
              <w:rPr>
                <w:sz w:val="18"/>
                <w:szCs w:val="18"/>
                <w:color w:val="auto"/>
              </w:rPr>
            </w:pPr>
          </w:p>
        </w:tc>
        <w:tc>
          <w:tcPr>
            <w:tcW w:w="470" w:type="dxa"/>
            <w:vAlign w:val="bottom"/>
            <w:tcBorders>
              <w:top w:val="single" w:sz="8" w:color="004054"/>
            </w:tcBorders>
            <w:shd w:val="clear" w:color="auto" w:fill="004054"/>
          </w:tcPr>
          <w:p>
            <w:pPr>
              <w:spacing w:after="0"/>
              <w:rPr>
                <w:sz w:val="18"/>
                <w:szCs w:val="18"/>
                <w:color w:val="auto"/>
              </w:rPr>
            </w:pPr>
          </w:p>
        </w:tc>
        <w:tc>
          <w:tcPr>
            <w:tcW w:w="790" w:type="dxa"/>
            <w:vAlign w:val="bottom"/>
            <w:tcBorders>
              <w:top w:val="single" w:sz="8" w:color="004054"/>
            </w:tcBorders>
            <w:shd w:val="clear" w:color="auto" w:fill="004054"/>
          </w:tcPr>
          <w:p>
            <w:pPr>
              <w:spacing w:after="0"/>
              <w:rPr>
                <w:sz w:val="18"/>
                <w:szCs w:val="18"/>
                <w:color w:val="auto"/>
              </w:rPr>
            </w:pPr>
          </w:p>
        </w:tc>
        <w:tc>
          <w:tcPr>
            <w:tcW w:w="540" w:type="dxa"/>
            <w:vAlign w:val="bottom"/>
            <w:tcBorders>
              <w:top w:val="single" w:sz="8" w:color="004054"/>
            </w:tcBorders>
            <w:shd w:val="clear" w:color="auto" w:fill="004054"/>
          </w:tcPr>
          <w:p>
            <w:pPr>
              <w:spacing w:after="0"/>
              <w:rPr>
                <w:sz w:val="18"/>
                <w:szCs w:val="18"/>
                <w:color w:val="auto"/>
              </w:rPr>
            </w:pPr>
          </w:p>
        </w:tc>
        <w:tc>
          <w:tcPr>
            <w:tcW w:w="780" w:type="dxa"/>
            <w:vAlign w:val="bottom"/>
            <w:tcBorders>
              <w:top w:val="single" w:sz="8" w:color="004054"/>
            </w:tcBorders>
            <w:shd w:val="clear" w:color="auto" w:fill="004054"/>
          </w:tcPr>
          <w:p>
            <w:pPr>
              <w:spacing w:after="0"/>
              <w:rPr>
                <w:sz w:val="18"/>
                <w:szCs w:val="18"/>
                <w:color w:val="auto"/>
              </w:rPr>
            </w:pPr>
          </w:p>
        </w:tc>
        <w:tc>
          <w:tcPr>
            <w:tcW w:w="910" w:type="dxa"/>
            <w:vAlign w:val="bottom"/>
            <w:tcBorders>
              <w:top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Expiration</w:t>
            </w:r>
          </w:p>
        </w:tc>
        <w:tc>
          <w:tcPr>
            <w:tcW w:w="1190" w:type="dxa"/>
            <w:vAlign w:val="bottom"/>
            <w:tcBorders>
              <w:top w:val="single" w:sz="8" w:color="004054"/>
            </w:tcBorders>
            <w:shd w:val="clear" w:color="auto" w:fill="004054"/>
          </w:tcPr>
          <w:p>
            <w:pPr>
              <w:spacing w:after="0"/>
              <w:rPr>
                <w:sz w:val="18"/>
                <w:szCs w:val="18"/>
                <w:color w:val="auto"/>
              </w:rPr>
            </w:pPr>
          </w:p>
        </w:tc>
        <w:tc>
          <w:tcPr>
            <w:tcW w:w="810" w:type="dxa"/>
            <w:vAlign w:val="bottom"/>
            <w:tcBorders>
              <w:top w:val="single" w:sz="8" w:color="004054"/>
              <w:right w:val="single" w:sz="8" w:color="006880"/>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Other</w:t>
            </w:r>
          </w:p>
        </w:tc>
        <w:tc>
          <w:tcPr>
            <w:tcW w:w="2160" w:type="dxa"/>
            <w:vAlign w:val="bottom"/>
            <w:tcBorders>
              <w:top w:val="single" w:sz="8" w:color="006880"/>
            </w:tcBorders>
            <w:gridSpan w:val="4"/>
            <w:shd w:val="clear" w:color="auto" w:fill="006880"/>
          </w:tcPr>
          <w:p>
            <w:pPr>
              <w:ind w:left="220"/>
              <w:spacing w:after="0"/>
              <w:rPr>
                <w:sz w:val="20"/>
                <w:szCs w:val="20"/>
                <w:color w:val="auto"/>
              </w:rPr>
            </w:pPr>
            <w:r>
              <w:rPr>
                <w:rFonts w:ascii="Arial" w:cs="Arial" w:eastAsia="Arial" w:hAnsi="Arial"/>
                <w:sz w:val="14"/>
                <w:szCs w:val="14"/>
                <w:b w:val="1"/>
                <w:bCs w:val="1"/>
                <w:color w:val="FFFFFF"/>
              </w:rPr>
              <w:t>Committee Memberships</w:t>
            </w:r>
          </w:p>
        </w:tc>
        <w:tc>
          <w:tcPr>
            <w:tcW w:w="0" w:type="dxa"/>
            <w:vAlign w:val="bottom"/>
          </w:tcPr>
          <w:p>
            <w:pPr>
              <w:spacing w:after="0"/>
              <w:rPr>
                <w:sz w:val="1"/>
                <w:szCs w:val="1"/>
                <w:color w:val="auto"/>
              </w:rPr>
            </w:pPr>
          </w:p>
        </w:tc>
      </w:tr>
      <w:tr>
        <w:trPr>
          <w:trHeight w:val="68"/>
        </w:trPr>
        <w:tc>
          <w:tcPr>
            <w:tcW w:w="3610" w:type="dxa"/>
            <w:vAlign w:val="bottom"/>
            <w:shd w:val="clear" w:color="auto" w:fill="004054"/>
          </w:tcPr>
          <w:p>
            <w:pPr>
              <w:spacing w:after="0"/>
              <w:rPr>
                <w:sz w:val="5"/>
                <w:szCs w:val="5"/>
                <w:color w:val="auto"/>
              </w:rPr>
            </w:pPr>
          </w:p>
        </w:tc>
        <w:tc>
          <w:tcPr>
            <w:tcW w:w="470" w:type="dxa"/>
            <w:vAlign w:val="bottom"/>
            <w:shd w:val="clear" w:color="auto" w:fill="004054"/>
          </w:tcPr>
          <w:p>
            <w:pPr>
              <w:spacing w:after="0"/>
              <w:rPr>
                <w:sz w:val="5"/>
                <w:szCs w:val="5"/>
                <w:color w:val="auto"/>
              </w:rPr>
            </w:pPr>
          </w:p>
        </w:tc>
        <w:tc>
          <w:tcPr>
            <w:tcW w:w="790" w:type="dxa"/>
            <w:vAlign w:val="bottom"/>
            <w:shd w:val="clear" w:color="auto" w:fill="004054"/>
          </w:tcPr>
          <w:p>
            <w:pPr>
              <w:spacing w:after="0"/>
              <w:rPr>
                <w:sz w:val="5"/>
                <w:szCs w:val="5"/>
                <w:color w:val="auto"/>
              </w:rPr>
            </w:pPr>
          </w:p>
        </w:tc>
        <w:tc>
          <w:tcPr>
            <w:tcW w:w="540" w:type="dxa"/>
            <w:vAlign w:val="bottom"/>
            <w:vMerge w:val="restart"/>
            <w:shd w:val="clear" w:color="auto" w:fill="004054"/>
          </w:tcPr>
          <w:p>
            <w:pPr>
              <w:spacing w:after="0"/>
              <w:rPr>
                <w:sz w:val="5"/>
                <w:szCs w:val="5"/>
                <w:color w:val="auto"/>
              </w:rPr>
            </w:pPr>
          </w:p>
        </w:tc>
        <w:tc>
          <w:tcPr>
            <w:tcW w:w="780" w:type="dxa"/>
            <w:vAlign w:val="bottom"/>
            <w:vMerge w:val="restart"/>
            <w:shd w:val="clear" w:color="auto" w:fill="004054"/>
          </w:tcPr>
          <w:p>
            <w:pPr>
              <w:jc w:val="center"/>
              <w:spacing w:after="0" w:line="153" w:lineRule="exact"/>
              <w:rPr>
                <w:sz w:val="20"/>
                <w:szCs w:val="20"/>
                <w:color w:val="auto"/>
              </w:rPr>
            </w:pPr>
            <w:r>
              <w:rPr>
                <w:rFonts w:ascii="Arial" w:cs="Arial" w:eastAsia="Arial" w:hAnsi="Arial"/>
                <w:sz w:val="14"/>
                <w:szCs w:val="14"/>
                <w:b w:val="1"/>
                <w:bCs w:val="1"/>
                <w:color w:val="FFFFFF"/>
              </w:rPr>
              <w:t>Current</w:t>
            </w:r>
          </w:p>
        </w:tc>
        <w:tc>
          <w:tcPr>
            <w:tcW w:w="910" w:type="dxa"/>
            <w:vAlign w:val="bottom"/>
            <w:vMerge w:val="restart"/>
            <w:shd w:val="clear" w:color="auto" w:fill="004054"/>
          </w:tcPr>
          <w:p>
            <w:pPr>
              <w:jc w:val="center"/>
              <w:spacing w:after="0" w:line="153" w:lineRule="exact"/>
              <w:rPr>
                <w:sz w:val="20"/>
                <w:szCs w:val="20"/>
                <w:color w:val="auto"/>
              </w:rPr>
            </w:pPr>
            <w:r>
              <w:rPr>
                <w:rFonts w:ascii="Arial" w:cs="Arial" w:eastAsia="Arial" w:hAnsi="Arial"/>
                <w:sz w:val="14"/>
                <w:szCs w:val="14"/>
                <w:b w:val="1"/>
                <w:bCs w:val="1"/>
                <w:color w:val="FFFFFF"/>
              </w:rPr>
              <w:t>of Term</w:t>
            </w:r>
          </w:p>
        </w:tc>
        <w:tc>
          <w:tcPr>
            <w:tcW w:w="1190" w:type="dxa"/>
            <w:vAlign w:val="bottom"/>
            <w:vMerge w:val="restart"/>
            <w:shd w:val="clear" w:color="auto" w:fill="004054"/>
          </w:tcPr>
          <w:p>
            <w:pPr>
              <w:spacing w:after="0"/>
              <w:rPr>
                <w:sz w:val="5"/>
                <w:szCs w:val="5"/>
                <w:color w:val="auto"/>
              </w:rPr>
            </w:pPr>
          </w:p>
        </w:tc>
        <w:tc>
          <w:tcPr>
            <w:tcW w:w="810" w:type="dxa"/>
            <w:vAlign w:val="bottom"/>
            <w:tcBorders>
              <w:right w:val="single" w:sz="8" w:color="006880"/>
            </w:tcBorders>
            <w:vMerge w:val="restart"/>
            <w:shd w:val="clear" w:color="auto" w:fill="004054"/>
          </w:tcPr>
          <w:p>
            <w:pPr>
              <w:jc w:val="center"/>
              <w:spacing w:after="0" w:line="153" w:lineRule="exact"/>
              <w:rPr>
                <w:sz w:val="20"/>
                <w:szCs w:val="20"/>
                <w:color w:val="auto"/>
              </w:rPr>
            </w:pPr>
            <w:r>
              <w:rPr>
                <w:rFonts w:ascii="Arial" w:cs="Arial" w:eastAsia="Arial" w:hAnsi="Arial"/>
                <w:sz w:val="14"/>
                <w:szCs w:val="14"/>
                <w:b w:val="1"/>
                <w:bCs w:val="1"/>
                <w:color w:val="FFFFFF"/>
                <w:w w:val="99"/>
              </w:rPr>
              <w:t>Public</w:t>
            </w:r>
          </w:p>
        </w:tc>
        <w:tc>
          <w:tcPr>
            <w:tcW w:w="530" w:type="dxa"/>
            <w:vAlign w:val="bottom"/>
            <w:shd w:val="clear" w:color="auto" w:fill="006880"/>
          </w:tcPr>
          <w:p>
            <w:pPr>
              <w:spacing w:after="0"/>
              <w:rPr>
                <w:sz w:val="5"/>
                <w:szCs w:val="5"/>
                <w:color w:val="auto"/>
              </w:rPr>
            </w:pPr>
          </w:p>
        </w:tc>
        <w:tc>
          <w:tcPr>
            <w:tcW w:w="540" w:type="dxa"/>
            <w:vAlign w:val="bottom"/>
            <w:shd w:val="clear" w:color="auto" w:fill="006880"/>
          </w:tcPr>
          <w:p>
            <w:pPr>
              <w:spacing w:after="0"/>
              <w:rPr>
                <w:sz w:val="5"/>
                <w:szCs w:val="5"/>
                <w:color w:val="auto"/>
              </w:rPr>
            </w:pPr>
          </w:p>
        </w:tc>
        <w:tc>
          <w:tcPr>
            <w:tcW w:w="540" w:type="dxa"/>
            <w:vAlign w:val="bottom"/>
            <w:shd w:val="clear" w:color="auto" w:fill="006880"/>
          </w:tcPr>
          <w:p>
            <w:pPr>
              <w:spacing w:after="0"/>
              <w:rPr>
                <w:sz w:val="5"/>
                <w:szCs w:val="5"/>
                <w:color w:val="auto"/>
              </w:rPr>
            </w:pPr>
          </w:p>
        </w:tc>
        <w:tc>
          <w:tcPr>
            <w:tcW w:w="550" w:type="dxa"/>
            <w:vAlign w:val="bottom"/>
            <w:shd w:val="clear" w:color="auto" w:fill="006880"/>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3610" w:type="dxa"/>
            <w:vAlign w:val="bottom"/>
            <w:shd w:val="clear" w:color="auto" w:fill="004054"/>
          </w:tcPr>
          <w:p>
            <w:pPr>
              <w:spacing w:after="0"/>
              <w:rPr>
                <w:sz w:val="7"/>
                <w:szCs w:val="7"/>
                <w:color w:val="auto"/>
              </w:rPr>
            </w:pPr>
          </w:p>
        </w:tc>
        <w:tc>
          <w:tcPr>
            <w:tcW w:w="470" w:type="dxa"/>
            <w:vAlign w:val="bottom"/>
            <w:shd w:val="clear" w:color="auto" w:fill="004054"/>
          </w:tcPr>
          <w:p>
            <w:pPr>
              <w:spacing w:after="0"/>
              <w:rPr>
                <w:sz w:val="7"/>
                <w:szCs w:val="7"/>
                <w:color w:val="auto"/>
              </w:rPr>
            </w:pPr>
          </w:p>
        </w:tc>
        <w:tc>
          <w:tcPr>
            <w:tcW w:w="790" w:type="dxa"/>
            <w:vAlign w:val="bottom"/>
            <w:shd w:val="clear" w:color="auto" w:fill="004054"/>
          </w:tcPr>
          <w:p>
            <w:pPr>
              <w:spacing w:after="0"/>
              <w:rPr>
                <w:sz w:val="7"/>
                <w:szCs w:val="7"/>
                <w:color w:val="auto"/>
              </w:rPr>
            </w:pPr>
          </w:p>
        </w:tc>
        <w:tc>
          <w:tcPr>
            <w:tcW w:w="540" w:type="dxa"/>
            <w:vAlign w:val="bottom"/>
            <w:vMerge w:val="continue"/>
            <w:shd w:val="clear" w:color="auto" w:fill="004054"/>
          </w:tcPr>
          <w:p>
            <w:pPr>
              <w:spacing w:after="0"/>
              <w:rPr>
                <w:sz w:val="7"/>
                <w:szCs w:val="7"/>
                <w:color w:val="auto"/>
              </w:rPr>
            </w:pPr>
          </w:p>
        </w:tc>
        <w:tc>
          <w:tcPr>
            <w:tcW w:w="780" w:type="dxa"/>
            <w:vAlign w:val="bottom"/>
            <w:vMerge w:val="continue"/>
            <w:shd w:val="clear" w:color="auto" w:fill="004054"/>
          </w:tcPr>
          <w:p>
            <w:pPr>
              <w:spacing w:after="0"/>
              <w:rPr>
                <w:sz w:val="7"/>
                <w:szCs w:val="7"/>
                <w:color w:val="auto"/>
              </w:rPr>
            </w:pPr>
          </w:p>
        </w:tc>
        <w:tc>
          <w:tcPr>
            <w:tcW w:w="910" w:type="dxa"/>
            <w:vAlign w:val="bottom"/>
            <w:vMerge w:val="continue"/>
            <w:shd w:val="clear" w:color="auto" w:fill="004054"/>
          </w:tcPr>
          <w:p>
            <w:pPr>
              <w:spacing w:after="0"/>
              <w:rPr>
                <w:sz w:val="7"/>
                <w:szCs w:val="7"/>
                <w:color w:val="auto"/>
              </w:rPr>
            </w:pPr>
          </w:p>
        </w:tc>
        <w:tc>
          <w:tcPr>
            <w:tcW w:w="1190" w:type="dxa"/>
            <w:vAlign w:val="bottom"/>
            <w:vMerge w:val="continue"/>
            <w:shd w:val="clear" w:color="auto" w:fill="004054"/>
          </w:tcPr>
          <w:p>
            <w:pPr>
              <w:spacing w:after="0"/>
              <w:rPr>
                <w:sz w:val="7"/>
                <w:szCs w:val="7"/>
                <w:color w:val="auto"/>
              </w:rPr>
            </w:pPr>
          </w:p>
        </w:tc>
        <w:tc>
          <w:tcPr>
            <w:tcW w:w="810" w:type="dxa"/>
            <w:vAlign w:val="bottom"/>
            <w:tcBorders>
              <w:right w:val="single" w:sz="8" w:color="006880"/>
            </w:tcBorders>
            <w:vMerge w:val="continue"/>
            <w:shd w:val="clear" w:color="auto" w:fill="004054"/>
          </w:tcPr>
          <w:p>
            <w:pPr>
              <w:spacing w:after="0"/>
              <w:rPr>
                <w:sz w:val="7"/>
                <w:szCs w:val="7"/>
                <w:color w:val="auto"/>
              </w:rPr>
            </w:pPr>
          </w:p>
        </w:tc>
        <w:tc>
          <w:tcPr>
            <w:tcW w:w="530" w:type="dxa"/>
            <w:vAlign w:val="bottom"/>
            <w:shd w:val="clear" w:color="auto" w:fill="004054"/>
          </w:tcPr>
          <w:p>
            <w:pPr>
              <w:spacing w:after="0"/>
              <w:rPr>
                <w:sz w:val="7"/>
                <w:szCs w:val="7"/>
                <w:color w:val="auto"/>
              </w:rPr>
            </w:pPr>
          </w:p>
        </w:tc>
        <w:tc>
          <w:tcPr>
            <w:tcW w:w="540" w:type="dxa"/>
            <w:vAlign w:val="bottom"/>
            <w:shd w:val="clear" w:color="auto" w:fill="004054"/>
          </w:tcPr>
          <w:p>
            <w:pPr>
              <w:spacing w:after="0"/>
              <w:rPr>
                <w:sz w:val="7"/>
                <w:szCs w:val="7"/>
                <w:color w:val="auto"/>
              </w:rPr>
            </w:pPr>
          </w:p>
        </w:tc>
        <w:tc>
          <w:tcPr>
            <w:tcW w:w="540" w:type="dxa"/>
            <w:vAlign w:val="bottom"/>
            <w:shd w:val="clear" w:color="auto" w:fill="004054"/>
          </w:tcPr>
          <w:p>
            <w:pPr>
              <w:spacing w:after="0"/>
              <w:rPr>
                <w:sz w:val="7"/>
                <w:szCs w:val="7"/>
                <w:color w:val="auto"/>
              </w:rPr>
            </w:pPr>
          </w:p>
        </w:tc>
        <w:tc>
          <w:tcPr>
            <w:tcW w:w="550" w:type="dxa"/>
            <w:vAlign w:val="bottom"/>
            <w:shd w:val="clear" w:color="auto" w:fill="004054"/>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1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Name,</w:t>
            </w:r>
          </w:p>
        </w:tc>
        <w:tc>
          <w:tcPr>
            <w:tcW w:w="470" w:type="dxa"/>
            <w:vAlign w:val="bottom"/>
            <w:shd w:val="clear" w:color="auto" w:fill="004054"/>
          </w:tcPr>
          <w:p>
            <w:pPr>
              <w:spacing w:after="0"/>
              <w:rPr>
                <w:sz w:val="14"/>
                <w:szCs w:val="14"/>
                <w:color w:val="auto"/>
              </w:rPr>
            </w:pPr>
          </w:p>
        </w:tc>
        <w:tc>
          <w:tcPr>
            <w:tcW w:w="79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Director</w:t>
            </w:r>
          </w:p>
        </w:tc>
        <w:tc>
          <w:tcPr>
            <w:tcW w:w="540" w:type="dxa"/>
            <w:vAlign w:val="bottom"/>
            <w:shd w:val="clear" w:color="auto" w:fill="004054"/>
          </w:tcPr>
          <w:p>
            <w:pPr>
              <w:spacing w:after="0"/>
              <w:rPr>
                <w:sz w:val="14"/>
                <w:szCs w:val="14"/>
                <w:color w:val="auto"/>
              </w:rPr>
            </w:pPr>
          </w:p>
        </w:tc>
        <w:tc>
          <w:tcPr>
            <w:tcW w:w="78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Term</w:t>
            </w:r>
          </w:p>
        </w:tc>
        <w:tc>
          <w:tcPr>
            <w:tcW w:w="91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For Which</w:t>
            </w:r>
          </w:p>
        </w:tc>
        <w:tc>
          <w:tcPr>
            <w:tcW w:w="1190" w:type="dxa"/>
            <w:vAlign w:val="bottom"/>
            <w:shd w:val="clear" w:color="auto" w:fill="004054"/>
          </w:tcPr>
          <w:p>
            <w:pPr>
              <w:spacing w:after="0"/>
              <w:rPr>
                <w:sz w:val="14"/>
                <w:szCs w:val="14"/>
                <w:color w:val="auto"/>
              </w:rPr>
            </w:pPr>
          </w:p>
        </w:tc>
        <w:tc>
          <w:tcPr>
            <w:tcW w:w="810" w:type="dxa"/>
            <w:vAlign w:val="bottom"/>
            <w:tcBorders>
              <w:right w:val="single" w:sz="8" w:color="006880"/>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Company</w:t>
            </w:r>
          </w:p>
        </w:tc>
        <w:tc>
          <w:tcPr>
            <w:tcW w:w="530" w:type="dxa"/>
            <w:vAlign w:val="bottom"/>
            <w:shd w:val="clear" w:color="auto" w:fill="004054"/>
          </w:tcPr>
          <w:p>
            <w:pPr>
              <w:spacing w:after="0"/>
              <w:rPr>
                <w:sz w:val="14"/>
                <w:szCs w:val="14"/>
                <w:color w:val="auto"/>
              </w:rPr>
            </w:pPr>
          </w:p>
        </w:tc>
        <w:tc>
          <w:tcPr>
            <w:tcW w:w="540" w:type="dxa"/>
            <w:vAlign w:val="bottom"/>
            <w:shd w:val="clear" w:color="auto" w:fill="004054"/>
          </w:tcPr>
          <w:p>
            <w:pPr>
              <w:spacing w:after="0"/>
              <w:rPr>
                <w:sz w:val="14"/>
                <w:szCs w:val="14"/>
                <w:color w:val="auto"/>
              </w:rPr>
            </w:pPr>
          </w:p>
        </w:tc>
        <w:tc>
          <w:tcPr>
            <w:tcW w:w="540" w:type="dxa"/>
            <w:vAlign w:val="bottom"/>
            <w:shd w:val="clear" w:color="auto" w:fill="004054"/>
          </w:tcPr>
          <w:p>
            <w:pPr>
              <w:spacing w:after="0"/>
              <w:rPr>
                <w:sz w:val="14"/>
                <w:szCs w:val="14"/>
                <w:color w:val="auto"/>
              </w:rPr>
            </w:pPr>
          </w:p>
        </w:tc>
        <w:tc>
          <w:tcPr>
            <w:tcW w:w="55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1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Primary Occupation</w:t>
            </w:r>
          </w:p>
        </w:tc>
        <w:tc>
          <w:tcPr>
            <w:tcW w:w="470" w:type="dxa"/>
            <w:vAlign w:val="bottom"/>
            <w:shd w:val="clear" w:color="auto" w:fill="004054"/>
          </w:tcPr>
          <w:p>
            <w:pPr>
              <w:ind w:left="90"/>
              <w:spacing w:after="0"/>
              <w:rPr>
                <w:sz w:val="20"/>
                <w:szCs w:val="20"/>
                <w:color w:val="auto"/>
              </w:rPr>
            </w:pPr>
            <w:r>
              <w:rPr>
                <w:rFonts w:ascii="Arial" w:cs="Arial" w:eastAsia="Arial" w:hAnsi="Arial"/>
                <w:sz w:val="14"/>
                <w:szCs w:val="14"/>
                <w:b w:val="1"/>
                <w:bCs w:val="1"/>
                <w:color w:val="FFFFFF"/>
              </w:rPr>
              <w:t>Age</w:t>
            </w:r>
          </w:p>
        </w:tc>
        <w:tc>
          <w:tcPr>
            <w:tcW w:w="79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Since</w:t>
            </w:r>
          </w:p>
        </w:tc>
        <w:tc>
          <w:tcPr>
            <w:tcW w:w="540" w:type="dxa"/>
            <w:vAlign w:val="bottom"/>
            <w:shd w:val="clear" w:color="auto" w:fill="004054"/>
          </w:tcPr>
          <w:p>
            <w:pPr>
              <w:ind w:left="90"/>
              <w:spacing w:after="0"/>
              <w:rPr>
                <w:sz w:val="20"/>
                <w:szCs w:val="20"/>
                <w:color w:val="auto"/>
              </w:rPr>
            </w:pPr>
            <w:r>
              <w:rPr>
                <w:rFonts w:ascii="Arial" w:cs="Arial" w:eastAsia="Arial" w:hAnsi="Arial"/>
                <w:sz w:val="14"/>
                <w:szCs w:val="14"/>
                <w:b w:val="1"/>
                <w:bCs w:val="1"/>
                <w:color w:val="FFFFFF"/>
              </w:rPr>
              <w:t>Class</w:t>
            </w:r>
          </w:p>
        </w:tc>
        <w:tc>
          <w:tcPr>
            <w:tcW w:w="78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Expires</w:t>
            </w:r>
          </w:p>
        </w:tc>
        <w:tc>
          <w:tcPr>
            <w:tcW w:w="91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Nominated</w:t>
            </w:r>
          </w:p>
        </w:tc>
        <w:tc>
          <w:tcPr>
            <w:tcW w:w="1190" w:type="dxa"/>
            <w:vAlign w:val="bottom"/>
            <w:shd w:val="clear" w:color="auto" w:fill="004054"/>
          </w:tcPr>
          <w:p>
            <w:pPr>
              <w:ind w:left="160"/>
              <w:spacing w:after="0"/>
              <w:rPr>
                <w:sz w:val="20"/>
                <w:szCs w:val="20"/>
                <w:color w:val="auto"/>
              </w:rPr>
            </w:pPr>
            <w:r>
              <w:rPr>
                <w:rFonts w:ascii="Arial" w:cs="Arial" w:eastAsia="Arial" w:hAnsi="Arial"/>
                <w:sz w:val="14"/>
                <w:szCs w:val="14"/>
                <w:b w:val="1"/>
                <w:bCs w:val="1"/>
                <w:color w:val="FFFFFF"/>
              </w:rPr>
              <w:t>Independent</w:t>
            </w:r>
          </w:p>
        </w:tc>
        <w:tc>
          <w:tcPr>
            <w:tcW w:w="810" w:type="dxa"/>
            <w:vAlign w:val="bottom"/>
            <w:tcBorders>
              <w:right w:val="single" w:sz="8" w:color="006880"/>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Boards</w:t>
            </w:r>
          </w:p>
        </w:tc>
        <w:tc>
          <w:tcPr>
            <w:tcW w:w="530" w:type="dxa"/>
            <w:vAlign w:val="bottom"/>
            <w:shd w:val="clear" w:color="auto" w:fill="004054"/>
          </w:tcPr>
          <w:p>
            <w:pPr>
              <w:ind w:left="160"/>
              <w:spacing w:after="0"/>
              <w:rPr>
                <w:sz w:val="20"/>
                <w:szCs w:val="20"/>
                <w:color w:val="auto"/>
              </w:rPr>
            </w:pPr>
            <w:r>
              <w:rPr>
                <w:rFonts w:ascii="Arial" w:cs="Arial" w:eastAsia="Arial" w:hAnsi="Arial"/>
                <w:sz w:val="14"/>
                <w:szCs w:val="14"/>
                <w:b w:val="1"/>
                <w:bCs w:val="1"/>
                <w:color w:val="FFFFFF"/>
              </w:rPr>
              <w:t>AC</w:t>
            </w:r>
          </w:p>
        </w:tc>
        <w:tc>
          <w:tcPr>
            <w:tcW w:w="540" w:type="dxa"/>
            <w:vAlign w:val="bottom"/>
            <w:shd w:val="clear" w:color="auto" w:fill="004054"/>
          </w:tcPr>
          <w:p>
            <w:pPr>
              <w:ind w:left="170"/>
              <w:spacing w:after="0"/>
              <w:rPr>
                <w:sz w:val="20"/>
                <w:szCs w:val="20"/>
                <w:color w:val="auto"/>
              </w:rPr>
            </w:pPr>
            <w:r>
              <w:rPr>
                <w:rFonts w:ascii="Arial" w:cs="Arial" w:eastAsia="Arial" w:hAnsi="Arial"/>
                <w:sz w:val="14"/>
                <w:szCs w:val="14"/>
                <w:b w:val="1"/>
                <w:bCs w:val="1"/>
                <w:color w:val="FFFFFF"/>
              </w:rPr>
              <w:t>CC</w:t>
            </w:r>
          </w:p>
        </w:tc>
        <w:tc>
          <w:tcPr>
            <w:tcW w:w="540" w:type="dxa"/>
            <w:vAlign w:val="bottom"/>
            <w:shd w:val="clear" w:color="auto" w:fill="004054"/>
          </w:tcPr>
          <w:p>
            <w:pPr>
              <w:ind w:left="50"/>
              <w:spacing w:after="0"/>
              <w:rPr>
                <w:sz w:val="20"/>
                <w:szCs w:val="20"/>
                <w:color w:val="auto"/>
              </w:rPr>
            </w:pPr>
            <w:r>
              <w:rPr>
                <w:rFonts w:ascii="Arial" w:cs="Arial" w:eastAsia="Arial" w:hAnsi="Arial"/>
                <w:sz w:val="14"/>
                <w:szCs w:val="14"/>
                <w:b w:val="1"/>
                <w:bCs w:val="1"/>
                <w:color w:val="FFFFFF"/>
              </w:rPr>
              <w:t>NCGC</w:t>
            </w:r>
          </w:p>
        </w:tc>
        <w:tc>
          <w:tcPr>
            <w:tcW w:w="550" w:type="dxa"/>
            <w:vAlign w:val="bottom"/>
            <w:shd w:val="clear" w:color="auto" w:fill="004054"/>
          </w:tcPr>
          <w:p>
            <w:pPr>
              <w:ind w:left="50"/>
              <w:spacing w:after="0"/>
              <w:rPr>
                <w:sz w:val="20"/>
                <w:szCs w:val="20"/>
                <w:color w:val="auto"/>
              </w:rPr>
            </w:pPr>
            <w:r>
              <w:rPr>
                <w:rFonts w:ascii="Arial" w:cs="Arial" w:eastAsia="Arial" w:hAnsi="Arial"/>
                <w:sz w:val="14"/>
                <w:szCs w:val="14"/>
                <w:b w:val="1"/>
                <w:bCs w:val="1"/>
                <w:color w:val="FFFFFF"/>
              </w:rPr>
              <w:t>CROC</w:t>
            </w:r>
          </w:p>
        </w:tc>
        <w:tc>
          <w:tcPr>
            <w:tcW w:w="0" w:type="dxa"/>
            <w:vAlign w:val="bottom"/>
          </w:tcPr>
          <w:p>
            <w:pPr>
              <w:spacing w:after="0"/>
              <w:rPr>
                <w:sz w:val="1"/>
                <w:szCs w:val="1"/>
                <w:color w:val="auto"/>
              </w:rPr>
            </w:pPr>
          </w:p>
        </w:tc>
      </w:tr>
      <w:tr>
        <w:trPr>
          <w:trHeight w:val="29"/>
        </w:trPr>
        <w:tc>
          <w:tcPr>
            <w:tcW w:w="3610" w:type="dxa"/>
            <w:vAlign w:val="bottom"/>
            <w:shd w:val="clear" w:color="auto" w:fill="004054"/>
          </w:tcPr>
          <w:p>
            <w:pPr>
              <w:spacing w:after="0"/>
              <w:rPr>
                <w:sz w:val="2"/>
                <w:szCs w:val="2"/>
                <w:color w:val="auto"/>
              </w:rPr>
            </w:pPr>
          </w:p>
        </w:tc>
        <w:tc>
          <w:tcPr>
            <w:tcW w:w="470" w:type="dxa"/>
            <w:vAlign w:val="bottom"/>
            <w:shd w:val="clear" w:color="auto" w:fill="004054"/>
          </w:tcPr>
          <w:p>
            <w:pPr>
              <w:spacing w:after="0"/>
              <w:rPr>
                <w:sz w:val="2"/>
                <w:szCs w:val="2"/>
                <w:color w:val="auto"/>
              </w:rPr>
            </w:pPr>
          </w:p>
        </w:tc>
        <w:tc>
          <w:tcPr>
            <w:tcW w:w="790" w:type="dxa"/>
            <w:vAlign w:val="bottom"/>
            <w:shd w:val="clear" w:color="auto" w:fill="004054"/>
          </w:tcPr>
          <w:p>
            <w:pPr>
              <w:spacing w:after="0"/>
              <w:rPr>
                <w:sz w:val="2"/>
                <w:szCs w:val="2"/>
                <w:color w:val="auto"/>
              </w:rPr>
            </w:pPr>
          </w:p>
        </w:tc>
        <w:tc>
          <w:tcPr>
            <w:tcW w:w="540" w:type="dxa"/>
            <w:vAlign w:val="bottom"/>
            <w:shd w:val="clear" w:color="auto" w:fill="004054"/>
          </w:tcPr>
          <w:p>
            <w:pPr>
              <w:spacing w:after="0"/>
              <w:rPr>
                <w:sz w:val="2"/>
                <w:szCs w:val="2"/>
                <w:color w:val="auto"/>
              </w:rPr>
            </w:pPr>
          </w:p>
        </w:tc>
        <w:tc>
          <w:tcPr>
            <w:tcW w:w="780" w:type="dxa"/>
            <w:vAlign w:val="bottom"/>
            <w:shd w:val="clear" w:color="auto" w:fill="004054"/>
          </w:tcPr>
          <w:p>
            <w:pPr>
              <w:spacing w:after="0"/>
              <w:rPr>
                <w:sz w:val="2"/>
                <w:szCs w:val="2"/>
                <w:color w:val="auto"/>
              </w:rPr>
            </w:pPr>
          </w:p>
        </w:tc>
        <w:tc>
          <w:tcPr>
            <w:tcW w:w="910" w:type="dxa"/>
            <w:vAlign w:val="bottom"/>
            <w:shd w:val="clear" w:color="auto" w:fill="004054"/>
          </w:tcPr>
          <w:p>
            <w:pPr>
              <w:spacing w:after="0"/>
              <w:rPr>
                <w:sz w:val="2"/>
                <w:szCs w:val="2"/>
                <w:color w:val="auto"/>
              </w:rPr>
            </w:pPr>
          </w:p>
        </w:tc>
        <w:tc>
          <w:tcPr>
            <w:tcW w:w="1190" w:type="dxa"/>
            <w:vAlign w:val="bottom"/>
            <w:shd w:val="clear" w:color="auto" w:fill="004054"/>
          </w:tcPr>
          <w:p>
            <w:pPr>
              <w:spacing w:after="0"/>
              <w:rPr>
                <w:sz w:val="2"/>
                <w:szCs w:val="2"/>
                <w:color w:val="auto"/>
              </w:rPr>
            </w:pPr>
          </w:p>
        </w:tc>
        <w:tc>
          <w:tcPr>
            <w:tcW w:w="810" w:type="dxa"/>
            <w:vAlign w:val="bottom"/>
            <w:tcBorders>
              <w:right w:val="single" w:sz="8" w:color="006880"/>
            </w:tcBorders>
            <w:shd w:val="clear" w:color="auto" w:fill="004054"/>
          </w:tcPr>
          <w:p>
            <w:pPr>
              <w:spacing w:after="0"/>
              <w:rPr>
                <w:sz w:val="2"/>
                <w:szCs w:val="2"/>
                <w:color w:val="auto"/>
              </w:rPr>
            </w:pPr>
          </w:p>
        </w:tc>
        <w:tc>
          <w:tcPr>
            <w:tcW w:w="530" w:type="dxa"/>
            <w:vAlign w:val="bottom"/>
            <w:shd w:val="clear" w:color="auto" w:fill="004054"/>
          </w:tcPr>
          <w:p>
            <w:pPr>
              <w:spacing w:after="0"/>
              <w:rPr>
                <w:sz w:val="2"/>
                <w:szCs w:val="2"/>
                <w:color w:val="auto"/>
              </w:rPr>
            </w:pPr>
          </w:p>
        </w:tc>
        <w:tc>
          <w:tcPr>
            <w:tcW w:w="540" w:type="dxa"/>
            <w:vAlign w:val="bottom"/>
            <w:shd w:val="clear" w:color="auto" w:fill="004054"/>
          </w:tcPr>
          <w:p>
            <w:pPr>
              <w:spacing w:after="0"/>
              <w:rPr>
                <w:sz w:val="2"/>
                <w:szCs w:val="2"/>
                <w:color w:val="auto"/>
              </w:rPr>
            </w:pPr>
          </w:p>
        </w:tc>
        <w:tc>
          <w:tcPr>
            <w:tcW w:w="540" w:type="dxa"/>
            <w:vAlign w:val="bottom"/>
            <w:shd w:val="clear" w:color="auto" w:fill="004054"/>
          </w:tcPr>
          <w:p>
            <w:pPr>
              <w:spacing w:after="0"/>
              <w:rPr>
                <w:sz w:val="2"/>
                <w:szCs w:val="2"/>
                <w:color w:val="auto"/>
              </w:rPr>
            </w:pPr>
          </w:p>
        </w:tc>
        <w:tc>
          <w:tcPr>
            <w:tcW w:w="550" w:type="dxa"/>
            <w:vAlign w:val="bottom"/>
            <w:shd w:val="clear" w:color="auto" w:fill="004054"/>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436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-307975</wp:posOffset>
            </wp:positionV>
            <wp:extent cx="13798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600" w:type="dxa"/>
            <w:vAlign w:val="bottom"/>
          </w:tcPr>
          <w:p>
            <w:pPr>
              <w:ind w:left="20"/>
              <w:spacing w:after="0"/>
              <w:rPr>
                <w:sz w:val="20"/>
                <w:szCs w:val="20"/>
                <w:color w:val="auto"/>
              </w:rPr>
            </w:pPr>
            <w:r>
              <w:rPr>
                <w:rFonts w:ascii="Arial" w:cs="Arial" w:eastAsia="Arial" w:hAnsi="Arial"/>
                <w:sz w:val="18"/>
                <w:szCs w:val="18"/>
                <w:b w:val="1"/>
                <w:bCs w:val="1"/>
                <w:color w:val="51555C"/>
              </w:rPr>
              <w:t>Deneen M. DeFiore</w:t>
            </w:r>
          </w:p>
        </w:tc>
        <w:tc>
          <w:tcPr>
            <w:tcW w:w="500" w:type="dxa"/>
            <w:vAlign w:val="bottom"/>
          </w:tcPr>
          <w:p>
            <w:pPr>
              <w:jc w:val="right"/>
              <w:ind w:right="70"/>
              <w:spacing w:after="0"/>
              <w:rPr>
                <w:sz w:val="20"/>
                <w:szCs w:val="20"/>
                <w:color w:val="auto"/>
              </w:rPr>
            </w:pPr>
            <w:r>
              <w:rPr>
                <w:rFonts w:ascii="Arial" w:cs="Arial" w:eastAsia="Arial" w:hAnsi="Arial"/>
                <w:sz w:val="18"/>
                <w:szCs w:val="18"/>
                <w:color w:val="51555C"/>
              </w:rPr>
              <w:t>52</w:t>
            </w:r>
          </w:p>
        </w:tc>
        <w:tc>
          <w:tcPr>
            <w:tcW w:w="780" w:type="dxa"/>
            <w:vAlign w:val="bottom"/>
          </w:tcPr>
          <w:p>
            <w:pPr>
              <w:jc w:val="right"/>
              <w:ind w:right="130"/>
              <w:spacing w:after="0"/>
              <w:rPr>
                <w:sz w:val="20"/>
                <w:szCs w:val="20"/>
                <w:color w:val="auto"/>
              </w:rPr>
            </w:pPr>
            <w:r>
              <w:rPr>
                <w:rFonts w:ascii="Arial" w:cs="Arial" w:eastAsia="Arial" w:hAnsi="Arial"/>
                <w:sz w:val="18"/>
                <w:szCs w:val="18"/>
                <w:color w:val="51555C"/>
              </w:rPr>
              <w:t>2022</w:t>
            </w:r>
          </w:p>
        </w:tc>
        <w:tc>
          <w:tcPr>
            <w:tcW w:w="520" w:type="dxa"/>
            <w:vAlign w:val="bottom"/>
          </w:tcPr>
          <w:p>
            <w:pPr>
              <w:ind w:left="200"/>
              <w:spacing w:after="0"/>
              <w:rPr>
                <w:sz w:val="20"/>
                <w:szCs w:val="20"/>
                <w:color w:val="auto"/>
              </w:rPr>
            </w:pPr>
            <w:r>
              <w:rPr>
                <w:rFonts w:ascii="Arial" w:cs="Arial" w:eastAsia="Arial" w:hAnsi="Arial"/>
                <w:sz w:val="18"/>
                <w:szCs w:val="18"/>
                <w:color w:val="51555C"/>
              </w:rPr>
              <w:t>B</w:t>
            </w:r>
          </w:p>
        </w:tc>
        <w:tc>
          <w:tcPr>
            <w:tcW w:w="900" w:type="dxa"/>
            <w:vAlign w:val="bottom"/>
          </w:tcPr>
          <w:p>
            <w:pPr>
              <w:jc w:val="right"/>
              <w:ind w:right="210"/>
              <w:spacing w:after="0"/>
              <w:rPr>
                <w:sz w:val="20"/>
                <w:szCs w:val="20"/>
                <w:color w:val="auto"/>
              </w:rPr>
            </w:pPr>
            <w:r>
              <w:rPr>
                <w:rFonts w:ascii="Arial" w:cs="Arial" w:eastAsia="Arial" w:hAnsi="Arial"/>
                <w:sz w:val="18"/>
                <w:szCs w:val="18"/>
                <w:color w:val="51555C"/>
              </w:rPr>
              <w:t>2027</w:t>
            </w:r>
          </w:p>
        </w:tc>
        <w:tc>
          <w:tcPr>
            <w:tcW w:w="800" w:type="dxa"/>
            <w:vAlign w:val="bottom"/>
          </w:tcPr>
          <w:p>
            <w:pPr>
              <w:jc w:val="right"/>
              <w:ind w:right="350"/>
              <w:spacing w:after="0"/>
              <w:rPr>
                <w:sz w:val="20"/>
                <w:szCs w:val="20"/>
                <w:color w:val="auto"/>
              </w:rPr>
            </w:pPr>
            <w:r>
              <w:rPr>
                <w:rFonts w:ascii="Arial" w:cs="Arial" w:eastAsia="Arial" w:hAnsi="Arial"/>
                <w:sz w:val="18"/>
                <w:szCs w:val="18"/>
                <w:color w:val="51555C"/>
              </w:rPr>
              <w:t>-</w:t>
            </w:r>
          </w:p>
        </w:tc>
        <w:tc>
          <w:tcPr>
            <w:tcW w:w="1060" w:type="dxa"/>
            <w:vAlign w:val="bottom"/>
          </w:tcPr>
          <w:p>
            <w:pPr>
              <w:jc w:val="center"/>
              <w:ind w:left="30"/>
              <w:spacing w:after="0"/>
              <w:rPr>
                <w:sz w:val="20"/>
                <w:szCs w:val="20"/>
                <w:color w:val="auto"/>
              </w:rPr>
            </w:pPr>
            <w:r>
              <w:rPr>
                <w:rFonts w:ascii="Arial" w:cs="Arial" w:eastAsia="Arial" w:hAnsi="Arial"/>
                <w:sz w:val="18"/>
                <w:szCs w:val="18"/>
                <w:color w:val="51555C"/>
                <w:w w:val="96"/>
              </w:rPr>
              <w:t>Yes</w:t>
            </w:r>
          </w:p>
        </w:tc>
        <w:tc>
          <w:tcPr>
            <w:tcW w:w="920" w:type="dxa"/>
            <w:vAlign w:val="bottom"/>
          </w:tcPr>
          <w:p>
            <w:pPr>
              <w:jc w:val="center"/>
              <w:ind w:left="30"/>
              <w:spacing w:after="0"/>
              <w:rPr>
                <w:sz w:val="20"/>
                <w:szCs w:val="20"/>
                <w:color w:val="auto"/>
              </w:rPr>
            </w:pPr>
            <w:r>
              <w:rPr>
                <w:rFonts w:ascii="Arial" w:cs="Arial" w:eastAsia="Arial" w:hAnsi="Arial"/>
                <w:sz w:val="18"/>
                <w:szCs w:val="18"/>
                <w:color w:val="51555C"/>
              </w:rPr>
              <w:t>None</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ind w:left="180"/>
              <w:spacing w:after="0"/>
              <w:rPr>
                <w:sz w:val="20"/>
                <w:szCs w:val="20"/>
                <w:color w:val="auto"/>
              </w:rPr>
            </w:pPr>
            <w:r>
              <w:rPr>
                <w:rFonts w:ascii="Wingdings" w:cs="Wingdings" w:eastAsia="Wingdings" w:hAnsi="Wingdings"/>
                <w:sz w:val="22"/>
                <w:szCs w:val="22"/>
                <w:b w:val="1"/>
                <w:bCs w:val="1"/>
                <w:color w:val="0CD973"/>
              </w:rPr>
              <w:t>l</w:t>
            </w:r>
          </w:p>
        </w:tc>
      </w:tr>
      <w:tr>
        <w:trPr>
          <w:trHeight w:val="162"/>
        </w:trPr>
        <w:tc>
          <w:tcPr>
            <w:tcW w:w="3600" w:type="dxa"/>
            <w:vAlign w:val="bottom"/>
          </w:tcPr>
          <w:p>
            <w:pPr>
              <w:ind w:left="20"/>
              <w:spacing w:after="0"/>
              <w:rPr>
                <w:sz w:val="20"/>
                <w:szCs w:val="20"/>
                <w:color w:val="auto"/>
              </w:rPr>
            </w:pPr>
            <w:r>
              <w:rPr>
                <w:rFonts w:ascii="Arial" w:cs="Arial" w:eastAsia="Arial" w:hAnsi="Arial"/>
                <w:sz w:val="14"/>
                <w:szCs w:val="14"/>
                <w:color w:val="51555C"/>
              </w:rPr>
              <w:t>Vice President and Global Chief Information Security</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90"/>
        </w:trPr>
        <w:tc>
          <w:tcPr>
            <w:tcW w:w="3600" w:type="dxa"/>
            <w:vAlign w:val="bottom"/>
          </w:tcPr>
          <w:p>
            <w:pPr>
              <w:ind w:left="20"/>
              <w:spacing w:after="0"/>
              <w:rPr>
                <w:sz w:val="20"/>
                <w:szCs w:val="20"/>
                <w:color w:val="auto"/>
              </w:rPr>
            </w:pPr>
            <w:r>
              <w:rPr>
                <w:rFonts w:ascii="Arial" w:cs="Arial" w:eastAsia="Arial" w:hAnsi="Arial"/>
                <w:sz w:val="14"/>
                <w:szCs w:val="14"/>
                <w:color w:val="51555C"/>
              </w:rPr>
              <w:t>Officer of United Airlines, Inc.</w:t>
            </w: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23"/>
        </w:trPr>
        <w:tc>
          <w:tcPr>
            <w:tcW w:w="3600" w:type="dxa"/>
            <w:vAlign w:val="bottom"/>
          </w:tcPr>
          <w:p>
            <w:pPr>
              <w:ind w:left="20"/>
              <w:spacing w:after="0"/>
              <w:rPr>
                <w:sz w:val="20"/>
                <w:szCs w:val="20"/>
                <w:color w:val="auto"/>
              </w:rPr>
            </w:pPr>
            <w:r>
              <w:rPr>
                <w:rFonts w:ascii="Arial" w:cs="Arial" w:eastAsia="Arial" w:hAnsi="Arial"/>
                <w:sz w:val="18"/>
                <w:szCs w:val="18"/>
                <w:b w:val="1"/>
                <w:bCs w:val="1"/>
                <w:color w:val="51555C"/>
              </w:rPr>
              <w:t>Michael P. Gianoni</w:t>
            </w:r>
          </w:p>
        </w:tc>
        <w:tc>
          <w:tcPr>
            <w:tcW w:w="500" w:type="dxa"/>
            <w:vAlign w:val="bottom"/>
          </w:tcPr>
          <w:p>
            <w:pPr>
              <w:jc w:val="right"/>
              <w:ind w:right="70"/>
              <w:spacing w:after="0"/>
              <w:rPr>
                <w:sz w:val="20"/>
                <w:szCs w:val="20"/>
                <w:color w:val="auto"/>
              </w:rPr>
            </w:pPr>
            <w:r>
              <w:rPr>
                <w:rFonts w:ascii="Arial" w:cs="Arial" w:eastAsia="Arial" w:hAnsi="Arial"/>
                <w:sz w:val="18"/>
                <w:szCs w:val="18"/>
                <w:color w:val="51555C"/>
              </w:rPr>
              <w:t>65</w:t>
            </w:r>
          </w:p>
        </w:tc>
        <w:tc>
          <w:tcPr>
            <w:tcW w:w="780" w:type="dxa"/>
            <w:vAlign w:val="bottom"/>
          </w:tcPr>
          <w:p>
            <w:pPr>
              <w:jc w:val="right"/>
              <w:ind w:right="130"/>
              <w:spacing w:after="0"/>
              <w:rPr>
                <w:sz w:val="20"/>
                <w:szCs w:val="20"/>
                <w:color w:val="auto"/>
              </w:rPr>
            </w:pPr>
            <w:r>
              <w:rPr>
                <w:rFonts w:ascii="Arial" w:cs="Arial" w:eastAsia="Arial" w:hAnsi="Arial"/>
                <w:sz w:val="18"/>
                <w:szCs w:val="18"/>
                <w:color w:val="51555C"/>
              </w:rPr>
              <w:t>2014</w:t>
            </w:r>
          </w:p>
        </w:tc>
        <w:tc>
          <w:tcPr>
            <w:tcW w:w="520" w:type="dxa"/>
            <w:vAlign w:val="bottom"/>
          </w:tcPr>
          <w:p>
            <w:pPr>
              <w:ind w:left="200"/>
              <w:spacing w:after="0"/>
              <w:rPr>
                <w:sz w:val="20"/>
                <w:szCs w:val="20"/>
                <w:color w:val="auto"/>
              </w:rPr>
            </w:pPr>
            <w:r>
              <w:rPr>
                <w:rFonts w:ascii="Arial" w:cs="Arial" w:eastAsia="Arial" w:hAnsi="Arial"/>
                <w:sz w:val="18"/>
                <w:szCs w:val="18"/>
                <w:color w:val="51555C"/>
              </w:rPr>
              <w:t>C</w:t>
            </w:r>
          </w:p>
        </w:tc>
        <w:tc>
          <w:tcPr>
            <w:tcW w:w="900" w:type="dxa"/>
            <w:vAlign w:val="bottom"/>
          </w:tcPr>
          <w:p>
            <w:pPr>
              <w:jc w:val="right"/>
              <w:ind w:right="210"/>
              <w:spacing w:after="0"/>
              <w:rPr>
                <w:sz w:val="20"/>
                <w:szCs w:val="20"/>
                <w:color w:val="auto"/>
              </w:rPr>
            </w:pPr>
            <w:r>
              <w:rPr>
                <w:rFonts w:ascii="Arial" w:cs="Arial" w:eastAsia="Arial" w:hAnsi="Arial"/>
                <w:sz w:val="18"/>
                <w:szCs w:val="18"/>
                <w:color w:val="51555C"/>
              </w:rPr>
              <w:t>2028</w:t>
            </w:r>
          </w:p>
        </w:tc>
        <w:tc>
          <w:tcPr>
            <w:tcW w:w="800" w:type="dxa"/>
            <w:vAlign w:val="bottom"/>
          </w:tcPr>
          <w:p>
            <w:pPr>
              <w:jc w:val="right"/>
              <w:ind w:right="350"/>
              <w:spacing w:after="0"/>
              <w:rPr>
                <w:sz w:val="20"/>
                <w:szCs w:val="20"/>
                <w:color w:val="auto"/>
              </w:rPr>
            </w:pPr>
            <w:r>
              <w:rPr>
                <w:rFonts w:ascii="Arial" w:cs="Arial" w:eastAsia="Arial" w:hAnsi="Arial"/>
                <w:sz w:val="18"/>
                <w:szCs w:val="18"/>
                <w:color w:val="51555C"/>
              </w:rPr>
              <w:t>-</w:t>
            </w:r>
          </w:p>
        </w:tc>
        <w:tc>
          <w:tcPr>
            <w:tcW w:w="1060" w:type="dxa"/>
            <w:vAlign w:val="bottom"/>
          </w:tcPr>
          <w:p>
            <w:pPr>
              <w:jc w:val="center"/>
              <w:ind w:left="30"/>
              <w:spacing w:after="0"/>
              <w:rPr>
                <w:sz w:val="20"/>
                <w:szCs w:val="20"/>
                <w:color w:val="auto"/>
              </w:rPr>
            </w:pPr>
            <w:r>
              <w:rPr>
                <w:rFonts w:ascii="Arial" w:cs="Arial" w:eastAsia="Arial" w:hAnsi="Arial"/>
                <w:sz w:val="18"/>
                <w:szCs w:val="18"/>
                <w:color w:val="51555C"/>
                <w:w w:val="95"/>
              </w:rPr>
              <w:t>No</w:t>
            </w:r>
          </w:p>
        </w:tc>
        <w:tc>
          <w:tcPr>
            <w:tcW w:w="920" w:type="dxa"/>
            <w:vAlign w:val="bottom"/>
          </w:tcPr>
          <w:p>
            <w:pPr>
              <w:jc w:val="center"/>
              <w:ind w:left="50"/>
              <w:spacing w:after="0"/>
              <w:rPr>
                <w:sz w:val="20"/>
                <w:szCs w:val="20"/>
                <w:color w:val="auto"/>
              </w:rPr>
            </w:pPr>
            <w:r>
              <w:rPr>
                <w:rFonts w:ascii="Arial" w:cs="Arial" w:eastAsia="Arial" w:hAnsi="Arial"/>
                <w:sz w:val="18"/>
                <w:szCs w:val="18"/>
                <w:color w:val="51555C"/>
                <w:w w:val="99"/>
              </w:rPr>
              <w:t>1</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62"/>
        </w:trPr>
        <w:tc>
          <w:tcPr>
            <w:tcW w:w="3600" w:type="dxa"/>
            <w:vAlign w:val="bottom"/>
          </w:tcPr>
          <w:p>
            <w:pPr>
              <w:ind w:left="20"/>
              <w:spacing w:after="0"/>
              <w:rPr>
                <w:sz w:val="20"/>
                <w:szCs w:val="20"/>
                <w:color w:val="auto"/>
              </w:rPr>
            </w:pPr>
            <w:r>
              <w:rPr>
                <w:rFonts w:ascii="Arial" w:cs="Arial" w:eastAsia="Arial" w:hAnsi="Arial"/>
                <w:sz w:val="14"/>
                <w:szCs w:val="14"/>
                <w:color w:val="51555C"/>
              </w:rPr>
              <w:t>Chief Executive Officer, President and Vice Chairman</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90"/>
        </w:trPr>
        <w:tc>
          <w:tcPr>
            <w:tcW w:w="3600" w:type="dxa"/>
            <w:vAlign w:val="bottom"/>
          </w:tcPr>
          <w:p>
            <w:pPr>
              <w:ind w:left="20"/>
              <w:spacing w:after="0"/>
              <w:rPr>
                <w:sz w:val="20"/>
                <w:szCs w:val="20"/>
                <w:color w:val="auto"/>
              </w:rPr>
            </w:pPr>
            <w:r>
              <w:rPr>
                <w:rFonts w:ascii="Arial" w:cs="Arial" w:eastAsia="Arial" w:hAnsi="Arial"/>
                <w:sz w:val="14"/>
                <w:szCs w:val="14"/>
                <w:color w:val="51555C"/>
              </w:rPr>
              <w:t>of the Board of Blackbaud, Inc.</w:t>
            </w: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5"/>
        </w:trPr>
        <w:tc>
          <w:tcPr>
            <w:tcW w:w="3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88"/>
        </w:trPr>
        <w:tc>
          <w:tcPr>
            <w:tcW w:w="360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Rupal S. Hollenbeck</w:t>
            </w:r>
            <w:r>
              <w:rPr>
                <w:rFonts w:ascii="Arial" w:cs="Arial" w:eastAsia="Arial" w:hAnsi="Arial"/>
                <w:sz w:val="23"/>
                <w:szCs w:val="23"/>
                <w:b w:val="1"/>
                <w:bCs w:val="1"/>
                <w:color w:val="51555C"/>
                <w:vertAlign w:val="superscript"/>
              </w:rPr>
              <w:t>(1)</w:t>
            </w:r>
          </w:p>
        </w:tc>
        <w:tc>
          <w:tcPr>
            <w:tcW w:w="500" w:type="dxa"/>
            <w:vAlign w:val="bottom"/>
            <w:shd w:val="clear" w:color="auto" w:fill="EBFBFF"/>
          </w:tcPr>
          <w:p>
            <w:pPr>
              <w:jc w:val="right"/>
              <w:ind w:right="70"/>
              <w:spacing w:after="0"/>
              <w:rPr>
                <w:sz w:val="20"/>
                <w:szCs w:val="20"/>
                <w:color w:val="auto"/>
              </w:rPr>
            </w:pPr>
            <w:r>
              <w:rPr>
                <w:rFonts w:ascii="Arial" w:cs="Arial" w:eastAsia="Arial" w:hAnsi="Arial"/>
                <w:sz w:val="18"/>
                <w:szCs w:val="18"/>
                <w:color w:val="51555C"/>
              </w:rPr>
              <w:t>54</w:t>
            </w:r>
          </w:p>
        </w:tc>
        <w:tc>
          <w:tcPr>
            <w:tcW w:w="780" w:type="dxa"/>
            <w:vAlign w:val="bottom"/>
            <w:shd w:val="clear" w:color="auto" w:fill="EBFBFF"/>
          </w:tcPr>
          <w:p>
            <w:pPr>
              <w:jc w:val="right"/>
              <w:ind w:right="130"/>
              <w:spacing w:after="0"/>
              <w:rPr>
                <w:sz w:val="20"/>
                <w:szCs w:val="20"/>
                <w:color w:val="auto"/>
              </w:rPr>
            </w:pPr>
            <w:r>
              <w:rPr>
                <w:rFonts w:ascii="Arial" w:cs="Arial" w:eastAsia="Arial" w:hAnsi="Arial"/>
                <w:sz w:val="18"/>
                <w:szCs w:val="18"/>
                <w:color w:val="51555C"/>
              </w:rPr>
              <w:t>2022</w:t>
            </w:r>
          </w:p>
        </w:tc>
        <w:tc>
          <w:tcPr>
            <w:tcW w:w="520" w:type="dxa"/>
            <w:vAlign w:val="bottom"/>
            <w:shd w:val="clear" w:color="auto" w:fill="EBFBFF"/>
          </w:tcPr>
          <w:p>
            <w:pPr>
              <w:ind w:left="200"/>
              <w:spacing w:after="0"/>
              <w:rPr>
                <w:sz w:val="20"/>
                <w:szCs w:val="20"/>
                <w:color w:val="auto"/>
              </w:rPr>
            </w:pPr>
            <w:r>
              <w:rPr>
                <w:rFonts w:ascii="Arial" w:cs="Arial" w:eastAsia="Arial" w:hAnsi="Arial"/>
                <w:sz w:val="18"/>
                <w:szCs w:val="18"/>
                <w:color w:val="51555C"/>
              </w:rPr>
              <w:t>A</w:t>
            </w:r>
          </w:p>
        </w:tc>
        <w:tc>
          <w:tcPr>
            <w:tcW w:w="900" w:type="dxa"/>
            <w:vAlign w:val="bottom"/>
            <w:shd w:val="clear" w:color="auto" w:fill="EBFBFF"/>
          </w:tcPr>
          <w:p>
            <w:pPr>
              <w:jc w:val="right"/>
              <w:ind w:right="210"/>
              <w:spacing w:after="0"/>
              <w:rPr>
                <w:sz w:val="20"/>
                <w:szCs w:val="20"/>
                <w:color w:val="auto"/>
              </w:rPr>
            </w:pPr>
            <w:r>
              <w:rPr>
                <w:rFonts w:ascii="Arial" w:cs="Arial" w:eastAsia="Arial" w:hAnsi="Arial"/>
                <w:sz w:val="18"/>
                <w:szCs w:val="18"/>
                <w:color w:val="51555C"/>
              </w:rPr>
              <w:t>2026</w:t>
            </w:r>
          </w:p>
        </w:tc>
        <w:tc>
          <w:tcPr>
            <w:tcW w:w="800" w:type="dxa"/>
            <w:vAlign w:val="bottom"/>
            <w:shd w:val="clear" w:color="auto" w:fill="EBFBFF"/>
          </w:tcPr>
          <w:p>
            <w:pPr>
              <w:jc w:val="right"/>
              <w:ind w:right="350"/>
              <w:spacing w:after="0"/>
              <w:rPr>
                <w:sz w:val="20"/>
                <w:szCs w:val="20"/>
                <w:color w:val="auto"/>
              </w:rPr>
            </w:pPr>
            <w:r>
              <w:rPr>
                <w:rFonts w:ascii="Arial" w:cs="Arial" w:eastAsia="Arial" w:hAnsi="Arial"/>
                <w:sz w:val="18"/>
                <w:szCs w:val="18"/>
                <w:color w:val="51555C"/>
              </w:rPr>
              <w:t>-</w:t>
            </w:r>
          </w:p>
        </w:tc>
        <w:tc>
          <w:tcPr>
            <w:tcW w:w="1060" w:type="dxa"/>
            <w:vAlign w:val="bottom"/>
            <w:shd w:val="clear" w:color="auto" w:fill="EBFBFF"/>
          </w:tcPr>
          <w:p>
            <w:pPr>
              <w:jc w:val="center"/>
              <w:ind w:left="30"/>
              <w:spacing w:after="0"/>
              <w:rPr>
                <w:sz w:val="20"/>
                <w:szCs w:val="20"/>
                <w:color w:val="auto"/>
              </w:rPr>
            </w:pPr>
            <w:r>
              <w:rPr>
                <w:rFonts w:ascii="Arial" w:cs="Arial" w:eastAsia="Arial" w:hAnsi="Arial"/>
                <w:sz w:val="18"/>
                <w:szCs w:val="18"/>
                <w:color w:val="51555C"/>
                <w:w w:val="96"/>
              </w:rPr>
              <w:t>Yes</w:t>
            </w:r>
          </w:p>
        </w:tc>
        <w:tc>
          <w:tcPr>
            <w:tcW w:w="920" w:type="dxa"/>
            <w:vAlign w:val="bottom"/>
            <w:shd w:val="clear" w:color="auto" w:fill="EBFBFF"/>
          </w:tcPr>
          <w:p>
            <w:pPr>
              <w:jc w:val="center"/>
              <w:ind w:left="30"/>
              <w:spacing w:after="0"/>
              <w:rPr>
                <w:sz w:val="20"/>
                <w:szCs w:val="20"/>
                <w:color w:val="auto"/>
              </w:rPr>
            </w:pPr>
            <w:r>
              <w:rPr>
                <w:rFonts w:ascii="Arial" w:cs="Arial" w:eastAsia="Arial" w:hAnsi="Arial"/>
                <w:sz w:val="18"/>
                <w:szCs w:val="18"/>
                <w:color w:val="51555C"/>
              </w:rPr>
              <w:t>None</w:t>
            </w:r>
          </w:p>
        </w:tc>
        <w:tc>
          <w:tcPr>
            <w:tcW w:w="540" w:type="dxa"/>
            <w:vAlign w:val="bottom"/>
            <w:shd w:val="clear" w:color="auto" w:fill="EBFBFF"/>
          </w:tcPr>
          <w:p>
            <w:pPr>
              <w:spacing w:after="0"/>
              <w:rPr>
                <w:sz w:val="24"/>
                <w:szCs w:val="24"/>
                <w:color w:val="auto"/>
              </w:rPr>
            </w:pPr>
          </w:p>
        </w:tc>
        <w:tc>
          <w:tcPr>
            <w:tcW w:w="540" w:type="dxa"/>
            <w:vAlign w:val="bottom"/>
            <w:shd w:val="clear" w:color="auto" w:fill="EBFBFF"/>
          </w:tcPr>
          <w:p>
            <w:pPr>
              <w:spacing w:after="0"/>
              <w:rPr>
                <w:sz w:val="24"/>
                <w:szCs w:val="24"/>
                <w:color w:val="auto"/>
              </w:rPr>
            </w:pPr>
          </w:p>
        </w:tc>
        <w:tc>
          <w:tcPr>
            <w:tcW w:w="540" w:type="dxa"/>
            <w:vAlign w:val="bottom"/>
            <w:shd w:val="clear" w:color="auto" w:fill="EBFBFF"/>
          </w:tcPr>
          <w:p>
            <w:pPr>
              <w:ind w:left="180"/>
              <w:spacing w:after="0"/>
              <w:rPr>
                <w:sz w:val="20"/>
                <w:szCs w:val="20"/>
                <w:color w:val="auto"/>
              </w:rPr>
            </w:pPr>
            <w:r>
              <w:rPr>
                <w:rFonts w:ascii="Wingdings" w:cs="Wingdings" w:eastAsia="Wingdings" w:hAnsi="Wingdings"/>
                <w:sz w:val="22"/>
                <w:szCs w:val="22"/>
                <w:b w:val="1"/>
                <w:bCs w:val="1"/>
                <w:color w:val="51555C"/>
              </w:rPr>
              <w:t>l</w:t>
            </w:r>
          </w:p>
        </w:tc>
        <w:tc>
          <w:tcPr>
            <w:tcW w:w="540" w:type="dxa"/>
            <w:vAlign w:val="bottom"/>
            <w:shd w:val="clear" w:color="auto" w:fill="EBFBFF"/>
          </w:tcPr>
          <w:p>
            <w:pPr>
              <w:spacing w:after="0"/>
              <w:rPr>
                <w:sz w:val="24"/>
                <w:szCs w:val="24"/>
                <w:color w:val="auto"/>
              </w:rPr>
            </w:pPr>
          </w:p>
        </w:tc>
      </w:tr>
      <w:tr>
        <w:trPr>
          <w:trHeight w:val="192"/>
        </w:trPr>
        <w:tc>
          <w:tcPr>
            <w:tcW w:w="36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Chair of the Board of Directors of LayerX Security Ltd.</w:t>
            </w:r>
          </w:p>
        </w:tc>
        <w:tc>
          <w:tcPr>
            <w:tcW w:w="500" w:type="dxa"/>
            <w:vAlign w:val="bottom"/>
            <w:tcBorders>
              <w:bottom w:val="single" w:sz="8" w:color="EBFBFF"/>
            </w:tcBorders>
            <w:shd w:val="clear" w:color="auto" w:fill="EBFBFF"/>
          </w:tcPr>
          <w:p>
            <w:pPr>
              <w:spacing w:after="0"/>
              <w:rPr>
                <w:sz w:val="16"/>
                <w:szCs w:val="16"/>
                <w:color w:val="auto"/>
              </w:rPr>
            </w:pPr>
          </w:p>
        </w:tc>
        <w:tc>
          <w:tcPr>
            <w:tcW w:w="780" w:type="dxa"/>
            <w:vAlign w:val="bottom"/>
            <w:tcBorders>
              <w:bottom w:val="single" w:sz="8" w:color="EBFBFF"/>
            </w:tcBorders>
            <w:shd w:val="clear" w:color="auto" w:fill="EBFBFF"/>
          </w:tcPr>
          <w:p>
            <w:pPr>
              <w:spacing w:after="0"/>
              <w:rPr>
                <w:sz w:val="16"/>
                <w:szCs w:val="16"/>
                <w:color w:val="auto"/>
              </w:rPr>
            </w:pPr>
          </w:p>
        </w:tc>
        <w:tc>
          <w:tcPr>
            <w:tcW w:w="520" w:type="dxa"/>
            <w:vAlign w:val="bottom"/>
            <w:tcBorders>
              <w:bottom w:val="single" w:sz="8" w:color="EBFBFF"/>
            </w:tcBorders>
            <w:shd w:val="clear" w:color="auto" w:fill="EBFBFF"/>
          </w:tcPr>
          <w:p>
            <w:pPr>
              <w:spacing w:after="0"/>
              <w:rPr>
                <w:sz w:val="16"/>
                <w:szCs w:val="16"/>
                <w:color w:val="auto"/>
              </w:rPr>
            </w:pPr>
          </w:p>
        </w:tc>
        <w:tc>
          <w:tcPr>
            <w:tcW w:w="900" w:type="dxa"/>
            <w:vAlign w:val="bottom"/>
            <w:tcBorders>
              <w:bottom w:val="single" w:sz="8" w:color="EBFBFF"/>
            </w:tcBorders>
            <w:shd w:val="clear" w:color="auto" w:fill="EBFBFF"/>
          </w:tcPr>
          <w:p>
            <w:pPr>
              <w:spacing w:after="0"/>
              <w:rPr>
                <w:sz w:val="16"/>
                <w:szCs w:val="16"/>
                <w:color w:val="auto"/>
              </w:rPr>
            </w:pPr>
          </w:p>
        </w:tc>
        <w:tc>
          <w:tcPr>
            <w:tcW w:w="800" w:type="dxa"/>
            <w:vAlign w:val="bottom"/>
            <w:tcBorders>
              <w:bottom w:val="single" w:sz="8" w:color="EBFBFF"/>
            </w:tcBorders>
            <w:shd w:val="clear" w:color="auto" w:fill="EBFBFF"/>
          </w:tcPr>
          <w:p>
            <w:pPr>
              <w:spacing w:after="0"/>
              <w:rPr>
                <w:sz w:val="16"/>
                <w:szCs w:val="16"/>
                <w:color w:val="auto"/>
              </w:rPr>
            </w:pPr>
          </w:p>
        </w:tc>
        <w:tc>
          <w:tcPr>
            <w:tcW w:w="1060" w:type="dxa"/>
            <w:vAlign w:val="bottom"/>
            <w:tcBorders>
              <w:bottom w:val="single" w:sz="8" w:color="EBFBFF"/>
            </w:tcBorders>
            <w:shd w:val="clear" w:color="auto" w:fill="EBFBFF"/>
          </w:tcPr>
          <w:p>
            <w:pPr>
              <w:spacing w:after="0"/>
              <w:rPr>
                <w:sz w:val="16"/>
                <w:szCs w:val="16"/>
                <w:color w:val="auto"/>
              </w:rPr>
            </w:pPr>
          </w:p>
        </w:tc>
        <w:tc>
          <w:tcPr>
            <w:tcW w:w="920" w:type="dxa"/>
            <w:vAlign w:val="bottom"/>
            <w:tcBorders>
              <w:bottom w:val="single" w:sz="8" w:color="EBFBFF"/>
            </w:tcBorders>
            <w:shd w:val="clear" w:color="auto" w:fill="EBFBFF"/>
          </w:tcPr>
          <w:p>
            <w:pPr>
              <w:spacing w:after="0"/>
              <w:rPr>
                <w:sz w:val="16"/>
                <w:szCs w:val="16"/>
                <w:color w:val="auto"/>
              </w:rPr>
            </w:pPr>
          </w:p>
        </w:tc>
        <w:tc>
          <w:tcPr>
            <w:tcW w:w="540" w:type="dxa"/>
            <w:vAlign w:val="bottom"/>
            <w:tcBorders>
              <w:bottom w:val="single" w:sz="8" w:color="EBFBFF"/>
            </w:tcBorders>
            <w:shd w:val="clear" w:color="auto" w:fill="EBFBFF"/>
          </w:tcPr>
          <w:p>
            <w:pPr>
              <w:spacing w:after="0"/>
              <w:rPr>
                <w:sz w:val="16"/>
                <w:szCs w:val="16"/>
                <w:color w:val="auto"/>
              </w:rPr>
            </w:pPr>
          </w:p>
        </w:tc>
        <w:tc>
          <w:tcPr>
            <w:tcW w:w="540" w:type="dxa"/>
            <w:vAlign w:val="bottom"/>
            <w:tcBorders>
              <w:bottom w:val="single" w:sz="8" w:color="EBFBFF"/>
            </w:tcBorders>
            <w:shd w:val="clear" w:color="auto" w:fill="EBFBFF"/>
          </w:tcPr>
          <w:p>
            <w:pPr>
              <w:spacing w:after="0"/>
              <w:rPr>
                <w:sz w:val="16"/>
                <w:szCs w:val="16"/>
                <w:color w:val="auto"/>
              </w:rPr>
            </w:pPr>
          </w:p>
        </w:tc>
        <w:tc>
          <w:tcPr>
            <w:tcW w:w="540" w:type="dxa"/>
            <w:vAlign w:val="bottom"/>
            <w:tcBorders>
              <w:bottom w:val="single" w:sz="8" w:color="EBFBFF"/>
            </w:tcBorders>
            <w:shd w:val="clear" w:color="auto" w:fill="EBFBFF"/>
          </w:tcPr>
          <w:p>
            <w:pPr>
              <w:spacing w:after="0"/>
              <w:rPr>
                <w:sz w:val="16"/>
                <w:szCs w:val="16"/>
                <w:color w:val="auto"/>
              </w:rPr>
            </w:pPr>
          </w:p>
        </w:tc>
        <w:tc>
          <w:tcPr>
            <w:tcW w:w="540" w:type="dxa"/>
            <w:vAlign w:val="bottom"/>
            <w:tcBorders>
              <w:bottom w:val="single" w:sz="8" w:color="EBFBFF"/>
            </w:tcBorders>
            <w:shd w:val="clear" w:color="auto" w:fill="EBFBFF"/>
          </w:tcPr>
          <w:p>
            <w:pPr>
              <w:spacing w:after="0"/>
              <w:rPr>
                <w:sz w:val="16"/>
                <w:szCs w:val="16"/>
                <w:color w:val="auto"/>
              </w:rPr>
            </w:pPr>
          </w:p>
        </w:tc>
      </w:tr>
      <w:tr>
        <w:trPr>
          <w:trHeight w:val="288"/>
        </w:trPr>
        <w:tc>
          <w:tcPr>
            <w:tcW w:w="3600" w:type="dxa"/>
            <w:vAlign w:val="bottom"/>
          </w:tcPr>
          <w:p>
            <w:pPr>
              <w:ind w:left="20"/>
              <w:spacing w:after="0"/>
              <w:rPr>
                <w:sz w:val="20"/>
                <w:szCs w:val="20"/>
                <w:color w:val="auto"/>
              </w:rPr>
            </w:pPr>
            <w:r>
              <w:rPr>
                <w:rFonts w:ascii="Arial" w:cs="Arial" w:eastAsia="Arial" w:hAnsi="Arial"/>
                <w:sz w:val="18"/>
                <w:szCs w:val="18"/>
                <w:b w:val="1"/>
                <w:bCs w:val="1"/>
                <w:color w:val="51555C"/>
              </w:rPr>
              <w:t>Andrew M. Leitch</w:t>
            </w:r>
          </w:p>
        </w:tc>
        <w:tc>
          <w:tcPr>
            <w:tcW w:w="500" w:type="dxa"/>
            <w:vAlign w:val="bottom"/>
          </w:tcPr>
          <w:p>
            <w:pPr>
              <w:jc w:val="right"/>
              <w:ind w:right="70"/>
              <w:spacing w:after="0"/>
              <w:rPr>
                <w:sz w:val="20"/>
                <w:szCs w:val="20"/>
                <w:color w:val="auto"/>
              </w:rPr>
            </w:pPr>
            <w:r>
              <w:rPr>
                <w:rFonts w:ascii="Arial" w:cs="Arial" w:eastAsia="Arial" w:hAnsi="Arial"/>
                <w:sz w:val="18"/>
                <w:szCs w:val="18"/>
                <w:color w:val="51555C"/>
              </w:rPr>
              <w:t>82</w:t>
            </w:r>
          </w:p>
        </w:tc>
        <w:tc>
          <w:tcPr>
            <w:tcW w:w="780" w:type="dxa"/>
            <w:vAlign w:val="bottom"/>
          </w:tcPr>
          <w:p>
            <w:pPr>
              <w:jc w:val="right"/>
              <w:ind w:right="130"/>
              <w:spacing w:after="0"/>
              <w:rPr>
                <w:sz w:val="20"/>
                <w:szCs w:val="20"/>
                <w:color w:val="auto"/>
              </w:rPr>
            </w:pPr>
            <w:r>
              <w:rPr>
                <w:rFonts w:ascii="Arial" w:cs="Arial" w:eastAsia="Arial" w:hAnsi="Arial"/>
                <w:sz w:val="18"/>
                <w:szCs w:val="18"/>
                <w:color w:val="51555C"/>
              </w:rPr>
              <w:t>2004</w:t>
            </w:r>
          </w:p>
        </w:tc>
        <w:tc>
          <w:tcPr>
            <w:tcW w:w="520" w:type="dxa"/>
            <w:vAlign w:val="bottom"/>
          </w:tcPr>
          <w:p>
            <w:pPr>
              <w:ind w:left="200"/>
              <w:spacing w:after="0"/>
              <w:rPr>
                <w:sz w:val="20"/>
                <w:szCs w:val="20"/>
                <w:color w:val="auto"/>
              </w:rPr>
            </w:pPr>
            <w:r>
              <w:rPr>
                <w:rFonts w:ascii="Arial" w:cs="Arial" w:eastAsia="Arial" w:hAnsi="Arial"/>
                <w:sz w:val="18"/>
                <w:szCs w:val="18"/>
                <w:color w:val="51555C"/>
              </w:rPr>
              <w:t>B</w:t>
            </w:r>
          </w:p>
        </w:tc>
        <w:tc>
          <w:tcPr>
            <w:tcW w:w="900" w:type="dxa"/>
            <w:vAlign w:val="bottom"/>
          </w:tcPr>
          <w:p>
            <w:pPr>
              <w:jc w:val="right"/>
              <w:ind w:right="210"/>
              <w:spacing w:after="0"/>
              <w:rPr>
                <w:sz w:val="20"/>
                <w:szCs w:val="20"/>
                <w:color w:val="auto"/>
              </w:rPr>
            </w:pPr>
            <w:r>
              <w:rPr>
                <w:rFonts w:ascii="Arial" w:cs="Arial" w:eastAsia="Arial" w:hAnsi="Arial"/>
                <w:sz w:val="18"/>
                <w:szCs w:val="18"/>
                <w:color w:val="51555C"/>
              </w:rPr>
              <w:t>2027</w:t>
            </w:r>
          </w:p>
        </w:tc>
        <w:tc>
          <w:tcPr>
            <w:tcW w:w="800" w:type="dxa"/>
            <w:vAlign w:val="bottom"/>
          </w:tcPr>
          <w:p>
            <w:pPr>
              <w:jc w:val="right"/>
              <w:ind w:right="350"/>
              <w:spacing w:after="0"/>
              <w:rPr>
                <w:sz w:val="20"/>
                <w:szCs w:val="20"/>
                <w:color w:val="auto"/>
              </w:rPr>
            </w:pPr>
            <w:r>
              <w:rPr>
                <w:rFonts w:ascii="Arial" w:cs="Arial" w:eastAsia="Arial" w:hAnsi="Arial"/>
                <w:sz w:val="18"/>
                <w:szCs w:val="18"/>
                <w:color w:val="51555C"/>
              </w:rPr>
              <w:t>-</w:t>
            </w:r>
          </w:p>
        </w:tc>
        <w:tc>
          <w:tcPr>
            <w:tcW w:w="1060" w:type="dxa"/>
            <w:vAlign w:val="bottom"/>
          </w:tcPr>
          <w:p>
            <w:pPr>
              <w:jc w:val="center"/>
              <w:ind w:left="30"/>
              <w:spacing w:after="0"/>
              <w:rPr>
                <w:sz w:val="20"/>
                <w:szCs w:val="20"/>
                <w:color w:val="auto"/>
              </w:rPr>
            </w:pPr>
            <w:r>
              <w:rPr>
                <w:rFonts w:ascii="Arial" w:cs="Arial" w:eastAsia="Arial" w:hAnsi="Arial"/>
                <w:sz w:val="18"/>
                <w:szCs w:val="18"/>
                <w:color w:val="51555C"/>
                <w:w w:val="96"/>
              </w:rPr>
              <w:t>Yes</w:t>
            </w:r>
          </w:p>
        </w:tc>
        <w:tc>
          <w:tcPr>
            <w:tcW w:w="920" w:type="dxa"/>
            <w:vAlign w:val="bottom"/>
          </w:tcPr>
          <w:p>
            <w:pPr>
              <w:jc w:val="center"/>
              <w:ind w:left="30"/>
              <w:spacing w:after="0"/>
              <w:rPr>
                <w:sz w:val="20"/>
                <w:szCs w:val="20"/>
                <w:color w:val="auto"/>
              </w:rPr>
            </w:pPr>
            <w:r>
              <w:rPr>
                <w:rFonts w:ascii="Arial" w:cs="Arial" w:eastAsia="Arial" w:hAnsi="Arial"/>
                <w:sz w:val="18"/>
                <w:szCs w:val="18"/>
                <w:color w:val="51555C"/>
              </w:rPr>
              <w:t>None</w:t>
            </w:r>
          </w:p>
        </w:tc>
        <w:tc>
          <w:tcPr>
            <w:tcW w:w="540" w:type="dxa"/>
            <w:vAlign w:val="bottom"/>
          </w:tcPr>
          <w:p>
            <w:pPr>
              <w:ind w:left="180"/>
              <w:spacing w:after="0"/>
              <w:rPr>
                <w:sz w:val="20"/>
                <w:szCs w:val="20"/>
                <w:color w:val="auto"/>
              </w:rPr>
            </w:pPr>
            <w:r>
              <w:rPr>
                <w:rFonts w:ascii="Wingdings" w:cs="Wingdings" w:eastAsia="Wingdings" w:hAnsi="Wingdings"/>
                <w:sz w:val="22"/>
                <w:szCs w:val="22"/>
                <w:b w:val="1"/>
                <w:bCs w:val="1"/>
                <w:color w:val="51555C"/>
              </w:rPr>
              <w:t>l</w:t>
            </w:r>
          </w:p>
        </w:tc>
        <w:tc>
          <w:tcPr>
            <w:tcW w:w="540" w:type="dxa"/>
            <w:vAlign w:val="bottom"/>
          </w:tcPr>
          <w:p>
            <w:pPr>
              <w:ind w:left="180"/>
              <w:spacing w:after="0"/>
              <w:rPr>
                <w:sz w:val="20"/>
                <w:szCs w:val="20"/>
                <w:color w:val="auto"/>
              </w:rPr>
            </w:pPr>
            <w:r>
              <w:rPr>
                <w:rFonts w:ascii="Wingdings" w:cs="Wingdings" w:eastAsia="Wingdings" w:hAnsi="Wingdings"/>
                <w:sz w:val="22"/>
                <w:szCs w:val="22"/>
                <w:b w:val="1"/>
                <w:bCs w:val="1"/>
                <w:color w:val="51555C"/>
              </w:rPr>
              <w:t>l</w:t>
            </w:r>
          </w:p>
        </w:tc>
        <w:tc>
          <w:tcPr>
            <w:tcW w:w="540" w:type="dxa"/>
            <w:vAlign w:val="bottom"/>
          </w:tcPr>
          <w:p>
            <w:pPr>
              <w:ind w:left="180"/>
              <w:spacing w:after="0"/>
              <w:rPr>
                <w:sz w:val="20"/>
                <w:szCs w:val="20"/>
                <w:color w:val="auto"/>
              </w:rPr>
            </w:pPr>
            <w:r>
              <w:rPr>
                <w:rFonts w:ascii="Wingdings" w:cs="Wingdings" w:eastAsia="Wingdings" w:hAnsi="Wingdings"/>
                <w:sz w:val="22"/>
                <w:szCs w:val="22"/>
                <w:b w:val="1"/>
                <w:bCs w:val="1"/>
                <w:color w:val="0CD973"/>
              </w:rPr>
              <w:t>l</w:t>
            </w:r>
          </w:p>
        </w:tc>
        <w:tc>
          <w:tcPr>
            <w:tcW w:w="540" w:type="dxa"/>
            <w:vAlign w:val="bottom"/>
          </w:tcPr>
          <w:p>
            <w:pPr>
              <w:ind w:left="180"/>
              <w:spacing w:after="0"/>
              <w:rPr>
                <w:sz w:val="20"/>
                <w:szCs w:val="20"/>
                <w:color w:val="auto"/>
              </w:rPr>
            </w:pPr>
            <w:r>
              <w:rPr>
                <w:rFonts w:ascii="Wingdings" w:cs="Wingdings" w:eastAsia="Wingdings" w:hAnsi="Wingdings"/>
                <w:sz w:val="22"/>
                <w:szCs w:val="22"/>
                <w:b w:val="1"/>
                <w:bCs w:val="1"/>
                <w:color w:val="51555C"/>
              </w:rPr>
              <w:t>l</w:t>
            </w:r>
          </w:p>
        </w:tc>
      </w:tr>
      <w:tr>
        <w:trPr>
          <w:trHeight w:val="162"/>
        </w:trPr>
        <w:tc>
          <w:tcPr>
            <w:tcW w:w="3600" w:type="dxa"/>
            <w:vAlign w:val="bottom"/>
          </w:tcPr>
          <w:p>
            <w:pPr>
              <w:ind w:left="20"/>
              <w:spacing w:after="0"/>
              <w:rPr>
                <w:sz w:val="20"/>
                <w:szCs w:val="20"/>
                <w:color w:val="auto"/>
              </w:rPr>
            </w:pPr>
            <w:r>
              <w:rPr>
                <w:rFonts w:ascii="Arial" w:cs="Arial" w:eastAsia="Arial" w:hAnsi="Arial"/>
                <w:sz w:val="14"/>
                <w:szCs w:val="14"/>
                <w:color w:val="51555C"/>
              </w:rPr>
              <w:t>Chairman of the Board of Blackbaud, Inc., Regional</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90"/>
        </w:trPr>
        <w:tc>
          <w:tcPr>
            <w:tcW w:w="3600" w:type="dxa"/>
            <w:vAlign w:val="bottom"/>
          </w:tcPr>
          <w:p>
            <w:pPr>
              <w:ind w:left="20"/>
              <w:spacing w:after="0"/>
              <w:rPr>
                <w:sz w:val="20"/>
                <w:szCs w:val="20"/>
                <w:color w:val="auto"/>
              </w:rPr>
            </w:pPr>
            <w:r>
              <w:rPr>
                <w:rFonts w:ascii="Arial" w:cs="Arial" w:eastAsia="Arial" w:hAnsi="Arial"/>
                <w:sz w:val="14"/>
                <w:szCs w:val="14"/>
                <w:color w:val="51555C"/>
              </w:rPr>
              <w:t>Partner - Asia of Deloitte &amp; Touche LLP (Retired)</w:t>
            </w: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5"/>
        </w:trPr>
        <w:tc>
          <w:tcPr>
            <w:tcW w:w="3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88"/>
        </w:trPr>
        <w:tc>
          <w:tcPr>
            <w:tcW w:w="360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D. Roger Nanney</w:t>
            </w:r>
          </w:p>
        </w:tc>
        <w:tc>
          <w:tcPr>
            <w:tcW w:w="500" w:type="dxa"/>
            <w:vAlign w:val="bottom"/>
            <w:shd w:val="clear" w:color="auto" w:fill="EBFBFF"/>
          </w:tcPr>
          <w:p>
            <w:pPr>
              <w:jc w:val="right"/>
              <w:ind w:right="70"/>
              <w:spacing w:after="0"/>
              <w:rPr>
                <w:sz w:val="20"/>
                <w:szCs w:val="20"/>
                <w:color w:val="auto"/>
              </w:rPr>
            </w:pPr>
            <w:r>
              <w:rPr>
                <w:rFonts w:ascii="Arial" w:cs="Arial" w:eastAsia="Arial" w:hAnsi="Arial"/>
                <w:sz w:val="18"/>
                <w:szCs w:val="18"/>
                <w:color w:val="51555C"/>
              </w:rPr>
              <w:t>68</w:t>
            </w:r>
          </w:p>
        </w:tc>
        <w:tc>
          <w:tcPr>
            <w:tcW w:w="780" w:type="dxa"/>
            <w:vAlign w:val="bottom"/>
            <w:shd w:val="clear" w:color="auto" w:fill="EBFBFF"/>
          </w:tcPr>
          <w:p>
            <w:pPr>
              <w:jc w:val="right"/>
              <w:ind w:right="130"/>
              <w:spacing w:after="0"/>
              <w:rPr>
                <w:sz w:val="20"/>
                <w:szCs w:val="20"/>
                <w:color w:val="auto"/>
              </w:rPr>
            </w:pPr>
            <w:r>
              <w:rPr>
                <w:rFonts w:ascii="Arial" w:cs="Arial" w:eastAsia="Arial" w:hAnsi="Arial"/>
                <w:sz w:val="18"/>
                <w:szCs w:val="18"/>
                <w:color w:val="51555C"/>
              </w:rPr>
              <w:t>2021</w:t>
            </w:r>
          </w:p>
        </w:tc>
        <w:tc>
          <w:tcPr>
            <w:tcW w:w="520" w:type="dxa"/>
            <w:vAlign w:val="bottom"/>
            <w:shd w:val="clear" w:color="auto" w:fill="EBFBFF"/>
          </w:tcPr>
          <w:p>
            <w:pPr>
              <w:ind w:left="200"/>
              <w:spacing w:after="0"/>
              <w:rPr>
                <w:sz w:val="20"/>
                <w:szCs w:val="20"/>
                <w:color w:val="auto"/>
              </w:rPr>
            </w:pPr>
            <w:r>
              <w:rPr>
                <w:rFonts w:ascii="Arial" w:cs="Arial" w:eastAsia="Arial" w:hAnsi="Arial"/>
                <w:sz w:val="18"/>
                <w:szCs w:val="18"/>
                <w:color w:val="51555C"/>
              </w:rPr>
              <w:t>C</w:t>
            </w:r>
          </w:p>
        </w:tc>
        <w:tc>
          <w:tcPr>
            <w:tcW w:w="900" w:type="dxa"/>
            <w:vAlign w:val="bottom"/>
            <w:shd w:val="clear" w:color="auto" w:fill="EBFBFF"/>
          </w:tcPr>
          <w:p>
            <w:pPr>
              <w:jc w:val="right"/>
              <w:ind w:right="210"/>
              <w:spacing w:after="0"/>
              <w:rPr>
                <w:sz w:val="20"/>
                <w:szCs w:val="20"/>
                <w:color w:val="auto"/>
              </w:rPr>
            </w:pPr>
            <w:r>
              <w:rPr>
                <w:rFonts w:ascii="Arial" w:cs="Arial" w:eastAsia="Arial" w:hAnsi="Arial"/>
                <w:sz w:val="18"/>
                <w:szCs w:val="18"/>
                <w:color w:val="51555C"/>
              </w:rPr>
              <w:t>2028</w:t>
            </w:r>
          </w:p>
        </w:tc>
        <w:tc>
          <w:tcPr>
            <w:tcW w:w="800" w:type="dxa"/>
            <w:vAlign w:val="bottom"/>
            <w:shd w:val="clear" w:color="auto" w:fill="EBFBFF"/>
          </w:tcPr>
          <w:p>
            <w:pPr>
              <w:jc w:val="right"/>
              <w:ind w:right="350"/>
              <w:spacing w:after="0"/>
              <w:rPr>
                <w:sz w:val="20"/>
                <w:szCs w:val="20"/>
                <w:color w:val="auto"/>
              </w:rPr>
            </w:pPr>
            <w:r>
              <w:rPr>
                <w:rFonts w:ascii="Arial" w:cs="Arial" w:eastAsia="Arial" w:hAnsi="Arial"/>
                <w:sz w:val="18"/>
                <w:szCs w:val="18"/>
                <w:color w:val="51555C"/>
              </w:rPr>
              <w:t>-</w:t>
            </w:r>
          </w:p>
        </w:tc>
        <w:tc>
          <w:tcPr>
            <w:tcW w:w="1060" w:type="dxa"/>
            <w:vAlign w:val="bottom"/>
            <w:shd w:val="clear" w:color="auto" w:fill="EBFBFF"/>
          </w:tcPr>
          <w:p>
            <w:pPr>
              <w:jc w:val="center"/>
              <w:ind w:left="30"/>
              <w:spacing w:after="0"/>
              <w:rPr>
                <w:sz w:val="20"/>
                <w:szCs w:val="20"/>
                <w:color w:val="auto"/>
              </w:rPr>
            </w:pPr>
            <w:r>
              <w:rPr>
                <w:rFonts w:ascii="Arial" w:cs="Arial" w:eastAsia="Arial" w:hAnsi="Arial"/>
                <w:sz w:val="18"/>
                <w:szCs w:val="18"/>
                <w:color w:val="51555C"/>
                <w:w w:val="96"/>
              </w:rPr>
              <w:t>Yes</w:t>
            </w:r>
          </w:p>
        </w:tc>
        <w:tc>
          <w:tcPr>
            <w:tcW w:w="920" w:type="dxa"/>
            <w:vAlign w:val="bottom"/>
            <w:shd w:val="clear" w:color="auto" w:fill="EBFBFF"/>
          </w:tcPr>
          <w:p>
            <w:pPr>
              <w:jc w:val="center"/>
              <w:ind w:left="30"/>
              <w:spacing w:after="0"/>
              <w:rPr>
                <w:sz w:val="20"/>
                <w:szCs w:val="20"/>
                <w:color w:val="auto"/>
              </w:rPr>
            </w:pPr>
            <w:r>
              <w:rPr>
                <w:rFonts w:ascii="Arial" w:cs="Arial" w:eastAsia="Arial" w:hAnsi="Arial"/>
                <w:sz w:val="18"/>
                <w:szCs w:val="18"/>
                <w:color w:val="51555C"/>
              </w:rPr>
              <w:t>None</w:t>
            </w:r>
          </w:p>
        </w:tc>
        <w:tc>
          <w:tcPr>
            <w:tcW w:w="540" w:type="dxa"/>
            <w:vAlign w:val="bottom"/>
            <w:shd w:val="clear" w:color="auto" w:fill="EBFBFF"/>
          </w:tcPr>
          <w:p>
            <w:pPr>
              <w:ind w:left="180"/>
              <w:spacing w:after="0"/>
              <w:rPr>
                <w:sz w:val="20"/>
                <w:szCs w:val="20"/>
                <w:color w:val="auto"/>
              </w:rPr>
            </w:pPr>
            <w:r>
              <w:rPr>
                <w:rFonts w:ascii="Wingdings" w:cs="Wingdings" w:eastAsia="Wingdings" w:hAnsi="Wingdings"/>
                <w:sz w:val="22"/>
                <w:szCs w:val="22"/>
                <w:b w:val="1"/>
                <w:bCs w:val="1"/>
                <w:color w:val="0CD973"/>
              </w:rPr>
              <w:t>l</w:t>
            </w:r>
          </w:p>
        </w:tc>
        <w:tc>
          <w:tcPr>
            <w:tcW w:w="540" w:type="dxa"/>
            <w:vAlign w:val="bottom"/>
            <w:shd w:val="clear" w:color="auto" w:fill="EBFBFF"/>
          </w:tcPr>
          <w:p>
            <w:pPr>
              <w:spacing w:after="0"/>
              <w:rPr>
                <w:sz w:val="24"/>
                <w:szCs w:val="24"/>
                <w:color w:val="auto"/>
              </w:rPr>
            </w:pPr>
          </w:p>
        </w:tc>
        <w:tc>
          <w:tcPr>
            <w:tcW w:w="540" w:type="dxa"/>
            <w:vAlign w:val="bottom"/>
            <w:shd w:val="clear" w:color="auto" w:fill="EBFBFF"/>
          </w:tcPr>
          <w:p>
            <w:pPr>
              <w:spacing w:after="0"/>
              <w:rPr>
                <w:sz w:val="24"/>
                <w:szCs w:val="24"/>
                <w:color w:val="auto"/>
              </w:rPr>
            </w:pPr>
          </w:p>
        </w:tc>
        <w:tc>
          <w:tcPr>
            <w:tcW w:w="540" w:type="dxa"/>
            <w:vAlign w:val="bottom"/>
            <w:shd w:val="clear" w:color="auto" w:fill="EBFBFF"/>
          </w:tcPr>
          <w:p>
            <w:pPr>
              <w:spacing w:after="0"/>
              <w:rPr>
                <w:sz w:val="24"/>
                <w:szCs w:val="24"/>
                <w:color w:val="auto"/>
              </w:rPr>
            </w:pPr>
          </w:p>
        </w:tc>
      </w:tr>
      <w:tr>
        <w:trPr>
          <w:trHeight w:val="162"/>
        </w:trPr>
        <w:tc>
          <w:tcPr>
            <w:tcW w:w="360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Vice Chairman and Senior Partner of Deloitte LLP</w:t>
            </w:r>
          </w:p>
        </w:tc>
        <w:tc>
          <w:tcPr>
            <w:tcW w:w="500" w:type="dxa"/>
            <w:vAlign w:val="bottom"/>
            <w:shd w:val="clear" w:color="auto" w:fill="EBFBFF"/>
          </w:tcPr>
          <w:p>
            <w:pPr>
              <w:spacing w:after="0"/>
              <w:rPr>
                <w:sz w:val="14"/>
                <w:szCs w:val="14"/>
                <w:color w:val="auto"/>
              </w:rPr>
            </w:pPr>
          </w:p>
        </w:tc>
        <w:tc>
          <w:tcPr>
            <w:tcW w:w="780" w:type="dxa"/>
            <w:vAlign w:val="bottom"/>
            <w:shd w:val="clear" w:color="auto" w:fill="EBFBFF"/>
          </w:tcPr>
          <w:p>
            <w:pPr>
              <w:spacing w:after="0"/>
              <w:rPr>
                <w:sz w:val="14"/>
                <w:szCs w:val="14"/>
                <w:color w:val="auto"/>
              </w:rPr>
            </w:pPr>
          </w:p>
        </w:tc>
        <w:tc>
          <w:tcPr>
            <w:tcW w:w="520" w:type="dxa"/>
            <w:vAlign w:val="bottom"/>
            <w:shd w:val="clear" w:color="auto" w:fill="EBFBFF"/>
          </w:tcPr>
          <w:p>
            <w:pPr>
              <w:spacing w:after="0"/>
              <w:rPr>
                <w:sz w:val="14"/>
                <w:szCs w:val="14"/>
                <w:color w:val="auto"/>
              </w:rPr>
            </w:pPr>
          </w:p>
        </w:tc>
        <w:tc>
          <w:tcPr>
            <w:tcW w:w="900" w:type="dxa"/>
            <w:vAlign w:val="bottom"/>
            <w:shd w:val="clear" w:color="auto" w:fill="EBFBFF"/>
          </w:tcPr>
          <w:p>
            <w:pPr>
              <w:spacing w:after="0"/>
              <w:rPr>
                <w:sz w:val="14"/>
                <w:szCs w:val="14"/>
                <w:color w:val="auto"/>
              </w:rPr>
            </w:pPr>
          </w:p>
        </w:tc>
        <w:tc>
          <w:tcPr>
            <w:tcW w:w="800" w:type="dxa"/>
            <w:vAlign w:val="bottom"/>
            <w:shd w:val="clear" w:color="auto" w:fill="EBFBFF"/>
          </w:tcPr>
          <w:p>
            <w:pPr>
              <w:spacing w:after="0"/>
              <w:rPr>
                <w:sz w:val="14"/>
                <w:szCs w:val="14"/>
                <w:color w:val="auto"/>
              </w:rPr>
            </w:pPr>
          </w:p>
        </w:tc>
        <w:tc>
          <w:tcPr>
            <w:tcW w:w="1060" w:type="dxa"/>
            <w:vAlign w:val="bottom"/>
            <w:shd w:val="clear" w:color="auto" w:fill="EBFBFF"/>
          </w:tcPr>
          <w:p>
            <w:pPr>
              <w:spacing w:after="0"/>
              <w:rPr>
                <w:sz w:val="14"/>
                <w:szCs w:val="14"/>
                <w:color w:val="auto"/>
              </w:rPr>
            </w:pPr>
          </w:p>
        </w:tc>
        <w:tc>
          <w:tcPr>
            <w:tcW w:w="920" w:type="dxa"/>
            <w:vAlign w:val="bottom"/>
            <w:shd w:val="clear" w:color="auto" w:fill="EBFBFF"/>
          </w:tcPr>
          <w:p>
            <w:pPr>
              <w:spacing w:after="0"/>
              <w:rPr>
                <w:sz w:val="14"/>
                <w:szCs w:val="14"/>
                <w:color w:val="auto"/>
              </w:rPr>
            </w:pPr>
          </w:p>
        </w:tc>
        <w:tc>
          <w:tcPr>
            <w:tcW w:w="540" w:type="dxa"/>
            <w:vAlign w:val="bottom"/>
            <w:shd w:val="clear" w:color="auto" w:fill="EBFBFF"/>
          </w:tcPr>
          <w:p>
            <w:pPr>
              <w:spacing w:after="0"/>
              <w:rPr>
                <w:sz w:val="14"/>
                <w:szCs w:val="14"/>
                <w:color w:val="auto"/>
              </w:rPr>
            </w:pPr>
          </w:p>
        </w:tc>
        <w:tc>
          <w:tcPr>
            <w:tcW w:w="540" w:type="dxa"/>
            <w:vAlign w:val="bottom"/>
            <w:shd w:val="clear" w:color="auto" w:fill="EBFBFF"/>
          </w:tcPr>
          <w:p>
            <w:pPr>
              <w:spacing w:after="0"/>
              <w:rPr>
                <w:sz w:val="14"/>
                <w:szCs w:val="14"/>
                <w:color w:val="auto"/>
              </w:rPr>
            </w:pPr>
          </w:p>
        </w:tc>
        <w:tc>
          <w:tcPr>
            <w:tcW w:w="540" w:type="dxa"/>
            <w:vAlign w:val="bottom"/>
            <w:shd w:val="clear" w:color="auto" w:fill="EBFBFF"/>
          </w:tcPr>
          <w:p>
            <w:pPr>
              <w:spacing w:after="0"/>
              <w:rPr>
                <w:sz w:val="14"/>
                <w:szCs w:val="14"/>
                <w:color w:val="auto"/>
              </w:rPr>
            </w:pPr>
          </w:p>
        </w:tc>
        <w:tc>
          <w:tcPr>
            <w:tcW w:w="540" w:type="dxa"/>
            <w:vAlign w:val="bottom"/>
            <w:shd w:val="clear" w:color="auto" w:fill="EBFBFF"/>
          </w:tcPr>
          <w:p>
            <w:pPr>
              <w:spacing w:after="0"/>
              <w:rPr>
                <w:sz w:val="14"/>
                <w:szCs w:val="14"/>
                <w:color w:val="auto"/>
              </w:rPr>
            </w:pPr>
          </w:p>
        </w:tc>
      </w:tr>
      <w:tr>
        <w:trPr>
          <w:trHeight w:val="205"/>
        </w:trPr>
        <w:tc>
          <w:tcPr>
            <w:tcW w:w="36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(Retired)</w:t>
            </w:r>
          </w:p>
        </w:tc>
        <w:tc>
          <w:tcPr>
            <w:tcW w:w="500" w:type="dxa"/>
            <w:vAlign w:val="bottom"/>
            <w:tcBorders>
              <w:bottom w:val="single" w:sz="8" w:color="EBFBFF"/>
            </w:tcBorders>
            <w:shd w:val="clear" w:color="auto" w:fill="EBFBFF"/>
          </w:tcPr>
          <w:p>
            <w:pPr>
              <w:spacing w:after="0"/>
              <w:rPr>
                <w:sz w:val="17"/>
                <w:szCs w:val="17"/>
                <w:color w:val="auto"/>
              </w:rPr>
            </w:pPr>
          </w:p>
        </w:tc>
        <w:tc>
          <w:tcPr>
            <w:tcW w:w="780" w:type="dxa"/>
            <w:vAlign w:val="bottom"/>
            <w:tcBorders>
              <w:bottom w:val="single" w:sz="8" w:color="EBFBFF"/>
            </w:tcBorders>
            <w:shd w:val="clear" w:color="auto" w:fill="EBFBFF"/>
          </w:tcPr>
          <w:p>
            <w:pPr>
              <w:spacing w:after="0"/>
              <w:rPr>
                <w:sz w:val="17"/>
                <w:szCs w:val="17"/>
                <w:color w:val="auto"/>
              </w:rPr>
            </w:pPr>
          </w:p>
        </w:tc>
        <w:tc>
          <w:tcPr>
            <w:tcW w:w="520" w:type="dxa"/>
            <w:vAlign w:val="bottom"/>
            <w:tcBorders>
              <w:bottom w:val="single" w:sz="8" w:color="EBFBFF"/>
            </w:tcBorders>
            <w:shd w:val="clear" w:color="auto" w:fill="EBFBFF"/>
          </w:tcPr>
          <w:p>
            <w:pPr>
              <w:spacing w:after="0"/>
              <w:rPr>
                <w:sz w:val="17"/>
                <w:szCs w:val="17"/>
                <w:color w:val="auto"/>
              </w:rPr>
            </w:pPr>
          </w:p>
        </w:tc>
        <w:tc>
          <w:tcPr>
            <w:tcW w:w="900" w:type="dxa"/>
            <w:vAlign w:val="bottom"/>
            <w:tcBorders>
              <w:bottom w:val="single" w:sz="8" w:color="EBFBFF"/>
            </w:tcBorders>
            <w:shd w:val="clear" w:color="auto" w:fill="EBFBFF"/>
          </w:tcPr>
          <w:p>
            <w:pPr>
              <w:spacing w:after="0"/>
              <w:rPr>
                <w:sz w:val="17"/>
                <w:szCs w:val="17"/>
                <w:color w:val="auto"/>
              </w:rPr>
            </w:pPr>
          </w:p>
        </w:tc>
        <w:tc>
          <w:tcPr>
            <w:tcW w:w="800" w:type="dxa"/>
            <w:vAlign w:val="bottom"/>
            <w:tcBorders>
              <w:bottom w:val="single" w:sz="8" w:color="EBFBFF"/>
            </w:tcBorders>
            <w:shd w:val="clear" w:color="auto" w:fill="EBFBFF"/>
          </w:tcPr>
          <w:p>
            <w:pPr>
              <w:spacing w:after="0"/>
              <w:rPr>
                <w:sz w:val="17"/>
                <w:szCs w:val="17"/>
                <w:color w:val="auto"/>
              </w:rPr>
            </w:pPr>
          </w:p>
        </w:tc>
        <w:tc>
          <w:tcPr>
            <w:tcW w:w="1060" w:type="dxa"/>
            <w:vAlign w:val="bottom"/>
            <w:tcBorders>
              <w:bottom w:val="single" w:sz="8" w:color="EBFBFF"/>
            </w:tcBorders>
            <w:shd w:val="clear" w:color="auto" w:fill="EBFBFF"/>
          </w:tcPr>
          <w:p>
            <w:pPr>
              <w:spacing w:after="0"/>
              <w:rPr>
                <w:sz w:val="17"/>
                <w:szCs w:val="17"/>
                <w:color w:val="auto"/>
              </w:rPr>
            </w:pPr>
          </w:p>
        </w:tc>
        <w:tc>
          <w:tcPr>
            <w:tcW w:w="920" w:type="dxa"/>
            <w:vAlign w:val="bottom"/>
            <w:tcBorders>
              <w:bottom w:val="single" w:sz="8" w:color="EBFBFF"/>
            </w:tcBorders>
            <w:shd w:val="clear" w:color="auto" w:fill="EBFBFF"/>
          </w:tcPr>
          <w:p>
            <w:pPr>
              <w:spacing w:after="0"/>
              <w:rPr>
                <w:sz w:val="17"/>
                <w:szCs w:val="17"/>
                <w:color w:val="auto"/>
              </w:rPr>
            </w:pPr>
          </w:p>
        </w:tc>
        <w:tc>
          <w:tcPr>
            <w:tcW w:w="540" w:type="dxa"/>
            <w:vAlign w:val="bottom"/>
            <w:tcBorders>
              <w:bottom w:val="single" w:sz="8" w:color="EBFBFF"/>
            </w:tcBorders>
            <w:shd w:val="clear" w:color="auto" w:fill="EBFBFF"/>
          </w:tcPr>
          <w:p>
            <w:pPr>
              <w:spacing w:after="0"/>
              <w:rPr>
                <w:sz w:val="17"/>
                <w:szCs w:val="17"/>
                <w:color w:val="auto"/>
              </w:rPr>
            </w:pPr>
          </w:p>
        </w:tc>
        <w:tc>
          <w:tcPr>
            <w:tcW w:w="540" w:type="dxa"/>
            <w:vAlign w:val="bottom"/>
            <w:tcBorders>
              <w:bottom w:val="single" w:sz="8" w:color="EBFBFF"/>
            </w:tcBorders>
            <w:shd w:val="clear" w:color="auto" w:fill="EBFBFF"/>
          </w:tcPr>
          <w:p>
            <w:pPr>
              <w:spacing w:after="0"/>
              <w:rPr>
                <w:sz w:val="17"/>
                <w:szCs w:val="17"/>
                <w:color w:val="auto"/>
              </w:rPr>
            </w:pPr>
          </w:p>
        </w:tc>
        <w:tc>
          <w:tcPr>
            <w:tcW w:w="540" w:type="dxa"/>
            <w:vAlign w:val="bottom"/>
            <w:tcBorders>
              <w:bottom w:val="single" w:sz="8" w:color="EBFBFF"/>
            </w:tcBorders>
            <w:shd w:val="clear" w:color="auto" w:fill="EBFBFF"/>
          </w:tcPr>
          <w:p>
            <w:pPr>
              <w:spacing w:after="0"/>
              <w:rPr>
                <w:sz w:val="17"/>
                <w:szCs w:val="17"/>
                <w:color w:val="auto"/>
              </w:rPr>
            </w:pPr>
          </w:p>
        </w:tc>
        <w:tc>
          <w:tcPr>
            <w:tcW w:w="540" w:type="dxa"/>
            <w:vAlign w:val="bottom"/>
            <w:tcBorders>
              <w:bottom w:val="single" w:sz="8" w:color="EBFBFF"/>
            </w:tcBorders>
            <w:shd w:val="clear" w:color="auto" w:fill="EBFBFF"/>
          </w:tcPr>
          <w:p>
            <w:pPr>
              <w:spacing w:after="0"/>
              <w:rPr>
                <w:sz w:val="17"/>
                <w:szCs w:val="17"/>
                <w:color w:val="auto"/>
              </w:rPr>
            </w:pPr>
          </w:p>
        </w:tc>
      </w:tr>
      <w:tr>
        <w:trPr>
          <w:trHeight w:val="288"/>
        </w:trPr>
        <w:tc>
          <w:tcPr>
            <w:tcW w:w="3600" w:type="dxa"/>
            <w:vAlign w:val="bottom"/>
          </w:tcPr>
          <w:p>
            <w:pPr>
              <w:ind w:left="20"/>
              <w:spacing w:after="0"/>
              <w:rPr>
                <w:sz w:val="20"/>
                <w:szCs w:val="20"/>
                <w:color w:val="auto"/>
              </w:rPr>
            </w:pPr>
            <w:r>
              <w:rPr>
                <w:rFonts w:ascii="Arial" w:cs="Arial" w:eastAsia="Arial" w:hAnsi="Arial"/>
                <w:sz w:val="18"/>
                <w:szCs w:val="18"/>
                <w:b w:val="1"/>
                <w:bCs w:val="1"/>
                <w:color w:val="51555C"/>
              </w:rPr>
              <w:t>Bradley L. Pyburn</w:t>
            </w:r>
          </w:p>
        </w:tc>
        <w:tc>
          <w:tcPr>
            <w:tcW w:w="500" w:type="dxa"/>
            <w:vAlign w:val="bottom"/>
          </w:tcPr>
          <w:p>
            <w:pPr>
              <w:jc w:val="right"/>
              <w:ind w:right="70"/>
              <w:spacing w:after="0"/>
              <w:rPr>
                <w:sz w:val="20"/>
                <w:szCs w:val="20"/>
                <w:color w:val="auto"/>
              </w:rPr>
            </w:pPr>
            <w:r>
              <w:rPr>
                <w:rFonts w:ascii="Arial" w:cs="Arial" w:eastAsia="Arial" w:hAnsi="Arial"/>
                <w:sz w:val="18"/>
                <w:szCs w:val="18"/>
                <w:color w:val="51555C"/>
              </w:rPr>
              <w:t>53</w:t>
            </w:r>
          </w:p>
        </w:tc>
        <w:tc>
          <w:tcPr>
            <w:tcW w:w="780" w:type="dxa"/>
            <w:vAlign w:val="bottom"/>
          </w:tcPr>
          <w:p>
            <w:pPr>
              <w:jc w:val="right"/>
              <w:ind w:right="130"/>
              <w:spacing w:after="0"/>
              <w:rPr>
                <w:sz w:val="20"/>
                <w:szCs w:val="20"/>
                <w:color w:val="auto"/>
              </w:rPr>
            </w:pPr>
            <w:r>
              <w:rPr>
                <w:rFonts w:ascii="Arial" w:cs="Arial" w:eastAsia="Arial" w:hAnsi="Arial"/>
                <w:sz w:val="18"/>
                <w:szCs w:val="18"/>
                <w:color w:val="51555C"/>
              </w:rPr>
              <w:t>2024</w:t>
            </w:r>
          </w:p>
        </w:tc>
        <w:tc>
          <w:tcPr>
            <w:tcW w:w="520" w:type="dxa"/>
            <w:vAlign w:val="bottom"/>
          </w:tcPr>
          <w:p>
            <w:pPr>
              <w:ind w:left="200"/>
              <w:spacing w:after="0"/>
              <w:rPr>
                <w:sz w:val="20"/>
                <w:szCs w:val="20"/>
                <w:color w:val="auto"/>
              </w:rPr>
            </w:pPr>
            <w:r>
              <w:rPr>
                <w:rFonts w:ascii="Arial" w:cs="Arial" w:eastAsia="Arial" w:hAnsi="Arial"/>
                <w:sz w:val="18"/>
                <w:szCs w:val="18"/>
                <w:color w:val="51555C"/>
              </w:rPr>
              <w:t>C</w:t>
            </w:r>
          </w:p>
        </w:tc>
        <w:tc>
          <w:tcPr>
            <w:tcW w:w="900" w:type="dxa"/>
            <w:vAlign w:val="bottom"/>
          </w:tcPr>
          <w:p>
            <w:pPr>
              <w:jc w:val="right"/>
              <w:ind w:right="210"/>
              <w:spacing w:after="0"/>
              <w:rPr>
                <w:sz w:val="20"/>
                <w:szCs w:val="20"/>
                <w:color w:val="auto"/>
              </w:rPr>
            </w:pPr>
            <w:r>
              <w:rPr>
                <w:rFonts w:ascii="Arial" w:cs="Arial" w:eastAsia="Arial" w:hAnsi="Arial"/>
                <w:sz w:val="18"/>
                <w:szCs w:val="18"/>
                <w:color w:val="51555C"/>
              </w:rPr>
              <w:t>2028</w:t>
            </w:r>
          </w:p>
        </w:tc>
        <w:tc>
          <w:tcPr>
            <w:tcW w:w="800" w:type="dxa"/>
            <w:vAlign w:val="bottom"/>
          </w:tcPr>
          <w:p>
            <w:pPr>
              <w:jc w:val="right"/>
              <w:ind w:right="350"/>
              <w:spacing w:after="0"/>
              <w:rPr>
                <w:sz w:val="20"/>
                <w:szCs w:val="20"/>
                <w:color w:val="auto"/>
              </w:rPr>
            </w:pPr>
            <w:r>
              <w:rPr>
                <w:rFonts w:ascii="Arial" w:cs="Arial" w:eastAsia="Arial" w:hAnsi="Arial"/>
                <w:sz w:val="18"/>
                <w:szCs w:val="18"/>
                <w:color w:val="51555C"/>
              </w:rPr>
              <w:t>-</w:t>
            </w:r>
          </w:p>
        </w:tc>
        <w:tc>
          <w:tcPr>
            <w:tcW w:w="1060" w:type="dxa"/>
            <w:vAlign w:val="bottom"/>
          </w:tcPr>
          <w:p>
            <w:pPr>
              <w:jc w:val="center"/>
              <w:ind w:left="30"/>
              <w:spacing w:after="0"/>
              <w:rPr>
                <w:sz w:val="20"/>
                <w:szCs w:val="20"/>
                <w:color w:val="auto"/>
              </w:rPr>
            </w:pPr>
            <w:r>
              <w:rPr>
                <w:rFonts w:ascii="Arial" w:cs="Arial" w:eastAsia="Arial" w:hAnsi="Arial"/>
                <w:sz w:val="18"/>
                <w:szCs w:val="18"/>
                <w:color w:val="51555C"/>
                <w:w w:val="96"/>
              </w:rPr>
              <w:t>Yes</w:t>
            </w:r>
          </w:p>
        </w:tc>
        <w:tc>
          <w:tcPr>
            <w:tcW w:w="920" w:type="dxa"/>
            <w:vAlign w:val="bottom"/>
          </w:tcPr>
          <w:p>
            <w:pPr>
              <w:jc w:val="center"/>
              <w:ind w:left="30"/>
              <w:spacing w:after="0"/>
              <w:rPr>
                <w:sz w:val="20"/>
                <w:szCs w:val="20"/>
                <w:color w:val="auto"/>
              </w:rPr>
            </w:pPr>
            <w:r>
              <w:rPr>
                <w:rFonts w:ascii="Arial" w:cs="Arial" w:eastAsia="Arial" w:hAnsi="Arial"/>
                <w:sz w:val="18"/>
                <w:szCs w:val="18"/>
                <w:color w:val="51555C"/>
              </w:rPr>
              <w:t>None</w:t>
            </w:r>
          </w:p>
        </w:tc>
        <w:tc>
          <w:tcPr>
            <w:tcW w:w="54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Wingdings" w:cs="Wingdings" w:eastAsia="Wingdings" w:hAnsi="Wingdings"/>
                <w:sz w:val="22"/>
                <w:szCs w:val="22"/>
                <w:b w:val="1"/>
                <w:bCs w:val="1"/>
                <w:color w:val="51555C"/>
              </w:rPr>
              <w:t>l</w:t>
            </w:r>
          </w:p>
        </w:tc>
        <w:tc>
          <w:tcPr>
            <w:tcW w:w="540" w:type="dxa"/>
            <w:vAlign w:val="bottom"/>
          </w:tcPr>
          <w:p>
            <w:pPr>
              <w:ind w:left="180"/>
              <w:spacing w:after="0"/>
              <w:rPr>
                <w:sz w:val="20"/>
                <w:szCs w:val="20"/>
                <w:color w:val="auto"/>
              </w:rPr>
            </w:pPr>
            <w:r>
              <w:rPr>
                <w:rFonts w:ascii="Wingdings" w:cs="Wingdings" w:eastAsia="Wingdings" w:hAnsi="Wingdings"/>
                <w:sz w:val="22"/>
                <w:szCs w:val="22"/>
                <w:b w:val="1"/>
                <w:bCs w:val="1"/>
                <w:color w:val="51555C"/>
              </w:rPr>
              <w:t>l</w:t>
            </w:r>
          </w:p>
        </w:tc>
        <w:tc>
          <w:tcPr>
            <w:tcW w:w="540" w:type="dxa"/>
            <w:vAlign w:val="bottom"/>
          </w:tcPr>
          <w:p>
            <w:pPr>
              <w:ind w:left="180"/>
              <w:spacing w:after="0"/>
              <w:rPr>
                <w:sz w:val="20"/>
                <w:szCs w:val="20"/>
                <w:color w:val="auto"/>
              </w:rPr>
            </w:pPr>
            <w:r>
              <w:rPr>
                <w:rFonts w:ascii="Wingdings" w:cs="Wingdings" w:eastAsia="Wingdings" w:hAnsi="Wingdings"/>
                <w:sz w:val="22"/>
                <w:szCs w:val="22"/>
                <w:b w:val="1"/>
                <w:bCs w:val="1"/>
                <w:color w:val="51555C"/>
              </w:rPr>
              <w:t>l</w:t>
            </w:r>
          </w:p>
        </w:tc>
      </w:tr>
      <w:tr>
        <w:trPr>
          <w:trHeight w:val="162"/>
        </w:trPr>
        <w:tc>
          <w:tcPr>
            <w:tcW w:w="3600" w:type="dxa"/>
            <w:vAlign w:val="bottom"/>
          </w:tcPr>
          <w:p>
            <w:pPr>
              <w:ind w:left="20"/>
              <w:spacing w:after="0"/>
              <w:rPr>
                <w:sz w:val="20"/>
                <w:szCs w:val="20"/>
                <w:color w:val="auto"/>
              </w:rPr>
            </w:pPr>
            <w:r>
              <w:rPr>
                <w:rFonts w:ascii="Arial" w:cs="Arial" w:eastAsia="Arial" w:hAnsi="Arial"/>
                <w:sz w:val="14"/>
                <w:szCs w:val="14"/>
                <w:color w:val="51555C"/>
              </w:rPr>
              <w:t>Managing Director, Cyber &amp; Strategic Risk at Deloitte</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90"/>
        </w:trPr>
        <w:tc>
          <w:tcPr>
            <w:tcW w:w="3600" w:type="dxa"/>
            <w:vAlign w:val="bottom"/>
          </w:tcPr>
          <w:p>
            <w:pPr>
              <w:ind w:left="20"/>
              <w:spacing w:after="0"/>
              <w:rPr>
                <w:sz w:val="20"/>
                <w:szCs w:val="20"/>
                <w:color w:val="auto"/>
              </w:rPr>
            </w:pPr>
            <w:r>
              <w:rPr>
                <w:rFonts w:ascii="Arial" w:cs="Arial" w:eastAsia="Arial" w:hAnsi="Arial"/>
                <w:sz w:val="14"/>
                <w:szCs w:val="14"/>
                <w:color w:val="51555C"/>
              </w:rPr>
              <w:t>LLP</w:t>
            </w: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5"/>
        </w:trPr>
        <w:tc>
          <w:tcPr>
            <w:tcW w:w="3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88"/>
        </w:trPr>
        <w:tc>
          <w:tcPr>
            <w:tcW w:w="360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Kristian P. Talvitie</w:t>
            </w:r>
          </w:p>
        </w:tc>
        <w:tc>
          <w:tcPr>
            <w:tcW w:w="500" w:type="dxa"/>
            <w:vAlign w:val="bottom"/>
            <w:shd w:val="clear" w:color="auto" w:fill="EBFBFF"/>
          </w:tcPr>
          <w:p>
            <w:pPr>
              <w:jc w:val="right"/>
              <w:ind w:right="70"/>
              <w:spacing w:after="0"/>
              <w:rPr>
                <w:sz w:val="20"/>
                <w:szCs w:val="20"/>
                <w:color w:val="auto"/>
              </w:rPr>
            </w:pPr>
            <w:r>
              <w:rPr>
                <w:rFonts w:ascii="Arial" w:cs="Arial" w:eastAsia="Arial" w:hAnsi="Arial"/>
                <w:sz w:val="18"/>
                <w:szCs w:val="18"/>
                <w:color w:val="51555C"/>
              </w:rPr>
              <w:t>56</w:t>
            </w:r>
          </w:p>
        </w:tc>
        <w:tc>
          <w:tcPr>
            <w:tcW w:w="780" w:type="dxa"/>
            <w:vAlign w:val="bottom"/>
            <w:shd w:val="clear" w:color="auto" w:fill="EBFBFF"/>
          </w:tcPr>
          <w:p>
            <w:pPr>
              <w:jc w:val="right"/>
              <w:ind w:right="130"/>
              <w:spacing w:after="0"/>
              <w:rPr>
                <w:sz w:val="20"/>
                <w:szCs w:val="20"/>
                <w:color w:val="auto"/>
              </w:rPr>
            </w:pPr>
            <w:r>
              <w:rPr>
                <w:rFonts w:ascii="Arial" w:cs="Arial" w:eastAsia="Arial" w:hAnsi="Arial"/>
                <w:sz w:val="18"/>
                <w:szCs w:val="18"/>
                <w:color w:val="51555C"/>
              </w:rPr>
              <w:t>2024</w:t>
            </w:r>
          </w:p>
        </w:tc>
        <w:tc>
          <w:tcPr>
            <w:tcW w:w="520" w:type="dxa"/>
            <w:vAlign w:val="bottom"/>
            <w:shd w:val="clear" w:color="auto" w:fill="EBFBFF"/>
          </w:tcPr>
          <w:p>
            <w:pPr>
              <w:ind w:left="200"/>
              <w:spacing w:after="0"/>
              <w:rPr>
                <w:sz w:val="20"/>
                <w:szCs w:val="20"/>
                <w:color w:val="auto"/>
              </w:rPr>
            </w:pPr>
            <w:r>
              <w:rPr>
                <w:rFonts w:ascii="Arial" w:cs="Arial" w:eastAsia="Arial" w:hAnsi="Arial"/>
                <w:sz w:val="18"/>
                <w:szCs w:val="18"/>
                <w:color w:val="51555C"/>
              </w:rPr>
              <w:t>B</w:t>
            </w:r>
          </w:p>
        </w:tc>
        <w:tc>
          <w:tcPr>
            <w:tcW w:w="900" w:type="dxa"/>
            <w:vAlign w:val="bottom"/>
            <w:shd w:val="clear" w:color="auto" w:fill="EBFBFF"/>
          </w:tcPr>
          <w:p>
            <w:pPr>
              <w:jc w:val="right"/>
              <w:ind w:right="210"/>
              <w:spacing w:after="0"/>
              <w:rPr>
                <w:sz w:val="20"/>
                <w:szCs w:val="20"/>
                <w:color w:val="auto"/>
              </w:rPr>
            </w:pPr>
            <w:r>
              <w:rPr>
                <w:rFonts w:ascii="Arial" w:cs="Arial" w:eastAsia="Arial" w:hAnsi="Arial"/>
                <w:sz w:val="18"/>
                <w:szCs w:val="18"/>
                <w:color w:val="51555C"/>
              </w:rPr>
              <w:t>2027</w:t>
            </w:r>
          </w:p>
        </w:tc>
        <w:tc>
          <w:tcPr>
            <w:tcW w:w="800" w:type="dxa"/>
            <w:vAlign w:val="bottom"/>
            <w:shd w:val="clear" w:color="auto" w:fill="EBFBFF"/>
          </w:tcPr>
          <w:p>
            <w:pPr>
              <w:jc w:val="right"/>
              <w:ind w:right="350"/>
              <w:spacing w:after="0"/>
              <w:rPr>
                <w:sz w:val="20"/>
                <w:szCs w:val="20"/>
                <w:color w:val="auto"/>
              </w:rPr>
            </w:pPr>
            <w:r>
              <w:rPr>
                <w:rFonts w:ascii="Arial" w:cs="Arial" w:eastAsia="Arial" w:hAnsi="Arial"/>
                <w:sz w:val="18"/>
                <w:szCs w:val="18"/>
                <w:color w:val="51555C"/>
              </w:rPr>
              <w:t>-</w:t>
            </w:r>
          </w:p>
        </w:tc>
        <w:tc>
          <w:tcPr>
            <w:tcW w:w="1060" w:type="dxa"/>
            <w:vAlign w:val="bottom"/>
            <w:shd w:val="clear" w:color="auto" w:fill="EBFBFF"/>
          </w:tcPr>
          <w:p>
            <w:pPr>
              <w:jc w:val="center"/>
              <w:ind w:left="30"/>
              <w:spacing w:after="0"/>
              <w:rPr>
                <w:sz w:val="20"/>
                <w:szCs w:val="20"/>
                <w:color w:val="auto"/>
              </w:rPr>
            </w:pPr>
            <w:r>
              <w:rPr>
                <w:rFonts w:ascii="Arial" w:cs="Arial" w:eastAsia="Arial" w:hAnsi="Arial"/>
                <w:sz w:val="18"/>
                <w:szCs w:val="18"/>
                <w:color w:val="51555C"/>
                <w:w w:val="96"/>
              </w:rPr>
              <w:t>Yes</w:t>
            </w:r>
          </w:p>
        </w:tc>
        <w:tc>
          <w:tcPr>
            <w:tcW w:w="920" w:type="dxa"/>
            <w:vAlign w:val="bottom"/>
            <w:shd w:val="clear" w:color="auto" w:fill="EBFBFF"/>
          </w:tcPr>
          <w:p>
            <w:pPr>
              <w:jc w:val="center"/>
              <w:ind w:left="30"/>
              <w:spacing w:after="0"/>
              <w:rPr>
                <w:sz w:val="20"/>
                <w:szCs w:val="20"/>
                <w:color w:val="auto"/>
              </w:rPr>
            </w:pPr>
            <w:r>
              <w:rPr>
                <w:rFonts w:ascii="Arial" w:cs="Arial" w:eastAsia="Arial" w:hAnsi="Arial"/>
                <w:sz w:val="18"/>
                <w:szCs w:val="18"/>
                <w:color w:val="51555C"/>
              </w:rPr>
              <w:t>None</w:t>
            </w:r>
          </w:p>
        </w:tc>
        <w:tc>
          <w:tcPr>
            <w:tcW w:w="540" w:type="dxa"/>
            <w:vAlign w:val="bottom"/>
            <w:shd w:val="clear" w:color="auto" w:fill="EBFBFF"/>
          </w:tcPr>
          <w:p>
            <w:pPr>
              <w:ind w:left="180"/>
              <w:spacing w:after="0"/>
              <w:rPr>
                <w:sz w:val="20"/>
                <w:szCs w:val="20"/>
                <w:color w:val="auto"/>
              </w:rPr>
            </w:pPr>
            <w:r>
              <w:rPr>
                <w:rFonts w:ascii="Wingdings" w:cs="Wingdings" w:eastAsia="Wingdings" w:hAnsi="Wingdings"/>
                <w:sz w:val="22"/>
                <w:szCs w:val="22"/>
                <w:b w:val="1"/>
                <w:bCs w:val="1"/>
                <w:color w:val="51555C"/>
              </w:rPr>
              <w:t>l</w:t>
            </w:r>
          </w:p>
        </w:tc>
        <w:tc>
          <w:tcPr>
            <w:tcW w:w="540" w:type="dxa"/>
            <w:vAlign w:val="bottom"/>
            <w:shd w:val="clear" w:color="auto" w:fill="EBFBFF"/>
          </w:tcPr>
          <w:p>
            <w:pPr>
              <w:ind w:left="180"/>
              <w:spacing w:after="0"/>
              <w:rPr>
                <w:sz w:val="20"/>
                <w:szCs w:val="20"/>
                <w:color w:val="auto"/>
              </w:rPr>
            </w:pPr>
            <w:r>
              <w:rPr>
                <w:rFonts w:ascii="Wingdings" w:cs="Wingdings" w:eastAsia="Wingdings" w:hAnsi="Wingdings"/>
                <w:sz w:val="22"/>
                <w:szCs w:val="22"/>
                <w:b w:val="1"/>
                <w:bCs w:val="1"/>
                <w:color w:val="0CD973"/>
              </w:rPr>
              <w:t>l</w:t>
            </w:r>
          </w:p>
        </w:tc>
        <w:tc>
          <w:tcPr>
            <w:tcW w:w="540" w:type="dxa"/>
            <w:vAlign w:val="bottom"/>
            <w:shd w:val="clear" w:color="auto" w:fill="EBFBFF"/>
          </w:tcPr>
          <w:p>
            <w:pPr>
              <w:spacing w:after="0"/>
              <w:rPr>
                <w:sz w:val="24"/>
                <w:szCs w:val="24"/>
                <w:color w:val="auto"/>
              </w:rPr>
            </w:pPr>
          </w:p>
        </w:tc>
        <w:tc>
          <w:tcPr>
            <w:tcW w:w="540" w:type="dxa"/>
            <w:vAlign w:val="bottom"/>
            <w:shd w:val="clear" w:color="auto" w:fill="EBFBFF"/>
          </w:tcPr>
          <w:p>
            <w:pPr>
              <w:spacing w:after="0"/>
              <w:rPr>
                <w:sz w:val="24"/>
                <w:szCs w:val="24"/>
                <w:color w:val="auto"/>
              </w:rPr>
            </w:pPr>
          </w:p>
        </w:tc>
      </w:tr>
      <w:tr>
        <w:trPr>
          <w:trHeight w:val="192"/>
        </w:trPr>
        <w:tc>
          <w:tcPr>
            <w:tcW w:w="36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Chief Financial Officer of BetterUp, Inc.</w:t>
            </w:r>
          </w:p>
        </w:tc>
        <w:tc>
          <w:tcPr>
            <w:tcW w:w="500" w:type="dxa"/>
            <w:vAlign w:val="bottom"/>
            <w:tcBorders>
              <w:bottom w:val="single" w:sz="8" w:color="EBFBFF"/>
            </w:tcBorders>
            <w:shd w:val="clear" w:color="auto" w:fill="EBFBFF"/>
          </w:tcPr>
          <w:p>
            <w:pPr>
              <w:spacing w:after="0"/>
              <w:rPr>
                <w:sz w:val="16"/>
                <w:szCs w:val="16"/>
                <w:color w:val="auto"/>
              </w:rPr>
            </w:pPr>
          </w:p>
        </w:tc>
        <w:tc>
          <w:tcPr>
            <w:tcW w:w="780" w:type="dxa"/>
            <w:vAlign w:val="bottom"/>
            <w:tcBorders>
              <w:bottom w:val="single" w:sz="8" w:color="EBFBFF"/>
            </w:tcBorders>
            <w:shd w:val="clear" w:color="auto" w:fill="EBFBFF"/>
          </w:tcPr>
          <w:p>
            <w:pPr>
              <w:spacing w:after="0"/>
              <w:rPr>
                <w:sz w:val="16"/>
                <w:szCs w:val="16"/>
                <w:color w:val="auto"/>
              </w:rPr>
            </w:pPr>
          </w:p>
        </w:tc>
        <w:tc>
          <w:tcPr>
            <w:tcW w:w="520" w:type="dxa"/>
            <w:vAlign w:val="bottom"/>
            <w:tcBorders>
              <w:bottom w:val="single" w:sz="8" w:color="EBFBFF"/>
            </w:tcBorders>
            <w:shd w:val="clear" w:color="auto" w:fill="EBFBFF"/>
          </w:tcPr>
          <w:p>
            <w:pPr>
              <w:spacing w:after="0"/>
              <w:rPr>
                <w:sz w:val="16"/>
                <w:szCs w:val="16"/>
                <w:color w:val="auto"/>
              </w:rPr>
            </w:pPr>
          </w:p>
        </w:tc>
        <w:tc>
          <w:tcPr>
            <w:tcW w:w="900" w:type="dxa"/>
            <w:vAlign w:val="bottom"/>
            <w:tcBorders>
              <w:bottom w:val="single" w:sz="8" w:color="EBFBFF"/>
            </w:tcBorders>
            <w:shd w:val="clear" w:color="auto" w:fill="EBFBFF"/>
          </w:tcPr>
          <w:p>
            <w:pPr>
              <w:spacing w:after="0"/>
              <w:rPr>
                <w:sz w:val="16"/>
                <w:szCs w:val="16"/>
                <w:color w:val="auto"/>
              </w:rPr>
            </w:pPr>
          </w:p>
        </w:tc>
        <w:tc>
          <w:tcPr>
            <w:tcW w:w="800" w:type="dxa"/>
            <w:vAlign w:val="bottom"/>
            <w:tcBorders>
              <w:bottom w:val="single" w:sz="8" w:color="EBFBFF"/>
            </w:tcBorders>
            <w:shd w:val="clear" w:color="auto" w:fill="EBFBFF"/>
          </w:tcPr>
          <w:p>
            <w:pPr>
              <w:spacing w:after="0"/>
              <w:rPr>
                <w:sz w:val="16"/>
                <w:szCs w:val="16"/>
                <w:color w:val="auto"/>
              </w:rPr>
            </w:pPr>
          </w:p>
        </w:tc>
        <w:tc>
          <w:tcPr>
            <w:tcW w:w="1060" w:type="dxa"/>
            <w:vAlign w:val="bottom"/>
            <w:tcBorders>
              <w:bottom w:val="single" w:sz="8" w:color="EBFBFF"/>
            </w:tcBorders>
            <w:shd w:val="clear" w:color="auto" w:fill="EBFBFF"/>
          </w:tcPr>
          <w:p>
            <w:pPr>
              <w:spacing w:after="0"/>
              <w:rPr>
                <w:sz w:val="16"/>
                <w:szCs w:val="16"/>
                <w:color w:val="auto"/>
              </w:rPr>
            </w:pPr>
          </w:p>
        </w:tc>
        <w:tc>
          <w:tcPr>
            <w:tcW w:w="920" w:type="dxa"/>
            <w:vAlign w:val="bottom"/>
            <w:tcBorders>
              <w:bottom w:val="single" w:sz="8" w:color="EBFBFF"/>
            </w:tcBorders>
            <w:shd w:val="clear" w:color="auto" w:fill="EBFBFF"/>
          </w:tcPr>
          <w:p>
            <w:pPr>
              <w:spacing w:after="0"/>
              <w:rPr>
                <w:sz w:val="16"/>
                <w:szCs w:val="16"/>
                <w:color w:val="auto"/>
              </w:rPr>
            </w:pPr>
          </w:p>
        </w:tc>
        <w:tc>
          <w:tcPr>
            <w:tcW w:w="540" w:type="dxa"/>
            <w:vAlign w:val="bottom"/>
            <w:tcBorders>
              <w:bottom w:val="single" w:sz="8" w:color="EBFBFF"/>
            </w:tcBorders>
            <w:shd w:val="clear" w:color="auto" w:fill="EBFBFF"/>
          </w:tcPr>
          <w:p>
            <w:pPr>
              <w:spacing w:after="0"/>
              <w:rPr>
                <w:sz w:val="16"/>
                <w:szCs w:val="16"/>
                <w:color w:val="auto"/>
              </w:rPr>
            </w:pPr>
          </w:p>
        </w:tc>
        <w:tc>
          <w:tcPr>
            <w:tcW w:w="540" w:type="dxa"/>
            <w:vAlign w:val="bottom"/>
            <w:tcBorders>
              <w:bottom w:val="single" w:sz="8" w:color="EBFBFF"/>
            </w:tcBorders>
            <w:shd w:val="clear" w:color="auto" w:fill="EBFBFF"/>
          </w:tcPr>
          <w:p>
            <w:pPr>
              <w:spacing w:after="0"/>
              <w:rPr>
                <w:sz w:val="16"/>
                <w:szCs w:val="16"/>
                <w:color w:val="auto"/>
              </w:rPr>
            </w:pPr>
          </w:p>
        </w:tc>
        <w:tc>
          <w:tcPr>
            <w:tcW w:w="540" w:type="dxa"/>
            <w:vAlign w:val="bottom"/>
            <w:tcBorders>
              <w:bottom w:val="single" w:sz="8" w:color="EBFBFF"/>
            </w:tcBorders>
            <w:shd w:val="clear" w:color="auto" w:fill="EBFBFF"/>
          </w:tcPr>
          <w:p>
            <w:pPr>
              <w:spacing w:after="0"/>
              <w:rPr>
                <w:sz w:val="16"/>
                <w:szCs w:val="16"/>
                <w:color w:val="auto"/>
              </w:rPr>
            </w:pPr>
          </w:p>
        </w:tc>
        <w:tc>
          <w:tcPr>
            <w:tcW w:w="540" w:type="dxa"/>
            <w:vAlign w:val="bottom"/>
            <w:tcBorders>
              <w:bottom w:val="single" w:sz="8" w:color="EBFBFF"/>
            </w:tcBorders>
            <w:shd w:val="clear" w:color="auto" w:fill="EBFBFF"/>
          </w:tcPr>
          <w:p>
            <w:pPr>
              <w:spacing w:after="0"/>
              <w:rPr>
                <w:sz w:val="16"/>
                <w:szCs w:val="16"/>
                <w:color w:val="auto"/>
              </w:rPr>
            </w:pPr>
          </w:p>
        </w:tc>
      </w:tr>
      <w:tr>
        <w:trPr>
          <w:trHeight w:val="20"/>
        </w:trPr>
        <w:tc>
          <w:tcPr>
            <w:tcW w:w="360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780" w:type="dxa"/>
            <w:vAlign w:val="bottom"/>
            <w:shd w:val="clear" w:color="auto" w:fill="0CD973"/>
          </w:tcPr>
          <w:p>
            <w:pPr>
              <w:spacing w:after="0" w:line="20" w:lineRule="exact"/>
              <w:rPr>
                <w:sz w:val="1"/>
                <w:szCs w:val="1"/>
                <w:color w:val="auto"/>
              </w:rPr>
            </w:pPr>
          </w:p>
        </w:tc>
        <w:tc>
          <w:tcPr>
            <w:tcW w:w="520" w:type="dxa"/>
            <w:vAlign w:val="bottom"/>
            <w:shd w:val="clear" w:color="auto" w:fill="0CD973"/>
          </w:tcPr>
          <w:p>
            <w:pPr>
              <w:spacing w:after="0" w:line="20" w:lineRule="exact"/>
              <w:rPr>
                <w:sz w:val="1"/>
                <w:szCs w:val="1"/>
                <w:color w:val="auto"/>
              </w:rPr>
            </w:pPr>
          </w:p>
        </w:tc>
        <w:tc>
          <w:tcPr>
            <w:tcW w:w="900" w:type="dxa"/>
            <w:vAlign w:val="bottom"/>
            <w:shd w:val="clear" w:color="auto" w:fill="0CD973"/>
          </w:tcPr>
          <w:p>
            <w:pPr>
              <w:spacing w:after="0" w:line="20" w:lineRule="exact"/>
              <w:rPr>
                <w:sz w:val="1"/>
                <w:szCs w:val="1"/>
                <w:color w:val="auto"/>
              </w:rPr>
            </w:pPr>
          </w:p>
        </w:tc>
        <w:tc>
          <w:tcPr>
            <w:tcW w:w="800" w:type="dxa"/>
            <w:vAlign w:val="bottom"/>
            <w:shd w:val="clear" w:color="auto" w:fill="0CD973"/>
          </w:tcPr>
          <w:p>
            <w:pPr>
              <w:spacing w:after="0" w:line="20" w:lineRule="exact"/>
              <w:rPr>
                <w:sz w:val="1"/>
                <w:szCs w:val="1"/>
                <w:color w:val="auto"/>
              </w:rPr>
            </w:pPr>
          </w:p>
        </w:tc>
        <w:tc>
          <w:tcPr>
            <w:tcW w:w="1060" w:type="dxa"/>
            <w:vAlign w:val="bottom"/>
            <w:shd w:val="clear" w:color="auto" w:fill="0CD973"/>
          </w:tcPr>
          <w:p>
            <w:pPr>
              <w:spacing w:after="0" w:line="20" w:lineRule="exact"/>
              <w:rPr>
                <w:sz w:val="1"/>
                <w:szCs w:val="1"/>
                <w:color w:val="auto"/>
              </w:rPr>
            </w:pPr>
          </w:p>
        </w:tc>
        <w:tc>
          <w:tcPr>
            <w:tcW w:w="920" w:type="dxa"/>
            <w:vAlign w:val="bottom"/>
            <w:shd w:val="clear" w:color="auto" w:fill="0CD973"/>
          </w:tcPr>
          <w:p>
            <w:pPr>
              <w:spacing w:after="0" w:line="20" w:lineRule="exact"/>
              <w:rPr>
                <w:sz w:val="1"/>
                <w:szCs w:val="1"/>
                <w:color w:val="auto"/>
              </w:rPr>
            </w:pPr>
          </w:p>
        </w:tc>
        <w:tc>
          <w:tcPr>
            <w:tcW w:w="540" w:type="dxa"/>
            <w:vAlign w:val="bottom"/>
            <w:shd w:val="clear" w:color="auto" w:fill="0CD973"/>
          </w:tcPr>
          <w:p>
            <w:pPr>
              <w:spacing w:after="0" w:line="20" w:lineRule="exact"/>
              <w:rPr>
                <w:sz w:val="1"/>
                <w:szCs w:val="1"/>
                <w:color w:val="auto"/>
              </w:rPr>
            </w:pPr>
          </w:p>
        </w:tc>
        <w:tc>
          <w:tcPr>
            <w:tcW w:w="540" w:type="dxa"/>
            <w:vAlign w:val="bottom"/>
            <w:shd w:val="clear" w:color="auto" w:fill="0CD973"/>
          </w:tcPr>
          <w:p>
            <w:pPr>
              <w:spacing w:after="0" w:line="20" w:lineRule="exact"/>
              <w:rPr>
                <w:sz w:val="1"/>
                <w:szCs w:val="1"/>
                <w:color w:val="auto"/>
              </w:rPr>
            </w:pPr>
          </w:p>
        </w:tc>
        <w:tc>
          <w:tcPr>
            <w:tcW w:w="540" w:type="dxa"/>
            <w:vAlign w:val="bottom"/>
            <w:shd w:val="clear" w:color="auto" w:fill="0CD973"/>
          </w:tcPr>
          <w:p>
            <w:pPr>
              <w:spacing w:after="0" w:line="20" w:lineRule="exact"/>
              <w:rPr>
                <w:sz w:val="1"/>
                <w:szCs w:val="1"/>
                <w:color w:val="auto"/>
              </w:rPr>
            </w:pPr>
          </w:p>
        </w:tc>
        <w:tc>
          <w:tcPr>
            <w:tcW w:w="540" w:type="dxa"/>
            <w:vAlign w:val="bottom"/>
            <w:shd w:val="clear" w:color="auto" w:fill="0CD973"/>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Wingdings" w:cs="Wingdings" w:eastAsia="Wingdings" w:hAnsi="Wingdings"/>
          <w:sz w:val="20"/>
          <w:szCs w:val="20"/>
          <w:b w:val="1"/>
          <w:bCs w:val="1"/>
          <w:color w:val="0CD973"/>
        </w:rPr>
        <w:t xml:space="preserve">l </w:t>
      </w:r>
      <w:r>
        <w:rPr>
          <w:rFonts w:ascii="Arial" w:cs="Arial" w:eastAsia="Arial" w:hAnsi="Arial"/>
          <w:sz w:val="14"/>
          <w:szCs w:val="14"/>
          <w:color w:val="51555C"/>
        </w:rPr>
        <w:t>- Committee Chair</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51555C"/>
        </w:rPr>
        <w:t>AC - Audit Committee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51555C"/>
        </w:rPr>
        <w:t>CC - Compensation Committee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51555C"/>
        </w:rPr>
        <w:t>NCGC - Nominating and Corporate Governance Committee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51555C"/>
        </w:rPr>
        <w:t>CROC - Cyber Risk Oversight Committee</w:t>
      </w:r>
    </w:p>
    <w:p>
      <w:pPr>
        <w:spacing w:after="0" w:line="1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51555C"/>
        </w:rPr>
      </w:pPr>
      <w:r>
        <w:rPr>
          <w:rFonts w:ascii="Arial" w:cs="Arial" w:eastAsia="Arial" w:hAnsi="Arial"/>
          <w:sz w:val="14"/>
          <w:szCs w:val="14"/>
          <w:color w:val="51555C"/>
        </w:rPr>
        <w:t>Ms. Hollenbeck is not a nominee for reelection at the 2026 Annual Meeting of Stockholders. Accordingly, her term will end at the conclusion of the 2026 Annual Meeting.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4054"/>
        </w:rPr>
        <w:t xml:space="preserve">INFORMATION ABOUT OUR BOARD AND COMMITTEES </w:t>
      </w:r>
      <w:r>
        <w:rPr>
          <w:rFonts w:ascii="Arial" w:cs="Arial" w:eastAsia="Arial" w:hAnsi="Arial"/>
          <w:sz w:val="17"/>
          <w:szCs w:val="17"/>
          <w:b w:val="1"/>
          <w:bCs w:val="1"/>
          <w:color w:val="51555C"/>
        </w:rPr>
        <w:t>(pages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20" w:type="dxa"/>
            <w:vAlign w:val="bottom"/>
            <w:shd w:val="clear" w:color="auto" w:fill="004054"/>
          </w:tcPr>
          <w:p>
            <w:pPr>
              <w:spacing w:after="0"/>
              <w:rPr>
                <w:sz w:val="16"/>
                <w:szCs w:val="16"/>
                <w:color w:val="auto"/>
              </w:rPr>
            </w:pPr>
          </w:p>
        </w:tc>
        <w:tc>
          <w:tcPr>
            <w:tcW w:w="4960" w:type="dxa"/>
            <w:vAlign w:val="bottom"/>
            <w:shd w:val="clear" w:color="auto" w:fill="004054"/>
          </w:tcPr>
          <w:p>
            <w:pPr>
              <w:spacing w:after="0"/>
              <w:rPr>
                <w:sz w:val="16"/>
                <w:szCs w:val="16"/>
                <w:color w:val="auto"/>
              </w:rPr>
            </w:pPr>
          </w:p>
        </w:tc>
        <w:tc>
          <w:tcPr>
            <w:tcW w:w="110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Number of</w:t>
            </w:r>
          </w:p>
        </w:tc>
        <w:tc>
          <w:tcPr>
            <w:tcW w:w="1380" w:type="dxa"/>
            <w:vAlign w:val="bottom"/>
            <w:shd w:val="clear" w:color="auto" w:fill="004054"/>
          </w:tcPr>
          <w:p>
            <w:pPr>
              <w:spacing w:after="0"/>
              <w:rPr>
                <w:sz w:val="16"/>
                <w:szCs w:val="16"/>
                <w:color w:val="auto"/>
              </w:rPr>
            </w:pPr>
          </w:p>
        </w:tc>
        <w:tc>
          <w:tcPr>
            <w:tcW w:w="218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Number of Meetings During</w:t>
            </w:r>
          </w:p>
        </w:tc>
        <w:tc>
          <w:tcPr>
            <w:tcW w:w="20" w:type="dxa"/>
            <w:vAlign w:val="bottom"/>
            <w:shd w:val="clear" w:color="auto" w:fill="004054"/>
          </w:tcPr>
          <w:p>
            <w:pPr>
              <w:spacing w:after="0"/>
              <w:rPr>
                <w:sz w:val="16"/>
                <w:szCs w:val="16"/>
                <w:color w:val="auto"/>
              </w:rPr>
            </w:pPr>
          </w:p>
        </w:tc>
      </w:tr>
      <w:tr>
        <w:trPr>
          <w:trHeight w:val="219"/>
        </w:trPr>
        <w:tc>
          <w:tcPr>
            <w:tcW w:w="1620" w:type="dxa"/>
            <w:vAlign w:val="bottom"/>
            <w:tcBorders>
              <w:bottom w:val="single" w:sz="8" w:color="004054"/>
            </w:tcBorders>
            <w:shd w:val="clear" w:color="auto" w:fill="004054"/>
          </w:tcPr>
          <w:p>
            <w:pPr>
              <w:spacing w:after="0"/>
              <w:rPr>
                <w:sz w:val="19"/>
                <w:szCs w:val="19"/>
                <w:color w:val="auto"/>
              </w:rPr>
            </w:pPr>
          </w:p>
        </w:tc>
        <w:tc>
          <w:tcPr>
            <w:tcW w:w="4960" w:type="dxa"/>
            <w:vAlign w:val="bottom"/>
            <w:tcBorders>
              <w:bottom w:val="single" w:sz="8" w:color="004054"/>
            </w:tcBorders>
            <w:shd w:val="clear" w:color="auto" w:fill="004054"/>
          </w:tcPr>
          <w:p>
            <w:pPr>
              <w:spacing w:after="0"/>
              <w:rPr>
                <w:sz w:val="19"/>
                <w:szCs w:val="19"/>
                <w:color w:val="auto"/>
              </w:rPr>
            </w:pPr>
          </w:p>
        </w:tc>
        <w:tc>
          <w:tcPr>
            <w:tcW w:w="110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Members</w:t>
            </w:r>
          </w:p>
        </w:tc>
        <w:tc>
          <w:tcPr>
            <w:tcW w:w="1380" w:type="dxa"/>
            <w:vAlign w:val="bottom"/>
            <w:tcBorders>
              <w:bottom w:val="single" w:sz="8" w:color="004054"/>
            </w:tcBorders>
            <w:shd w:val="clear" w:color="auto" w:fill="004054"/>
          </w:tcPr>
          <w:p>
            <w:pPr>
              <w:ind w:left="220"/>
              <w:spacing w:after="0"/>
              <w:rPr>
                <w:sz w:val="20"/>
                <w:szCs w:val="20"/>
                <w:color w:val="auto"/>
              </w:rPr>
            </w:pPr>
            <w:r>
              <w:rPr>
                <w:rFonts w:ascii="Arial" w:cs="Arial" w:eastAsia="Arial" w:hAnsi="Arial"/>
                <w:sz w:val="14"/>
                <w:szCs w:val="14"/>
                <w:b w:val="1"/>
                <w:bCs w:val="1"/>
                <w:color w:val="FFFFFF"/>
              </w:rPr>
              <w:t>Independence</w:t>
            </w:r>
          </w:p>
        </w:tc>
        <w:tc>
          <w:tcPr>
            <w:tcW w:w="218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Fiscal Year 2025</w:t>
            </w:r>
          </w:p>
        </w:tc>
        <w:tc>
          <w:tcPr>
            <w:tcW w:w="20" w:type="dxa"/>
            <w:vAlign w:val="bottom"/>
            <w:tcBorders>
              <w:bottom w:val="single" w:sz="8" w:color="004054"/>
            </w:tcBorders>
            <w:shd w:val="clear" w:color="auto" w:fill="004054"/>
          </w:tcPr>
          <w:p>
            <w:pPr>
              <w:spacing w:after="0"/>
              <w:rPr>
                <w:sz w:val="19"/>
                <w:szCs w:val="19"/>
                <w:color w:val="auto"/>
              </w:rPr>
            </w:pPr>
          </w:p>
        </w:tc>
      </w:tr>
      <w:tr>
        <w:trPr>
          <w:trHeight w:val="324"/>
        </w:trPr>
        <w:tc>
          <w:tcPr>
            <w:tcW w:w="162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Full Board</w:t>
            </w:r>
          </w:p>
        </w:tc>
        <w:tc>
          <w:tcPr>
            <w:tcW w:w="4960" w:type="dxa"/>
            <w:vAlign w:val="bottom"/>
            <w:shd w:val="clear" w:color="auto" w:fill="EBFBFF"/>
          </w:tcPr>
          <w:p>
            <w:pPr>
              <w:spacing w:after="0"/>
              <w:rPr>
                <w:sz w:val="24"/>
                <w:szCs w:val="24"/>
                <w:color w:val="auto"/>
              </w:rPr>
            </w:pPr>
          </w:p>
        </w:tc>
        <w:tc>
          <w:tcPr>
            <w:tcW w:w="110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9"/>
              </w:rPr>
              <w:t>7</w:t>
            </w:r>
          </w:p>
        </w:tc>
        <w:tc>
          <w:tcPr>
            <w:tcW w:w="138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7"/>
              </w:rPr>
              <w:t>85.7%</w:t>
            </w:r>
          </w:p>
        </w:tc>
        <w:tc>
          <w:tcPr>
            <w:tcW w:w="218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9"/>
              </w:rPr>
              <w:t>5</w:t>
            </w:r>
          </w:p>
        </w:tc>
        <w:tc>
          <w:tcPr>
            <w:tcW w:w="20" w:type="dxa"/>
            <w:vAlign w:val="bottom"/>
          </w:tcPr>
          <w:p>
            <w:pPr>
              <w:spacing w:after="0"/>
              <w:rPr>
                <w:sz w:val="24"/>
                <w:szCs w:val="24"/>
                <w:color w:val="auto"/>
              </w:rPr>
            </w:pPr>
          </w:p>
        </w:tc>
      </w:tr>
      <w:tr>
        <w:trPr>
          <w:trHeight w:val="317"/>
        </w:trPr>
        <w:tc>
          <w:tcPr>
            <w:tcW w:w="1620" w:type="dxa"/>
            <w:vAlign w:val="bottom"/>
          </w:tcPr>
          <w:p>
            <w:pPr>
              <w:ind w:left="20"/>
              <w:spacing w:after="0"/>
              <w:rPr>
                <w:sz w:val="20"/>
                <w:szCs w:val="20"/>
                <w:color w:val="auto"/>
              </w:rPr>
            </w:pPr>
            <w:r>
              <w:rPr>
                <w:rFonts w:ascii="Arial" w:cs="Arial" w:eastAsia="Arial" w:hAnsi="Arial"/>
                <w:sz w:val="18"/>
                <w:szCs w:val="18"/>
                <w:b w:val="1"/>
                <w:bCs w:val="1"/>
                <w:color w:val="51555C"/>
              </w:rPr>
              <w:t>Audit Committee</w:t>
            </w:r>
          </w:p>
        </w:tc>
        <w:tc>
          <w:tcPr>
            <w:tcW w:w="49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51555C"/>
                <w:w w:val="99"/>
              </w:rPr>
              <w:t>3</w:t>
            </w:r>
          </w:p>
        </w:tc>
        <w:tc>
          <w:tcPr>
            <w:tcW w:w="1380" w:type="dxa"/>
            <w:vAlign w:val="bottom"/>
          </w:tcPr>
          <w:p>
            <w:pPr>
              <w:jc w:val="center"/>
              <w:spacing w:after="0"/>
              <w:rPr>
                <w:sz w:val="20"/>
                <w:szCs w:val="20"/>
                <w:color w:val="auto"/>
              </w:rPr>
            </w:pPr>
            <w:r>
              <w:rPr>
                <w:rFonts w:ascii="Arial" w:cs="Arial" w:eastAsia="Arial" w:hAnsi="Arial"/>
                <w:sz w:val="18"/>
                <w:szCs w:val="18"/>
                <w:color w:val="51555C"/>
                <w:w w:val="99"/>
              </w:rPr>
              <w:t>100%</w:t>
            </w:r>
          </w:p>
        </w:tc>
        <w:tc>
          <w:tcPr>
            <w:tcW w:w="2180" w:type="dxa"/>
            <w:vAlign w:val="bottom"/>
          </w:tcPr>
          <w:p>
            <w:pPr>
              <w:jc w:val="center"/>
              <w:spacing w:after="0"/>
              <w:rPr>
                <w:sz w:val="20"/>
                <w:szCs w:val="20"/>
                <w:color w:val="auto"/>
              </w:rPr>
            </w:pPr>
            <w:r>
              <w:rPr>
                <w:rFonts w:ascii="Arial" w:cs="Arial" w:eastAsia="Arial" w:hAnsi="Arial"/>
                <w:sz w:val="18"/>
                <w:szCs w:val="18"/>
                <w:color w:val="51555C"/>
                <w:w w:val="89"/>
              </w:rPr>
              <w:t>11</w:t>
            </w:r>
          </w:p>
        </w:tc>
        <w:tc>
          <w:tcPr>
            <w:tcW w:w="20" w:type="dxa"/>
            <w:vAlign w:val="bottom"/>
          </w:tcPr>
          <w:p>
            <w:pPr>
              <w:spacing w:after="0"/>
              <w:rPr>
                <w:sz w:val="24"/>
                <w:szCs w:val="24"/>
                <w:color w:val="auto"/>
              </w:rPr>
            </w:pPr>
          </w:p>
        </w:tc>
      </w:tr>
      <w:tr>
        <w:trPr>
          <w:trHeight w:val="332"/>
        </w:trPr>
        <w:tc>
          <w:tcPr>
            <w:tcW w:w="6580" w:type="dxa"/>
            <w:vAlign w:val="bottom"/>
            <w:gridSpan w:val="2"/>
            <w:shd w:val="clear" w:color="auto" w:fill="EBFBFF"/>
          </w:tcPr>
          <w:p>
            <w:pPr>
              <w:ind w:left="20"/>
              <w:spacing w:after="0"/>
              <w:rPr>
                <w:sz w:val="20"/>
                <w:szCs w:val="20"/>
                <w:color w:val="auto"/>
              </w:rPr>
            </w:pPr>
            <w:r>
              <w:rPr>
                <w:rFonts w:ascii="Arial" w:cs="Arial" w:eastAsia="Arial" w:hAnsi="Arial"/>
                <w:sz w:val="18"/>
                <w:szCs w:val="18"/>
                <w:b w:val="1"/>
                <w:bCs w:val="1"/>
                <w:color w:val="51555C"/>
              </w:rPr>
              <w:t>Compensation Committee</w:t>
            </w:r>
          </w:p>
        </w:tc>
        <w:tc>
          <w:tcPr>
            <w:tcW w:w="110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9"/>
              </w:rPr>
              <w:t>3</w:t>
            </w:r>
          </w:p>
        </w:tc>
        <w:tc>
          <w:tcPr>
            <w:tcW w:w="138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9"/>
              </w:rPr>
              <w:t>100%</w:t>
            </w:r>
          </w:p>
        </w:tc>
        <w:tc>
          <w:tcPr>
            <w:tcW w:w="218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9"/>
              </w:rPr>
              <w:t>5</w:t>
            </w:r>
          </w:p>
        </w:tc>
        <w:tc>
          <w:tcPr>
            <w:tcW w:w="20" w:type="dxa"/>
            <w:vAlign w:val="bottom"/>
          </w:tcPr>
          <w:p>
            <w:pPr>
              <w:spacing w:after="0"/>
              <w:rPr>
                <w:sz w:val="24"/>
                <w:szCs w:val="24"/>
                <w:color w:val="auto"/>
              </w:rPr>
            </w:pPr>
          </w:p>
        </w:tc>
      </w:tr>
      <w:tr>
        <w:trPr>
          <w:trHeight w:val="316"/>
        </w:trPr>
        <w:tc>
          <w:tcPr>
            <w:tcW w:w="6580" w:type="dxa"/>
            <w:vAlign w:val="bottom"/>
            <w:gridSpan w:val="2"/>
          </w:tcPr>
          <w:p>
            <w:pPr>
              <w:ind w:left="20"/>
              <w:spacing w:after="0"/>
              <w:rPr>
                <w:sz w:val="20"/>
                <w:szCs w:val="20"/>
                <w:color w:val="auto"/>
              </w:rPr>
            </w:pPr>
            <w:r>
              <w:rPr>
                <w:rFonts w:ascii="Arial" w:cs="Arial" w:eastAsia="Arial" w:hAnsi="Arial"/>
                <w:sz w:val="18"/>
                <w:szCs w:val="18"/>
                <w:b w:val="1"/>
                <w:bCs w:val="1"/>
                <w:color w:val="51555C"/>
              </w:rPr>
              <w:t>Nominating and Corporate Governance Committee</w:t>
            </w:r>
          </w:p>
        </w:tc>
        <w:tc>
          <w:tcPr>
            <w:tcW w:w="1100" w:type="dxa"/>
            <w:vAlign w:val="bottom"/>
          </w:tcPr>
          <w:p>
            <w:pPr>
              <w:jc w:val="center"/>
              <w:spacing w:after="0"/>
              <w:rPr>
                <w:sz w:val="20"/>
                <w:szCs w:val="20"/>
                <w:color w:val="auto"/>
              </w:rPr>
            </w:pPr>
            <w:r>
              <w:rPr>
                <w:rFonts w:ascii="Arial" w:cs="Arial" w:eastAsia="Arial" w:hAnsi="Arial"/>
                <w:sz w:val="18"/>
                <w:szCs w:val="18"/>
                <w:color w:val="51555C"/>
                <w:w w:val="99"/>
              </w:rPr>
              <w:t>3</w:t>
            </w:r>
          </w:p>
        </w:tc>
        <w:tc>
          <w:tcPr>
            <w:tcW w:w="1380" w:type="dxa"/>
            <w:vAlign w:val="bottom"/>
          </w:tcPr>
          <w:p>
            <w:pPr>
              <w:jc w:val="center"/>
              <w:spacing w:after="0"/>
              <w:rPr>
                <w:sz w:val="20"/>
                <w:szCs w:val="20"/>
                <w:color w:val="auto"/>
              </w:rPr>
            </w:pPr>
            <w:r>
              <w:rPr>
                <w:rFonts w:ascii="Arial" w:cs="Arial" w:eastAsia="Arial" w:hAnsi="Arial"/>
                <w:sz w:val="18"/>
                <w:szCs w:val="18"/>
                <w:color w:val="51555C"/>
                <w:w w:val="99"/>
              </w:rPr>
              <w:t>100%</w:t>
            </w:r>
          </w:p>
        </w:tc>
        <w:tc>
          <w:tcPr>
            <w:tcW w:w="2180" w:type="dxa"/>
            <w:vAlign w:val="bottom"/>
          </w:tcPr>
          <w:p>
            <w:pPr>
              <w:jc w:val="center"/>
              <w:spacing w:after="0"/>
              <w:rPr>
                <w:sz w:val="20"/>
                <w:szCs w:val="20"/>
                <w:color w:val="auto"/>
              </w:rPr>
            </w:pPr>
            <w:r>
              <w:rPr>
                <w:rFonts w:ascii="Arial" w:cs="Arial" w:eastAsia="Arial" w:hAnsi="Arial"/>
                <w:sz w:val="18"/>
                <w:szCs w:val="18"/>
                <w:color w:val="51555C"/>
                <w:w w:val="99"/>
              </w:rPr>
              <w:t>4</w:t>
            </w:r>
          </w:p>
        </w:tc>
        <w:tc>
          <w:tcPr>
            <w:tcW w:w="20" w:type="dxa"/>
            <w:vAlign w:val="bottom"/>
          </w:tcPr>
          <w:p>
            <w:pPr>
              <w:spacing w:after="0"/>
              <w:rPr>
                <w:sz w:val="24"/>
                <w:szCs w:val="24"/>
                <w:color w:val="auto"/>
              </w:rPr>
            </w:pPr>
          </w:p>
        </w:tc>
      </w:tr>
      <w:tr>
        <w:trPr>
          <w:trHeight w:val="325"/>
        </w:trPr>
        <w:tc>
          <w:tcPr>
            <w:tcW w:w="6580" w:type="dxa"/>
            <w:vAlign w:val="bottom"/>
            <w:tcBorders>
              <w:bottom w:val="single" w:sz="8" w:color="0CD973"/>
            </w:tcBorders>
            <w:gridSpan w:val="2"/>
            <w:shd w:val="clear" w:color="auto" w:fill="EBFBFF"/>
          </w:tcPr>
          <w:p>
            <w:pPr>
              <w:ind w:left="20"/>
              <w:spacing w:after="0"/>
              <w:rPr>
                <w:sz w:val="20"/>
                <w:szCs w:val="20"/>
                <w:color w:val="auto"/>
              </w:rPr>
            </w:pPr>
            <w:r>
              <w:rPr>
                <w:rFonts w:ascii="Arial" w:cs="Arial" w:eastAsia="Arial" w:hAnsi="Arial"/>
                <w:sz w:val="18"/>
                <w:szCs w:val="18"/>
                <w:b w:val="1"/>
                <w:bCs w:val="1"/>
                <w:color w:val="51555C"/>
              </w:rPr>
              <w:t>Cyber Risk Oversight Committee</w:t>
            </w:r>
          </w:p>
        </w:tc>
        <w:tc>
          <w:tcPr>
            <w:tcW w:w="1100" w:type="dxa"/>
            <w:vAlign w:val="bottom"/>
            <w:tcBorders>
              <w:bottom w:val="single" w:sz="8" w:color="0CD973"/>
            </w:tcBorders>
            <w:shd w:val="clear" w:color="auto" w:fill="EBFBFF"/>
          </w:tcPr>
          <w:p>
            <w:pPr>
              <w:jc w:val="center"/>
              <w:spacing w:after="0"/>
              <w:rPr>
                <w:sz w:val="20"/>
                <w:szCs w:val="20"/>
                <w:color w:val="auto"/>
              </w:rPr>
            </w:pPr>
            <w:r>
              <w:rPr>
                <w:rFonts w:ascii="Arial" w:cs="Arial" w:eastAsia="Arial" w:hAnsi="Arial"/>
                <w:sz w:val="18"/>
                <w:szCs w:val="18"/>
                <w:color w:val="51555C"/>
                <w:w w:val="99"/>
              </w:rPr>
              <w:t>3</w:t>
            </w:r>
          </w:p>
        </w:tc>
        <w:tc>
          <w:tcPr>
            <w:tcW w:w="1380" w:type="dxa"/>
            <w:vAlign w:val="bottom"/>
            <w:tcBorders>
              <w:bottom w:val="single" w:sz="8" w:color="0CD973"/>
            </w:tcBorders>
            <w:shd w:val="clear" w:color="auto" w:fill="EBFBFF"/>
          </w:tcPr>
          <w:p>
            <w:pPr>
              <w:jc w:val="center"/>
              <w:spacing w:after="0"/>
              <w:rPr>
                <w:sz w:val="20"/>
                <w:szCs w:val="20"/>
                <w:color w:val="auto"/>
              </w:rPr>
            </w:pPr>
            <w:r>
              <w:rPr>
                <w:rFonts w:ascii="Arial" w:cs="Arial" w:eastAsia="Arial" w:hAnsi="Arial"/>
                <w:sz w:val="18"/>
                <w:szCs w:val="18"/>
                <w:color w:val="51555C"/>
                <w:w w:val="99"/>
              </w:rPr>
              <w:t>100%</w:t>
            </w:r>
          </w:p>
        </w:tc>
        <w:tc>
          <w:tcPr>
            <w:tcW w:w="2180" w:type="dxa"/>
            <w:vAlign w:val="bottom"/>
            <w:tcBorders>
              <w:bottom w:val="single" w:sz="8" w:color="0CD973"/>
            </w:tcBorders>
            <w:shd w:val="clear" w:color="auto" w:fill="EBFBFF"/>
          </w:tcPr>
          <w:p>
            <w:pPr>
              <w:jc w:val="center"/>
              <w:spacing w:after="0"/>
              <w:rPr>
                <w:sz w:val="20"/>
                <w:szCs w:val="20"/>
                <w:color w:val="auto"/>
              </w:rPr>
            </w:pPr>
            <w:r>
              <w:rPr>
                <w:rFonts w:ascii="Arial" w:cs="Arial" w:eastAsia="Arial" w:hAnsi="Arial"/>
                <w:sz w:val="18"/>
                <w:szCs w:val="18"/>
                <w:color w:val="51555C"/>
                <w:w w:val="99"/>
              </w:rPr>
              <w:t>4</w:t>
            </w:r>
          </w:p>
        </w:tc>
        <w:tc>
          <w:tcPr>
            <w:tcW w:w="20" w:type="dxa"/>
            <w:vAlign w:val="bottom"/>
          </w:tcPr>
          <w:p>
            <w:pPr>
              <w:spacing w:after="0"/>
              <w:rPr>
                <w:sz w:val="24"/>
                <w:szCs w:val="24"/>
                <w:color w:val="auto"/>
              </w:rPr>
            </w:pPr>
          </w:p>
        </w:tc>
      </w:tr>
      <w:tr>
        <w:trPr>
          <w:trHeight w:val="654"/>
        </w:trPr>
        <w:tc>
          <w:tcPr>
            <w:tcW w:w="1620" w:type="dxa"/>
            <w:vAlign w:val="bottom"/>
          </w:tcPr>
          <w:p>
            <w:pPr>
              <w:ind w:left="180"/>
              <w:spacing w:after="0"/>
              <w:rPr>
                <w:sz w:val="20"/>
                <w:szCs w:val="20"/>
                <w:color w:val="auto"/>
              </w:rPr>
            </w:pPr>
            <w:r>
              <w:rPr>
                <w:rFonts w:ascii="Arial" w:cs="Arial" w:eastAsia="Arial" w:hAnsi="Arial"/>
                <w:sz w:val="14"/>
                <w:szCs w:val="14"/>
                <w:color w:val="51555C"/>
              </w:rPr>
              <w:t>6</w:t>
            </w:r>
          </w:p>
        </w:tc>
        <w:tc>
          <w:tcPr>
            <w:tcW w:w="4960" w:type="dxa"/>
            <w:vAlign w:val="bottom"/>
          </w:tcPr>
          <w:p>
            <w:pPr>
              <w:ind w:left="160"/>
              <w:spacing w:after="0"/>
              <w:rPr>
                <w:sz w:val="20"/>
                <w:szCs w:val="20"/>
                <w:color w:val="auto"/>
              </w:rPr>
            </w:pPr>
            <w:r>
              <w:rPr>
                <w:rFonts w:ascii="Arial" w:cs="Arial" w:eastAsia="Arial" w:hAnsi="Arial"/>
                <w:sz w:val="14"/>
                <w:szCs w:val="14"/>
                <w:color w:val="51555C"/>
              </w:rPr>
              <w:t>2026 Proxy Statement</w:t>
            </w: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1"/>
        </w:trPr>
        <w:tc>
          <w:tcPr>
            <w:tcW w:w="1620" w:type="dxa"/>
            <w:vAlign w:val="bottom"/>
            <w:tcBorders>
              <w:bottom w:val="single" w:sz="8" w:color="9A9A9A"/>
            </w:tcBorders>
          </w:tcPr>
          <w:p>
            <w:pPr>
              <w:spacing w:after="0"/>
              <w:rPr>
                <w:sz w:val="23"/>
                <w:szCs w:val="23"/>
                <w:color w:val="auto"/>
              </w:rPr>
            </w:pPr>
          </w:p>
        </w:tc>
        <w:tc>
          <w:tcPr>
            <w:tcW w:w="496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1380" w:type="dxa"/>
            <w:vAlign w:val="bottom"/>
            <w:tcBorders>
              <w:bottom w:val="single" w:sz="8" w:color="9A9A9A"/>
            </w:tcBorders>
          </w:tcPr>
          <w:p>
            <w:pPr>
              <w:spacing w:after="0"/>
              <w:rPr>
                <w:sz w:val="23"/>
                <w:szCs w:val="23"/>
                <w:color w:val="auto"/>
              </w:rPr>
            </w:pPr>
          </w:p>
        </w:tc>
        <w:tc>
          <w:tcPr>
            <w:tcW w:w="2180" w:type="dxa"/>
            <w:vAlign w:val="bottom"/>
            <w:tcBorders>
              <w:bottom w:val="single" w:sz="8" w:color="9A9A9A"/>
            </w:tcBorders>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-307975</wp:posOffset>
            </wp:positionV>
            <wp:extent cx="702945" cy="1111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9020"/>
        <w:spacing w:after="0"/>
        <w:rPr>
          <w:sz w:val="20"/>
          <w:szCs w:val="20"/>
          <w:color w:val="auto"/>
        </w:rPr>
      </w:pPr>
      <w:r>
        <w:rPr>
          <w:rFonts w:ascii="Arial" w:cs="Arial" w:eastAsia="Arial" w:hAnsi="Arial"/>
          <w:sz w:val="18"/>
          <w:szCs w:val="18"/>
          <w:b w:val="1"/>
          <w:bCs w:val="1"/>
          <w:color w:val="51555C"/>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4054"/>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60" w:type="dxa"/>
            <w:vAlign w:val="bottom"/>
            <w:shd w:val="clear" w:color="auto" w:fill="004054"/>
          </w:tcPr>
          <w:p>
            <w:pPr>
              <w:spacing w:after="0"/>
              <w:rPr>
                <w:sz w:val="16"/>
                <w:szCs w:val="16"/>
                <w:color w:val="auto"/>
              </w:rPr>
            </w:pPr>
          </w:p>
        </w:tc>
        <w:tc>
          <w:tcPr>
            <w:tcW w:w="440" w:type="dxa"/>
            <w:vAlign w:val="bottom"/>
            <w:shd w:val="clear" w:color="auto" w:fill="004054"/>
          </w:tcPr>
          <w:p>
            <w:pPr>
              <w:spacing w:after="0"/>
              <w:rPr>
                <w:sz w:val="16"/>
                <w:szCs w:val="16"/>
                <w:color w:val="auto"/>
              </w:rPr>
            </w:pPr>
          </w:p>
        </w:tc>
        <w:tc>
          <w:tcPr>
            <w:tcW w:w="6740" w:type="dxa"/>
            <w:vAlign w:val="bottom"/>
            <w:shd w:val="clear" w:color="auto" w:fill="004054"/>
          </w:tcPr>
          <w:p>
            <w:pPr>
              <w:spacing w:after="0"/>
              <w:rPr>
                <w:sz w:val="16"/>
                <w:szCs w:val="16"/>
                <w:color w:val="auto"/>
              </w:rPr>
            </w:pPr>
          </w:p>
        </w:tc>
        <w:tc>
          <w:tcPr>
            <w:tcW w:w="110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Page</w:t>
            </w:r>
          </w:p>
        </w:tc>
        <w:tc>
          <w:tcPr>
            <w:tcW w:w="20" w:type="dxa"/>
            <w:vAlign w:val="bottom"/>
            <w:shd w:val="clear" w:color="auto" w:fill="004054"/>
          </w:tcPr>
          <w:p>
            <w:pPr>
              <w:spacing w:after="0"/>
              <w:rPr>
                <w:sz w:val="16"/>
                <w:szCs w:val="16"/>
                <w:color w:val="auto"/>
              </w:rPr>
            </w:pPr>
          </w:p>
        </w:tc>
      </w:tr>
      <w:tr>
        <w:trPr>
          <w:trHeight w:val="176"/>
        </w:trPr>
        <w:tc>
          <w:tcPr>
            <w:tcW w:w="2960" w:type="dxa"/>
            <w:vAlign w:val="bottom"/>
            <w:shd w:val="clear" w:color="auto" w:fill="004054"/>
          </w:tcPr>
          <w:p>
            <w:pPr>
              <w:spacing w:after="0"/>
              <w:rPr>
                <w:sz w:val="15"/>
                <w:szCs w:val="15"/>
                <w:color w:val="auto"/>
              </w:rPr>
            </w:pPr>
          </w:p>
        </w:tc>
        <w:tc>
          <w:tcPr>
            <w:tcW w:w="440" w:type="dxa"/>
            <w:vAlign w:val="bottom"/>
            <w:shd w:val="clear" w:color="auto" w:fill="004054"/>
          </w:tcPr>
          <w:p>
            <w:pPr>
              <w:spacing w:after="0"/>
              <w:rPr>
                <w:sz w:val="15"/>
                <w:szCs w:val="15"/>
                <w:color w:val="auto"/>
              </w:rPr>
            </w:pPr>
          </w:p>
        </w:tc>
        <w:tc>
          <w:tcPr>
            <w:tcW w:w="6740" w:type="dxa"/>
            <w:vAlign w:val="bottom"/>
            <w:shd w:val="clear" w:color="auto" w:fill="004054"/>
          </w:tcPr>
          <w:p>
            <w:pPr>
              <w:spacing w:after="0"/>
              <w:rPr>
                <w:sz w:val="15"/>
                <w:szCs w:val="15"/>
                <w:color w:val="auto"/>
              </w:rPr>
            </w:pPr>
          </w:p>
        </w:tc>
        <w:tc>
          <w:tcPr>
            <w:tcW w:w="110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Number</w:t>
            </w:r>
          </w:p>
        </w:tc>
        <w:tc>
          <w:tcPr>
            <w:tcW w:w="20" w:type="dxa"/>
            <w:vAlign w:val="bottom"/>
            <w:shd w:val="clear" w:color="auto" w:fill="004054"/>
          </w:tcPr>
          <w:p>
            <w:pPr>
              <w:spacing w:after="0"/>
              <w:rPr>
                <w:sz w:val="15"/>
                <w:szCs w:val="15"/>
                <w:color w:val="auto"/>
              </w:rPr>
            </w:pPr>
          </w:p>
        </w:tc>
      </w:tr>
      <w:tr>
        <w:trPr>
          <w:trHeight w:val="175"/>
        </w:trPr>
        <w:tc>
          <w:tcPr>
            <w:tcW w:w="2960" w:type="dxa"/>
            <w:vAlign w:val="bottom"/>
            <w:shd w:val="clear" w:color="auto" w:fill="004054"/>
          </w:tcPr>
          <w:p>
            <w:pPr>
              <w:spacing w:after="0"/>
              <w:rPr>
                <w:sz w:val="15"/>
                <w:szCs w:val="15"/>
                <w:color w:val="auto"/>
              </w:rPr>
            </w:pPr>
          </w:p>
        </w:tc>
        <w:tc>
          <w:tcPr>
            <w:tcW w:w="440" w:type="dxa"/>
            <w:vAlign w:val="bottom"/>
            <w:shd w:val="clear" w:color="auto" w:fill="004054"/>
          </w:tcPr>
          <w:p>
            <w:pPr>
              <w:spacing w:after="0"/>
              <w:rPr>
                <w:sz w:val="15"/>
                <w:szCs w:val="15"/>
                <w:color w:val="auto"/>
              </w:rPr>
            </w:pPr>
          </w:p>
        </w:tc>
        <w:tc>
          <w:tcPr>
            <w:tcW w:w="6740" w:type="dxa"/>
            <w:vAlign w:val="bottom"/>
            <w:shd w:val="clear" w:color="auto" w:fill="004054"/>
          </w:tcPr>
          <w:p>
            <w:pPr>
              <w:spacing w:after="0"/>
              <w:rPr>
                <w:sz w:val="15"/>
                <w:szCs w:val="15"/>
                <w:color w:val="auto"/>
              </w:rPr>
            </w:pPr>
          </w:p>
        </w:tc>
        <w:tc>
          <w:tcPr>
            <w:tcW w:w="110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(for more</w:t>
            </w:r>
          </w:p>
        </w:tc>
        <w:tc>
          <w:tcPr>
            <w:tcW w:w="20" w:type="dxa"/>
            <w:vAlign w:val="bottom"/>
            <w:shd w:val="clear" w:color="auto" w:fill="004054"/>
          </w:tcPr>
          <w:p>
            <w:pPr>
              <w:spacing w:after="0"/>
              <w:rPr>
                <w:sz w:val="15"/>
                <w:szCs w:val="15"/>
                <w:color w:val="auto"/>
              </w:rPr>
            </w:pPr>
          </w:p>
        </w:tc>
      </w:tr>
      <w:tr>
        <w:trPr>
          <w:trHeight w:val="205"/>
        </w:trPr>
        <w:tc>
          <w:tcPr>
            <w:tcW w:w="29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Governance Matter</w:t>
            </w:r>
          </w:p>
        </w:tc>
        <w:tc>
          <w:tcPr>
            <w:tcW w:w="7180" w:type="dxa"/>
            <w:vAlign w:val="bottom"/>
            <w:tcBorders>
              <w:bottom w:val="single" w:sz="8" w:color="004054"/>
            </w:tcBorders>
            <w:gridSpan w:val="2"/>
            <w:shd w:val="clear" w:color="auto" w:fill="004054"/>
          </w:tcPr>
          <w:p>
            <w:pPr>
              <w:ind w:left="20"/>
              <w:spacing w:after="0"/>
              <w:rPr>
                <w:sz w:val="20"/>
                <w:szCs w:val="20"/>
                <w:color w:val="auto"/>
              </w:rPr>
            </w:pPr>
            <w:r>
              <w:rPr>
                <w:rFonts w:ascii="Arial" w:cs="Arial" w:eastAsia="Arial" w:hAnsi="Arial"/>
                <w:sz w:val="14"/>
                <w:szCs w:val="14"/>
                <w:b w:val="1"/>
                <w:bCs w:val="1"/>
                <w:color w:val="FFFFFF"/>
              </w:rPr>
              <w:t>Summary Highlights</w:t>
            </w:r>
          </w:p>
        </w:tc>
        <w:tc>
          <w:tcPr>
            <w:tcW w:w="1100" w:type="dxa"/>
            <w:vAlign w:val="bottom"/>
            <w:tcBorders>
              <w:bottom w:val="single" w:sz="8" w:color="004054"/>
            </w:tcBorders>
            <w:shd w:val="clear" w:color="auto" w:fill="004054"/>
          </w:tcPr>
          <w:p>
            <w:pPr>
              <w:ind w:left="320"/>
              <w:spacing w:after="0"/>
              <w:rPr>
                <w:sz w:val="20"/>
                <w:szCs w:val="20"/>
                <w:color w:val="auto"/>
              </w:rPr>
            </w:pPr>
            <w:r>
              <w:rPr>
                <w:rFonts w:ascii="Arial" w:cs="Arial" w:eastAsia="Arial" w:hAnsi="Arial"/>
                <w:sz w:val="14"/>
                <w:szCs w:val="14"/>
                <w:b w:val="1"/>
                <w:bCs w:val="1"/>
                <w:color w:val="FFFFFF"/>
              </w:rPr>
              <w:t>details)</w:t>
            </w:r>
          </w:p>
        </w:tc>
        <w:tc>
          <w:tcPr>
            <w:tcW w:w="20" w:type="dxa"/>
            <w:vAlign w:val="bottom"/>
            <w:tcBorders>
              <w:bottom w:val="single" w:sz="8" w:color="004054"/>
            </w:tcBorders>
            <w:shd w:val="clear" w:color="auto" w:fill="004054"/>
          </w:tcPr>
          <w:p>
            <w:pPr>
              <w:spacing w:after="0"/>
              <w:rPr>
                <w:sz w:val="17"/>
                <w:szCs w:val="17"/>
                <w:color w:val="auto"/>
              </w:rPr>
            </w:pPr>
          </w:p>
        </w:tc>
      </w:tr>
      <w:tr>
        <w:trPr>
          <w:trHeight w:val="328"/>
        </w:trPr>
        <w:tc>
          <w:tcPr>
            <w:tcW w:w="296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Board Independence</w:t>
            </w:r>
          </w:p>
        </w:tc>
        <w:tc>
          <w:tcPr>
            <w:tcW w:w="440" w:type="dxa"/>
            <w:vAlign w:val="bottom"/>
            <w:shd w:val="clear" w:color="auto" w:fill="EBFBFF"/>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Independent Board, except CEO</w:t>
            </w:r>
          </w:p>
        </w:tc>
        <w:tc>
          <w:tcPr>
            <w:tcW w:w="110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9"/>
              </w:rPr>
              <w:t>20</w:t>
            </w:r>
          </w:p>
        </w:tc>
        <w:tc>
          <w:tcPr>
            <w:tcW w:w="20" w:type="dxa"/>
            <w:vAlign w:val="bottom"/>
          </w:tcPr>
          <w:p>
            <w:pPr>
              <w:spacing w:after="0"/>
              <w:rPr>
                <w:sz w:val="24"/>
                <w:szCs w:val="24"/>
                <w:color w:val="auto"/>
              </w:rPr>
            </w:pPr>
          </w:p>
        </w:tc>
      </w:tr>
      <w:tr>
        <w:trPr>
          <w:trHeight w:val="351"/>
        </w:trPr>
        <w:tc>
          <w:tcPr>
            <w:tcW w:w="2960" w:type="dxa"/>
            <w:vAlign w:val="bottom"/>
            <w:shd w:val="clear" w:color="auto" w:fill="EBFBFF"/>
          </w:tcPr>
          <w:p>
            <w:pPr>
              <w:spacing w:after="0"/>
              <w:rPr>
                <w:sz w:val="24"/>
                <w:szCs w:val="24"/>
                <w:color w:val="auto"/>
              </w:rPr>
            </w:pPr>
          </w:p>
        </w:tc>
        <w:tc>
          <w:tcPr>
            <w:tcW w:w="440" w:type="dxa"/>
            <w:vAlign w:val="bottom"/>
            <w:shd w:val="clear" w:color="auto" w:fill="EBFBFF"/>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Independent Board Chairman</w:t>
            </w:r>
          </w:p>
        </w:tc>
        <w:tc>
          <w:tcPr>
            <w:tcW w:w="110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9"/>
              </w:rPr>
              <w:t>20</w:t>
            </w:r>
          </w:p>
        </w:tc>
        <w:tc>
          <w:tcPr>
            <w:tcW w:w="20" w:type="dxa"/>
            <w:vAlign w:val="bottom"/>
          </w:tcPr>
          <w:p>
            <w:pPr>
              <w:spacing w:after="0"/>
              <w:rPr>
                <w:sz w:val="24"/>
                <w:szCs w:val="24"/>
                <w:color w:val="auto"/>
              </w:rPr>
            </w:pPr>
          </w:p>
        </w:tc>
      </w:tr>
      <w:tr>
        <w:trPr>
          <w:trHeight w:val="351"/>
        </w:trPr>
        <w:tc>
          <w:tcPr>
            <w:tcW w:w="2960" w:type="dxa"/>
            <w:vAlign w:val="bottom"/>
            <w:shd w:val="clear" w:color="auto" w:fill="EBFBFF"/>
          </w:tcPr>
          <w:p>
            <w:pPr>
              <w:spacing w:after="0"/>
              <w:rPr>
                <w:sz w:val="24"/>
                <w:szCs w:val="24"/>
                <w:color w:val="auto"/>
              </w:rPr>
            </w:pPr>
          </w:p>
        </w:tc>
        <w:tc>
          <w:tcPr>
            <w:tcW w:w="440" w:type="dxa"/>
            <w:vAlign w:val="bottom"/>
            <w:shd w:val="clear" w:color="auto" w:fill="EBFBFF"/>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100% Independent Committee Members</w:t>
            </w:r>
          </w:p>
        </w:tc>
        <w:tc>
          <w:tcPr>
            <w:tcW w:w="110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9"/>
              </w:rPr>
              <w:t>20</w:t>
            </w:r>
          </w:p>
        </w:tc>
        <w:tc>
          <w:tcPr>
            <w:tcW w:w="20" w:type="dxa"/>
            <w:vAlign w:val="bottom"/>
          </w:tcPr>
          <w:p>
            <w:pPr>
              <w:spacing w:after="0"/>
              <w:rPr>
                <w:sz w:val="24"/>
                <w:szCs w:val="24"/>
                <w:color w:val="auto"/>
              </w:rPr>
            </w:pPr>
          </w:p>
        </w:tc>
      </w:tr>
      <w:tr>
        <w:trPr>
          <w:trHeight w:val="351"/>
        </w:trPr>
        <w:tc>
          <w:tcPr>
            <w:tcW w:w="2960" w:type="dxa"/>
            <w:vAlign w:val="bottom"/>
            <w:shd w:val="clear" w:color="auto" w:fill="EBFBFF"/>
          </w:tcPr>
          <w:p>
            <w:pPr>
              <w:spacing w:after="0"/>
              <w:rPr>
                <w:sz w:val="24"/>
                <w:szCs w:val="24"/>
                <w:color w:val="auto"/>
              </w:rPr>
            </w:pPr>
          </w:p>
        </w:tc>
        <w:tc>
          <w:tcPr>
            <w:tcW w:w="440" w:type="dxa"/>
            <w:vAlign w:val="bottom"/>
            <w:shd w:val="clear" w:color="auto" w:fill="EBFBFF"/>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Regular Executive Sessions of Independent Directors</w:t>
            </w:r>
          </w:p>
        </w:tc>
        <w:tc>
          <w:tcPr>
            <w:tcW w:w="110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9"/>
              </w:rPr>
              <w:t>22</w:t>
            </w:r>
          </w:p>
        </w:tc>
        <w:tc>
          <w:tcPr>
            <w:tcW w:w="20" w:type="dxa"/>
            <w:vAlign w:val="bottom"/>
          </w:tcPr>
          <w:p>
            <w:pPr>
              <w:spacing w:after="0"/>
              <w:rPr>
                <w:sz w:val="24"/>
                <w:szCs w:val="24"/>
                <w:color w:val="auto"/>
              </w:rPr>
            </w:pPr>
          </w:p>
        </w:tc>
      </w:tr>
      <w:tr>
        <w:trPr>
          <w:trHeight w:val="351"/>
        </w:trPr>
        <w:tc>
          <w:tcPr>
            <w:tcW w:w="2960" w:type="dxa"/>
            <w:vAlign w:val="bottom"/>
            <w:shd w:val="clear" w:color="auto" w:fill="EBFBFF"/>
          </w:tcPr>
          <w:p>
            <w:pPr>
              <w:spacing w:after="0"/>
              <w:rPr>
                <w:sz w:val="24"/>
                <w:szCs w:val="24"/>
                <w:color w:val="auto"/>
              </w:rPr>
            </w:pPr>
          </w:p>
        </w:tc>
        <w:tc>
          <w:tcPr>
            <w:tcW w:w="440" w:type="dxa"/>
            <w:vAlign w:val="bottom"/>
            <w:shd w:val="clear" w:color="auto" w:fill="EBFBFF"/>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Committee Authority to Retain Independent Advisors</w:t>
            </w:r>
          </w:p>
        </w:tc>
        <w:tc>
          <w:tcPr>
            <w:tcW w:w="110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9"/>
              </w:rPr>
              <w:t>20</w:t>
            </w:r>
          </w:p>
        </w:tc>
        <w:tc>
          <w:tcPr>
            <w:tcW w:w="20" w:type="dxa"/>
            <w:vAlign w:val="bottom"/>
          </w:tcPr>
          <w:p>
            <w:pPr>
              <w:spacing w:after="0"/>
              <w:rPr>
                <w:sz w:val="24"/>
                <w:szCs w:val="24"/>
                <w:color w:val="auto"/>
              </w:rPr>
            </w:pPr>
          </w:p>
        </w:tc>
      </w:tr>
      <w:tr>
        <w:trPr>
          <w:trHeight w:val="23"/>
        </w:trPr>
        <w:tc>
          <w:tcPr>
            <w:tcW w:w="2960" w:type="dxa"/>
            <w:vAlign w:val="bottom"/>
            <w:shd w:val="clear" w:color="auto" w:fill="EBFBFF"/>
          </w:tcPr>
          <w:p>
            <w:pPr>
              <w:spacing w:after="0"/>
              <w:rPr>
                <w:sz w:val="2"/>
                <w:szCs w:val="2"/>
                <w:color w:val="auto"/>
              </w:rPr>
            </w:pPr>
          </w:p>
        </w:tc>
        <w:tc>
          <w:tcPr>
            <w:tcW w:w="440" w:type="dxa"/>
            <w:vAlign w:val="bottom"/>
            <w:shd w:val="clear" w:color="auto" w:fill="EBFBFF"/>
          </w:tcPr>
          <w:p>
            <w:pPr>
              <w:spacing w:after="0"/>
              <w:rPr>
                <w:sz w:val="2"/>
                <w:szCs w:val="2"/>
                <w:color w:val="auto"/>
              </w:rPr>
            </w:pPr>
          </w:p>
        </w:tc>
        <w:tc>
          <w:tcPr>
            <w:tcW w:w="6740" w:type="dxa"/>
            <w:vAlign w:val="bottom"/>
            <w:shd w:val="clear" w:color="auto" w:fill="EBFBFF"/>
          </w:tcPr>
          <w:p>
            <w:pPr>
              <w:spacing w:after="0"/>
              <w:rPr>
                <w:sz w:val="2"/>
                <w:szCs w:val="2"/>
                <w:color w:val="auto"/>
              </w:rPr>
            </w:pPr>
          </w:p>
        </w:tc>
        <w:tc>
          <w:tcPr>
            <w:tcW w:w="1100" w:type="dxa"/>
            <w:vAlign w:val="bottom"/>
            <w:shd w:val="clear" w:color="auto" w:fill="EBFBFF"/>
          </w:tcPr>
          <w:p>
            <w:pPr>
              <w:spacing w:after="0"/>
              <w:rPr>
                <w:sz w:val="2"/>
                <w:szCs w:val="2"/>
                <w:color w:val="auto"/>
              </w:rPr>
            </w:pPr>
          </w:p>
        </w:tc>
        <w:tc>
          <w:tcPr>
            <w:tcW w:w="20" w:type="dxa"/>
            <w:vAlign w:val="bottom"/>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60"/>
          </w:cols>
          <w:pgMar w:left="320" w:top="300" w:right="319" w:bottom="1440" w:gutter="0" w:footer="0" w:header="0"/>
        </w:sectPr>
      </w:pP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Director Elections</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Meeting Attendance</w:t>
      </w:r>
    </w:p>
    <w:p>
      <w:pPr>
        <w:spacing w:after="0" w:line="20" w:lineRule="exact"/>
        <w:rPr>
          <w:sz w:val="20"/>
          <w:szCs w:val="20"/>
          <w:color w:val="auto"/>
        </w:rPr>
      </w:pPr>
      <w:r>
        <w:rPr>
          <w:sz w:val="20"/>
          <w:szCs w:val="20"/>
          <w:color w:val="auto"/>
        </w:rPr>
        <w:br w:type="column"/>
      </w:r>
    </w:p>
    <w:p>
      <w:pPr>
        <w:ind w:left="451" w:hanging="451"/>
        <w:spacing w:after="0" w:line="184" w:lineRule="auto"/>
        <w:tabs>
          <w:tab w:leader="none" w:pos="451" w:val="left"/>
        </w:tabs>
        <w:numPr>
          <w:ilvl w:val="0"/>
          <w:numId w:val="9"/>
        </w:numPr>
        <w:rPr>
          <w:rFonts w:ascii="Wingdings" w:cs="Wingdings" w:eastAsia="Wingdings" w:hAnsi="Wingdings"/>
          <w:sz w:val="29"/>
          <w:szCs w:val="29"/>
          <w:b w:val="1"/>
          <w:bCs w:val="1"/>
          <w:color w:val="006880"/>
          <w:vertAlign w:val="subscript"/>
        </w:rPr>
      </w:pPr>
      <w:r>
        <w:rPr>
          <w:rFonts w:ascii="Arial" w:cs="Arial" w:eastAsia="Arial" w:hAnsi="Arial"/>
          <w:sz w:val="14"/>
          <w:szCs w:val="14"/>
          <w:color w:val="51555C"/>
        </w:rPr>
        <w:t>Majority Voting</w:t>
      </w:r>
    </w:p>
    <w:p>
      <w:pPr>
        <w:spacing w:after="0" w:line="61" w:lineRule="exact"/>
        <w:rPr>
          <w:rFonts w:ascii="Wingdings" w:cs="Wingdings" w:eastAsia="Wingdings" w:hAnsi="Wingdings"/>
          <w:sz w:val="29"/>
          <w:szCs w:val="29"/>
          <w:b w:val="1"/>
          <w:bCs w:val="1"/>
          <w:color w:val="006880"/>
          <w:vertAlign w:val="subscript"/>
        </w:rPr>
      </w:pPr>
    </w:p>
    <w:p>
      <w:pPr>
        <w:ind w:left="451" w:hanging="451"/>
        <w:spacing w:after="0" w:line="184" w:lineRule="auto"/>
        <w:tabs>
          <w:tab w:leader="none" w:pos="451" w:val="left"/>
        </w:tabs>
        <w:numPr>
          <w:ilvl w:val="0"/>
          <w:numId w:val="9"/>
        </w:numPr>
        <w:rPr>
          <w:rFonts w:ascii="Wingdings" w:cs="Wingdings" w:eastAsia="Wingdings" w:hAnsi="Wingdings"/>
          <w:sz w:val="34"/>
          <w:szCs w:val="34"/>
          <w:b w:val="1"/>
          <w:bCs w:val="1"/>
          <w:color w:val="006880"/>
          <w:vertAlign w:val="subscript"/>
        </w:rPr>
      </w:pPr>
      <w:r>
        <w:rPr>
          <w:rFonts w:ascii="Arial" w:cs="Arial" w:eastAsia="Arial" w:hAnsi="Arial"/>
          <w:sz w:val="15"/>
          <w:szCs w:val="15"/>
          <w:color w:val="51555C"/>
        </w:rPr>
        <w:t>One Share, One Vote Standard</w:t>
      </w:r>
    </w:p>
    <w:p>
      <w:pPr>
        <w:spacing w:after="0" w:line="112" w:lineRule="exact"/>
        <w:rPr>
          <w:rFonts w:ascii="Wingdings" w:cs="Wingdings" w:eastAsia="Wingdings" w:hAnsi="Wingdings"/>
          <w:sz w:val="34"/>
          <w:szCs w:val="34"/>
          <w:b w:val="1"/>
          <w:bCs w:val="1"/>
          <w:color w:val="006880"/>
          <w:vertAlign w:val="subscript"/>
        </w:rPr>
      </w:pPr>
    </w:p>
    <w:p>
      <w:pPr>
        <w:ind w:left="451" w:hanging="451"/>
        <w:spacing w:after="0" w:line="180" w:lineRule="auto"/>
        <w:tabs>
          <w:tab w:leader="none" w:pos="451" w:val="left"/>
        </w:tabs>
        <w:numPr>
          <w:ilvl w:val="0"/>
          <w:numId w:val="9"/>
        </w:numPr>
        <w:rPr>
          <w:rFonts w:ascii="Wingdings" w:cs="Wingdings" w:eastAsia="Wingdings" w:hAnsi="Wingdings"/>
          <w:sz w:val="38"/>
          <w:szCs w:val="38"/>
          <w:b w:val="1"/>
          <w:bCs w:val="1"/>
          <w:color w:val="006880"/>
          <w:vertAlign w:val="subscript"/>
        </w:rPr>
      </w:pPr>
      <w:r>
        <w:rPr>
          <w:rFonts w:ascii="Arial" w:cs="Arial" w:eastAsia="Arial" w:hAnsi="Arial"/>
          <w:sz w:val="16"/>
          <w:szCs w:val="16"/>
          <w:color w:val="51555C"/>
        </w:rPr>
        <w:t>All Current Directors Attended At Least 75% of the Total Number of Meetings of our Board and of all Committees on which the Director Served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-292735</wp:posOffset>
            </wp:positionV>
            <wp:extent cx="7132320" cy="308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51555C"/>
        </w:rPr>
        <w:t>82</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51555C"/>
        </w:rPr>
        <w:t>81</w:t>
      </w:r>
    </w:p>
    <w:p>
      <w:pPr>
        <w:spacing w:after="0" w:line="75"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51555C"/>
        </w:rPr>
        <w:t>22</w:t>
      </w:r>
    </w:p>
    <w:p>
      <w:pPr>
        <w:spacing w:after="0" w:line="290" w:lineRule="exact"/>
        <w:rPr>
          <w:sz w:val="20"/>
          <w:szCs w:val="20"/>
          <w:color w:val="auto"/>
        </w:rPr>
      </w:pPr>
    </w:p>
    <w:p>
      <w:pPr>
        <w:sectPr>
          <w:pgSz w:w="11900" w:h="16838" w:orient="portrait"/>
          <w:cols w:equalWidth="0" w:num="3">
            <w:col w:w="2249" w:space="720"/>
            <w:col w:w="7131" w:space="480"/>
            <w:col w:w="680"/>
          </w:cols>
          <w:pgMar w:left="320" w:top="300" w:right="319" w:bottom="1440" w:gutter="0" w:footer="0" w:header="0"/>
          <w:type w:val="continuous"/>
        </w:sectPr>
      </w:pPr>
    </w:p>
    <w:p>
      <w:pPr>
        <w:spacing w:after="0" w:line="54" w:lineRule="exact"/>
        <w:rPr>
          <w:sz w:val="20"/>
          <w:szCs w:val="20"/>
          <w:color w:val="auto"/>
        </w:rPr>
      </w:pPr>
    </w:p>
    <w:p>
      <w:pPr>
        <w:ind w:left="20"/>
        <w:spacing w:after="0" w:line="296" w:lineRule="auto"/>
        <w:rPr>
          <w:sz w:val="20"/>
          <w:szCs w:val="20"/>
          <w:color w:val="auto"/>
        </w:rPr>
      </w:pPr>
      <w:r>
        <w:rPr>
          <w:rFonts w:ascii="Arial" w:cs="Arial" w:eastAsia="Arial" w:hAnsi="Arial"/>
          <w:sz w:val="18"/>
          <w:szCs w:val="18"/>
          <w:b w:val="1"/>
          <w:bCs w:val="1"/>
          <w:color w:val="51555C"/>
        </w:rPr>
        <w:t>Evaluating and Improving Board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527685</wp:posOffset>
            </wp:positionV>
            <wp:extent cx="2151380" cy="4457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13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Aligning Director and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Stockholder Interests</w:t>
      </w:r>
    </w:p>
    <w:p>
      <w:pPr>
        <w:spacing w:after="0" w:line="261" w:lineRule="exact"/>
        <w:rPr>
          <w:sz w:val="20"/>
          <w:szCs w:val="20"/>
          <w:color w:val="auto"/>
        </w:rPr>
      </w:pPr>
    </w:p>
    <w:p>
      <w:pPr>
        <w:ind w:left="20" w:right="160"/>
        <w:spacing w:after="0" w:line="296" w:lineRule="auto"/>
        <w:rPr>
          <w:sz w:val="20"/>
          <w:szCs w:val="20"/>
          <w:color w:val="auto"/>
        </w:rPr>
      </w:pPr>
      <w:r>
        <w:rPr>
          <w:rFonts w:ascii="Arial" w:cs="Arial" w:eastAsia="Arial" w:hAnsi="Arial"/>
          <w:sz w:val="18"/>
          <w:szCs w:val="18"/>
          <w:b w:val="1"/>
          <w:bCs w:val="1"/>
          <w:color w:val="51555C"/>
        </w:rPr>
        <w:t>Aligning Executive Officer and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2151380" cy="13373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1380" cy="1337310"/>
                    </a:xfrm>
                    <a:prstGeom prst="rect">
                      <a:avLst/>
                    </a:prstGeom>
                    <a:noFill/>
                  </pic:spPr>
                </pic:pic>
              </a:graphicData>
            </a:graphic>
          </wp:anchor>
        </w:drawing>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ESG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Other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0"/>
        </w:trPr>
        <w:tc>
          <w:tcPr>
            <w:tcW w:w="440" w:type="dxa"/>
            <w:vAlign w:val="bottom"/>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tcPr>
          <w:p>
            <w:pPr>
              <w:ind w:left="20"/>
              <w:spacing w:after="0"/>
              <w:rPr>
                <w:sz w:val="20"/>
                <w:szCs w:val="20"/>
                <w:color w:val="auto"/>
              </w:rPr>
            </w:pPr>
            <w:r>
              <w:rPr>
                <w:rFonts w:ascii="Arial" w:cs="Arial" w:eastAsia="Arial" w:hAnsi="Arial"/>
                <w:sz w:val="18"/>
                <w:szCs w:val="18"/>
                <w:color w:val="51555C"/>
              </w:rPr>
              <w:t>Annual Board Evaluations</w:t>
            </w:r>
          </w:p>
        </w:tc>
        <w:tc>
          <w:tcPr>
            <w:tcW w:w="1100" w:type="dxa"/>
            <w:vAlign w:val="bottom"/>
          </w:tcPr>
          <w:p>
            <w:pPr>
              <w:jc w:val="right"/>
              <w:ind w:right="370"/>
              <w:spacing w:after="0"/>
              <w:rPr>
                <w:sz w:val="20"/>
                <w:szCs w:val="20"/>
                <w:color w:val="auto"/>
              </w:rPr>
            </w:pPr>
            <w:r>
              <w:rPr>
                <w:rFonts w:ascii="Arial" w:cs="Arial" w:eastAsia="Arial" w:hAnsi="Arial"/>
                <w:sz w:val="18"/>
                <w:szCs w:val="18"/>
                <w:color w:val="51555C"/>
              </w:rPr>
              <w:t>23</w:t>
            </w:r>
          </w:p>
        </w:tc>
      </w:tr>
      <w:tr>
        <w:trPr>
          <w:trHeight w:val="351"/>
        </w:trPr>
        <w:tc>
          <w:tcPr>
            <w:tcW w:w="440" w:type="dxa"/>
            <w:vAlign w:val="bottom"/>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tcPr>
          <w:p>
            <w:pPr>
              <w:ind w:left="20"/>
              <w:spacing w:after="0"/>
              <w:rPr>
                <w:sz w:val="20"/>
                <w:szCs w:val="20"/>
                <w:color w:val="auto"/>
              </w:rPr>
            </w:pPr>
            <w:r>
              <w:rPr>
                <w:rFonts w:ascii="Arial" w:cs="Arial" w:eastAsia="Arial" w:hAnsi="Arial"/>
                <w:sz w:val="18"/>
                <w:szCs w:val="18"/>
                <w:color w:val="51555C"/>
              </w:rPr>
              <w:t>Annual Committee Evaluations</w:t>
            </w:r>
          </w:p>
        </w:tc>
        <w:tc>
          <w:tcPr>
            <w:tcW w:w="1100" w:type="dxa"/>
            <w:vAlign w:val="bottom"/>
          </w:tcPr>
          <w:p>
            <w:pPr>
              <w:jc w:val="right"/>
              <w:ind w:right="370"/>
              <w:spacing w:after="0"/>
              <w:rPr>
                <w:sz w:val="20"/>
                <w:szCs w:val="20"/>
                <w:color w:val="auto"/>
              </w:rPr>
            </w:pPr>
            <w:r>
              <w:rPr>
                <w:rFonts w:ascii="Arial" w:cs="Arial" w:eastAsia="Arial" w:hAnsi="Arial"/>
                <w:sz w:val="18"/>
                <w:szCs w:val="18"/>
                <w:color w:val="51555C"/>
              </w:rPr>
              <w:t>23</w:t>
            </w:r>
          </w:p>
        </w:tc>
      </w:tr>
      <w:tr>
        <w:trPr>
          <w:trHeight w:val="351"/>
        </w:trPr>
        <w:tc>
          <w:tcPr>
            <w:tcW w:w="440" w:type="dxa"/>
            <w:vAlign w:val="bottom"/>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tcPr>
          <w:p>
            <w:pPr>
              <w:ind w:left="20"/>
              <w:spacing w:after="0"/>
              <w:rPr>
                <w:sz w:val="20"/>
                <w:szCs w:val="20"/>
                <w:color w:val="auto"/>
              </w:rPr>
            </w:pPr>
            <w:r>
              <w:rPr>
                <w:rFonts w:ascii="Arial" w:cs="Arial" w:eastAsia="Arial" w:hAnsi="Arial"/>
                <w:sz w:val="18"/>
                <w:szCs w:val="18"/>
                <w:color w:val="51555C"/>
              </w:rPr>
              <w:t>Independent Director Tenure Limits for Regular Board Refreshment</w:t>
            </w:r>
          </w:p>
        </w:tc>
        <w:tc>
          <w:tcPr>
            <w:tcW w:w="1100" w:type="dxa"/>
            <w:vAlign w:val="bottom"/>
          </w:tcPr>
          <w:p>
            <w:pPr>
              <w:jc w:val="right"/>
              <w:ind w:right="370"/>
              <w:spacing w:after="0"/>
              <w:rPr>
                <w:sz w:val="20"/>
                <w:szCs w:val="20"/>
                <w:color w:val="auto"/>
              </w:rPr>
            </w:pPr>
            <w:r>
              <w:rPr>
                <w:rFonts w:ascii="Arial" w:cs="Arial" w:eastAsia="Arial" w:hAnsi="Arial"/>
                <w:sz w:val="18"/>
                <w:szCs w:val="18"/>
                <w:color w:val="51555C"/>
              </w:rPr>
              <w:t>23</w:t>
            </w:r>
          </w:p>
        </w:tc>
      </w:tr>
      <w:tr>
        <w:trPr>
          <w:trHeight w:val="351"/>
        </w:trPr>
        <w:tc>
          <w:tcPr>
            <w:tcW w:w="440" w:type="dxa"/>
            <w:vAlign w:val="bottom"/>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tcPr>
          <w:p>
            <w:pPr>
              <w:ind w:left="20"/>
              <w:spacing w:after="0"/>
              <w:rPr>
                <w:sz w:val="20"/>
                <w:szCs w:val="20"/>
                <w:color w:val="auto"/>
              </w:rPr>
            </w:pPr>
            <w:r>
              <w:rPr>
                <w:rFonts w:ascii="Arial" w:cs="Arial" w:eastAsia="Arial" w:hAnsi="Arial"/>
                <w:sz w:val="18"/>
                <w:szCs w:val="18"/>
                <w:color w:val="51555C"/>
              </w:rPr>
              <w:t>Continuing Director Education</w:t>
            </w:r>
          </w:p>
        </w:tc>
        <w:tc>
          <w:tcPr>
            <w:tcW w:w="1100" w:type="dxa"/>
            <w:vAlign w:val="bottom"/>
          </w:tcPr>
          <w:p>
            <w:pPr>
              <w:jc w:val="right"/>
              <w:ind w:right="370"/>
              <w:spacing w:after="0"/>
              <w:rPr>
                <w:sz w:val="20"/>
                <w:szCs w:val="20"/>
                <w:color w:val="auto"/>
              </w:rPr>
            </w:pPr>
            <w:r>
              <w:rPr>
                <w:rFonts w:ascii="Arial" w:cs="Arial" w:eastAsia="Arial" w:hAnsi="Arial"/>
                <w:sz w:val="18"/>
                <w:szCs w:val="18"/>
                <w:color w:val="51555C"/>
              </w:rPr>
              <w:t>28</w:t>
            </w:r>
          </w:p>
        </w:tc>
      </w:tr>
      <w:tr>
        <w:trPr>
          <w:trHeight w:val="23"/>
        </w:trPr>
        <w:tc>
          <w:tcPr>
            <w:tcW w:w="4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31"/>
        </w:trPr>
        <w:tc>
          <w:tcPr>
            <w:tcW w:w="440" w:type="dxa"/>
            <w:vAlign w:val="bottom"/>
            <w:tcBorders>
              <w:bottom w:val="single" w:sz="8" w:color="EBFBFF"/>
            </w:tcBorders>
            <w:shd w:val="clear" w:color="auto" w:fill="EBFBFF"/>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Director Stock Ownership Guidelines</w:t>
            </w:r>
          </w:p>
        </w:tc>
        <w:tc>
          <w:tcPr>
            <w:tcW w:w="1100" w:type="dxa"/>
            <w:vAlign w:val="bottom"/>
            <w:tcBorders>
              <w:bottom w:val="single" w:sz="8" w:color="EBFBFF"/>
            </w:tcBorders>
            <w:shd w:val="clear" w:color="auto" w:fill="EBFBFF"/>
          </w:tcPr>
          <w:p>
            <w:pPr>
              <w:jc w:val="right"/>
              <w:ind w:right="370"/>
              <w:spacing w:after="0"/>
              <w:rPr>
                <w:sz w:val="20"/>
                <w:szCs w:val="20"/>
                <w:color w:val="auto"/>
              </w:rPr>
            </w:pPr>
            <w:r>
              <w:rPr>
                <w:rFonts w:ascii="Arial" w:cs="Arial" w:eastAsia="Arial" w:hAnsi="Arial"/>
                <w:sz w:val="18"/>
                <w:szCs w:val="18"/>
                <w:color w:val="51555C"/>
              </w:rPr>
              <w:t>28</w:t>
            </w:r>
          </w:p>
        </w:tc>
      </w:tr>
      <w:tr>
        <w:trPr>
          <w:trHeight w:val="331"/>
        </w:trPr>
        <w:tc>
          <w:tcPr>
            <w:tcW w:w="440" w:type="dxa"/>
            <w:vAlign w:val="bottom"/>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Annual Director Equity Awards</w:t>
            </w:r>
          </w:p>
        </w:tc>
        <w:tc>
          <w:tcPr>
            <w:tcW w:w="1100" w:type="dxa"/>
            <w:vAlign w:val="bottom"/>
            <w:tcBorders>
              <w:bottom w:val="single" w:sz="8" w:color="EBFBFF"/>
            </w:tcBorders>
            <w:shd w:val="clear" w:color="auto" w:fill="EBFBFF"/>
          </w:tcPr>
          <w:p>
            <w:pPr>
              <w:jc w:val="right"/>
              <w:ind w:right="370"/>
              <w:spacing w:after="0"/>
              <w:rPr>
                <w:sz w:val="20"/>
                <w:szCs w:val="20"/>
                <w:color w:val="auto"/>
              </w:rPr>
            </w:pPr>
            <w:r>
              <w:rPr>
                <w:rFonts w:ascii="Arial" w:cs="Arial" w:eastAsia="Arial" w:hAnsi="Arial"/>
                <w:sz w:val="18"/>
                <w:szCs w:val="18"/>
                <w:color w:val="51555C"/>
              </w:rPr>
              <w:t>26</w:t>
            </w:r>
          </w:p>
        </w:tc>
      </w:tr>
      <w:tr>
        <w:trPr>
          <w:trHeight w:val="328"/>
        </w:trPr>
        <w:tc>
          <w:tcPr>
            <w:tcW w:w="440" w:type="dxa"/>
            <w:vAlign w:val="bottom"/>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tcPr>
          <w:p>
            <w:pPr>
              <w:ind w:left="20"/>
              <w:spacing w:after="0"/>
              <w:rPr>
                <w:sz w:val="20"/>
                <w:szCs w:val="20"/>
                <w:color w:val="auto"/>
              </w:rPr>
            </w:pPr>
            <w:r>
              <w:rPr>
                <w:rFonts w:ascii="Arial" w:cs="Arial" w:eastAsia="Arial" w:hAnsi="Arial"/>
                <w:sz w:val="18"/>
                <w:szCs w:val="18"/>
                <w:color w:val="51555C"/>
              </w:rPr>
              <w:t>Executive Officer Stock Ownership Guidelines</w:t>
            </w:r>
          </w:p>
        </w:tc>
        <w:tc>
          <w:tcPr>
            <w:tcW w:w="1100" w:type="dxa"/>
            <w:vAlign w:val="bottom"/>
          </w:tcPr>
          <w:p>
            <w:pPr>
              <w:jc w:val="right"/>
              <w:ind w:right="370"/>
              <w:spacing w:after="0"/>
              <w:rPr>
                <w:sz w:val="20"/>
                <w:szCs w:val="20"/>
                <w:color w:val="auto"/>
              </w:rPr>
            </w:pPr>
            <w:r>
              <w:rPr>
                <w:rFonts w:ascii="Arial" w:cs="Arial" w:eastAsia="Arial" w:hAnsi="Arial"/>
                <w:sz w:val="18"/>
                <w:szCs w:val="18"/>
                <w:color w:val="51555C"/>
              </w:rPr>
              <w:t>51</w:t>
            </w:r>
          </w:p>
        </w:tc>
      </w:tr>
      <w:tr>
        <w:trPr>
          <w:trHeight w:val="351"/>
        </w:trPr>
        <w:tc>
          <w:tcPr>
            <w:tcW w:w="440" w:type="dxa"/>
            <w:vAlign w:val="bottom"/>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tcPr>
          <w:p>
            <w:pPr>
              <w:ind w:left="20"/>
              <w:spacing w:after="0"/>
              <w:rPr>
                <w:sz w:val="20"/>
                <w:szCs w:val="20"/>
                <w:color w:val="auto"/>
              </w:rPr>
            </w:pPr>
            <w:r>
              <w:rPr>
                <w:rFonts w:ascii="Arial" w:cs="Arial" w:eastAsia="Arial" w:hAnsi="Arial"/>
                <w:sz w:val="18"/>
                <w:szCs w:val="18"/>
                <w:color w:val="51555C"/>
              </w:rPr>
              <w:t>Executive Compensation Driven by Pay-For-Performance Philosophy</w:t>
            </w:r>
          </w:p>
        </w:tc>
        <w:tc>
          <w:tcPr>
            <w:tcW w:w="1100" w:type="dxa"/>
            <w:vAlign w:val="bottom"/>
          </w:tcPr>
          <w:p>
            <w:pPr>
              <w:jc w:val="right"/>
              <w:ind w:right="370"/>
              <w:spacing w:after="0"/>
              <w:rPr>
                <w:sz w:val="20"/>
                <w:szCs w:val="20"/>
                <w:color w:val="auto"/>
              </w:rPr>
            </w:pPr>
            <w:r>
              <w:rPr>
                <w:rFonts w:ascii="Arial" w:cs="Arial" w:eastAsia="Arial" w:hAnsi="Arial"/>
                <w:sz w:val="18"/>
                <w:szCs w:val="18"/>
                <w:color w:val="51555C"/>
              </w:rPr>
              <w:t>38</w:t>
            </w:r>
          </w:p>
        </w:tc>
      </w:tr>
      <w:tr>
        <w:trPr>
          <w:trHeight w:val="23"/>
        </w:trPr>
        <w:tc>
          <w:tcPr>
            <w:tcW w:w="4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31"/>
        </w:trPr>
        <w:tc>
          <w:tcPr>
            <w:tcW w:w="440" w:type="dxa"/>
            <w:vAlign w:val="bottom"/>
            <w:tcBorders>
              <w:bottom w:val="single" w:sz="8" w:color="EBFBFF"/>
            </w:tcBorders>
            <w:shd w:val="clear" w:color="auto" w:fill="EBFBFF"/>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Board Oversight of Program</w:t>
            </w:r>
          </w:p>
        </w:tc>
        <w:tc>
          <w:tcPr>
            <w:tcW w:w="1100" w:type="dxa"/>
            <w:vAlign w:val="bottom"/>
            <w:tcBorders>
              <w:bottom w:val="single" w:sz="8" w:color="EBFBFF"/>
            </w:tcBorders>
            <w:shd w:val="clear" w:color="auto" w:fill="EBFBFF"/>
          </w:tcPr>
          <w:p>
            <w:pPr>
              <w:jc w:val="right"/>
              <w:ind w:right="370"/>
              <w:spacing w:after="0"/>
              <w:rPr>
                <w:sz w:val="20"/>
                <w:szCs w:val="20"/>
                <w:color w:val="auto"/>
              </w:rPr>
            </w:pPr>
            <w:r>
              <w:rPr>
                <w:rFonts w:ascii="Arial" w:cs="Arial" w:eastAsia="Arial" w:hAnsi="Arial"/>
                <w:sz w:val="18"/>
                <w:szCs w:val="18"/>
                <w:color w:val="51555C"/>
              </w:rPr>
              <w:t>29</w:t>
            </w:r>
          </w:p>
        </w:tc>
      </w:tr>
      <w:tr>
        <w:trPr>
          <w:trHeight w:val="328"/>
        </w:trPr>
        <w:tc>
          <w:tcPr>
            <w:tcW w:w="440" w:type="dxa"/>
            <w:vAlign w:val="bottom"/>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Annual Environmental, Social and Governance Report</w:t>
            </w:r>
          </w:p>
        </w:tc>
        <w:tc>
          <w:tcPr>
            <w:tcW w:w="1100" w:type="dxa"/>
            <w:vAlign w:val="bottom"/>
            <w:shd w:val="clear" w:color="auto" w:fill="EBFBFF"/>
          </w:tcPr>
          <w:p>
            <w:pPr>
              <w:jc w:val="right"/>
              <w:ind w:right="370"/>
              <w:spacing w:after="0"/>
              <w:rPr>
                <w:sz w:val="20"/>
                <w:szCs w:val="20"/>
                <w:color w:val="auto"/>
              </w:rPr>
            </w:pPr>
            <w:r>
              <w:rPr>
                <w:rFonts w:ascii="Arial" w:cs="Arial" w:eastAsia="Arial" w:hAnsi="Arial"/>
                <w:sz w:val="18"/>
                <w:szCs w:val="18"/>
                <w:color w:val="51555C"/>
              </w:rPr>
              <w:t>29</w:t>
            </w:r>
          </w:p>
        </w:tc>
      </w:tr>
      <w:tr>
        <w:trPr>
          <w:trHeight w:val="351"/>
        </w:trPr>
        <w:tc>
          <w:tcPr>
            <w:tcW w:w="440" w:type="dxa"/>
            <w:vAlign w:val="bottom"/>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Inclusion &amp; Sustainability Council</w:t>
            </w:r>
          </w:p>
        </w:tc>
        <w:tc>
          <w:tcPr>
            <w:tcW w:w="1100" w:type="dxa"/>
            <w:vAlign w:val="bottom"/>
            <w:shd w:val="clear" w:color="auto" w:fill="EBFBFF"/>
          </w:tcPr>
          <w:p>
            <w:pPr>
              <w:jc w:val="right"/>
              <w:ind w:right="370"/>
              <w:spacing w:after="0"/>
              <w:rPr>
                <w:sz w:val="20"/>
                <w:szCs w:val="20"/>
                <w:color w:val="auto"/>
              </w:rPr>
            </w:pPr>
            <w:r>
              <w:rPr>
                <w:rFonts w:ascii="Arial" w:cs="Arial" w:eastAsia="Arial" w:hAnsi="Arial"/>
                <w:sz w:val="18"/>
                <w:szCs w:val="18"/>
                <w:color w:val="51555C"/>
              </w:rPr>
              <w:t>29</w:t>
            </w:r>
          </w:p>
        </w:tc>
      </w:tr>
      <w:tr>
        <w:trPr>
          <w:trHeight w:val="351"/>
        </w:trPr>
        <w:tc>
          <w:tcPr>
            <w:tcW w:w="440" w:type="dxa"/>
            <w:vAlign w:val="bottom"/>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Focus on Board Diversity of Experience</w:t>
            </w:r>
          </w:p>
        </w:tc>
        <w:tc>
          <w:tcPr>
            <w:tcW w:w="1100" w:type="dxa"/>
            <w:vAlign w:val="bottom"/>
            <w:shd w:val="clear" w:color="auto" w:fill="EBFBFF"/>
          </w:tcPr>
          <w:p>
            <w:pPr>
              <w:jc w:val="right"/>
              <w:ind w:right="370"/>
              <w:spacing w:after="0"/>
              <w:rPr>
                <w:sz w:val="20"/>
                <w:szCs w:val="20"/>
                <w:color w:val="auto"/>
              </w:rPr>
            </w:pPr>
            <w:r>
              <w:rPr>
                <w:rFonts w:ascii="Arial" w:cs="Arial" w:eastAsia="Arial" w:hAnsi="Arial"/>
                <w:sz w:val="18"/>
                <w:szCs w:val="18"/>
                <w:color w:val="51555C"/>
              </w:rPr>
              <w:t>23</w:t>
            </w:r>
          </w:p>
        </w:tc>
      </w:tr>
      <w:tr>
        <w:trPr>
          <w:trHeight w:val="351"/>
        </w:trPr>
        <w:tc>
          <w:tcPr>
            <w:tcW w:w="440" w:type="dxa"/>
            <w:vAlign w:val="bottom"/>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Strong Board and Management Commitment</w:t>
            </w:r>
          </w:p>
        </w:tc>
        <w:tc>
          <w:tcPr>
            <w:tcW w:w="1100" w:type="dxa"/>
            <w:vAlign w:val="bottom"/>
            <w:shd w:val="clear" w:color="auto" w:fill="EBFBFF"/>
          </w:tcPr>
          <w:p>
            <w:pPr>
              <w:jc w:val="right"/>
              <w:ind w:right="370"/>
              <w:spacing w:after="0"/>
              <w:rPr>
                <w:sz w:val="20"/>
                <w:szCs w:val="20"/>
                <w:color w:val="auto"/>
              </w:rPr>
            </w:pPr>
            <w:r>
              <w:rPr>
                <w:rFonts w:ascii="Arial" w:cs="Arial" w:eastAsia="Arial" w:hAnsi="Arial"/>
                <w:sz w:val="18"/>
                <w:szCs w:val="18"/>
                <w:color w:val="51555C"/>
              </w:rPr>
              <w:t>29</w:t>
            </w:r>
          </w:p>
        </w:tc>
      </w:tr>
      <w:tr>
        <w:trPr>
          <w:trHeight w:val="354"/>
        </w:trPr>
        <w:tc>
          <w:tcPr>
            <w:tcW w:w="440" w:type="dxa"/>
            <w:vAlign w:val="bottom"/>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Participant in UN Global Compact</w:t>
            </w:r>
          </w:p>
        </w:tc>
        <w:tc>
          <w:tcPr>
            <w:tcW w:w="1100" w:type="dxa"/>
            <w:vAlign w:val="bottom"/>
            <w:tcBorders>
              <w:bottom w:val="single" w:sz="8" w:color="EBFBFF"/>
            </w:tcBorders>
            <w:shd w:val="clear" w:color="auto" w:fill="EBFBFF"/>
          </w:tcPr>
          <w:p>
            <w:pPr>
              <w:jc w:val="right"/>
              <w:ind w:right="370"/>
              <w:spacing w:after="0"/>
              <w:rPr>
                <w:sz w:val="20"/>
                <w:szCs w:val="20"/>
                <w:color w:val="auto"/>
              </w:rPr>
            </w:pPr>
            <w:r>
              <w:rPr>
                <w:rFonts w:ascii="Arial" w:cs="Arial" w:eastAsia="Arial" w:hAnsi="Arial"/>
                <w:sz w:val="18"/>
                <w:szCs w:val="18"/>
                <w:color w:val="51555C"/>
              </w:rPr>
              <w:t>29</w:t>
            </w:r>
          </w:p>
        </w:tc>
      </w:tr>
      <w:tr>
        <w:trPr>
          <w:trHeight w:val="328"/>
        </w:trPr>
        <w:tc>
          <w:tcPr>
            <w:tcW w:w="440" w:type="dxa"/>
            <w:vAlign w:val="bottom"/>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tcPr>
          <w:p>
            <w:pPr>
              <w:ind w:left="20"/>
              <w:spacing w:after="0"/>
              <w:rPr>
                <w:sz w:val="20"/>
                <w:szCs w:val="20"/>
                <w:color w:val="auto"/>
              </w:rPr>
            </w:pPr>
            <w:r>
              <w:rPr>
                <w:rFonts w:ascii="Arial" w:cs="Arial" w:eastAsia="Arial" w:hAnsi="Arial"/>
                <w:sz w:val="18"/>
                <w:szCs w:val="18"/>
                <w:color w:val="51555C"/>
              </w:rPr>
              <w:t>Annual Stockholder Advisory ("Say-on-Pay") Vote</w:t>
            </w:r>
          </w:p>
        </w:tc>
        <w:tc>
          <w:tcPr>
            <w:tcW w:w="1100" w:type="dxa"/>
            <w:vAlign w:val="bottom"/>
          </w:tcPr>
          <w:p>
            <w:pPr>
              <w:jc w:val="right"/>
              <w:ind w:right="370"/>
              <w:spacing w:after="0"/>
              <w:rPr>
                <w:sz w:val="20"/>
                <w:szCs w:val="20"/>
                <w:color w:val="auto"/>
              </w:rPr>
            </w:pPr>
            <w:r>
              <w:rPr>
                <w:rFonts w:ascii="Arial" w:cs="Arial" w:eastAsia="Arial" w:hAnsi="Arial"/>
                <w:sz w:val="18"/>
                <w:szCs w:val="18"/>
                <w:color w:val="51555C"/>
              </w:rPr>
              <w:t>34</w:t>
            </w:r>
          </w:p>
        </w:tc>
      </w:tr>
      <w:tr>
        <w:trPr>
          <w:trHeight w:val="351"/>
        </w:trPr>
        <w:tc>
          <w:tcPr>
            <w:tcW w:w="440" w:type="dxa"/>
            <w:vAlign w:val="bottom"/>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tcPr>
          <w:p>
            <w:pPr>
              <w:ind w:left="20"/>
              <w:spacing w:after="0"/>
              <w:rPr>
                <w:sz w:val="20"/>
                <w:szCs w:val="20"/>
                <w:color w:val="auto"/>
              </w:rPr>
            </w:pPr>
            <w:r>
              <w:rPr>
                <w:rFonts w:ascii="Arial" w:cs="Arial" w:eastAsia="Arial" w:hAnsi="Arial"/>
                <w:sz w:val="18"/>
                <w:szCs w:val="18"/>
                <w:color w:val="51555C"/>
              </w:rPr>
              <w:t>Robust Stockholder Engagement Program</w:t>
            </w:r>
          </w:p>
        </w:tc>
        <w:tc>
          <w:tcPr>
            <w:tcW w:w="1100" w:type="dxa"/>
            <w:vAlign w:val="bottom"/>
          </w:tcPr>
          <w:p>
            <w:pPr>
              <w:jc w:val="right"/>
              <w:ind w:right="370"/>
              <w:spacing w:after="0"/>
              <w:rPr>
                <w:sz w:val="20"/>
                <w:szCs w:val="20"/>
                <w:color w:val="auto"/>
              </w:rPr>
            </w:pPr>
            <w:r>
              <w:rPr>
                <w:rFonts w:ascii="Arial" w:cs="Arial" w:eastAsia="Arial" w:hAnsi="Arial"/>
                <w:sz w:val="18"/>
                <w:szCs w:val="18"/>
                <w:color w:val="51555C"/>
              </w:rPr>
              <w:t>37</w:t>
            </w:r>
          </w:p>
        </w:tc>
      </w:tr>
      <w:tr>
        <w:trPr>
          <w:trHeight w:val="351"/>
        </w:trPr>
        <w:tc>
          <w:tcPr>
            <w:tcW w:w="440" w:type="dxa"/>
            <w:vAlign w:val="bottom"/>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tcPr>
          <w:p>
            <w:pPr>
              <w:ind w:left="20"/>
              <w:spacing w:after="0"/>
              <w:rPr>
                <w:sz w:val="20"/>
                <w:szCs w:val="20"/>
                <w:color w:val="auto"/>
              </w:rPr>
            </w:pPr>
            <w:r>
              <w:rPr>
                <w:rFonts w:ascii="Arial" w:cs="Arial" w:eastAsia="Arial" w:hAnsi="Arial"/>
                <w:sz w:val="18"/>
                <w:szCs w:val="18"/>
                <w:color w:val="51555C"/>
              </w:rPr>
              <w:t>Cyber Risk Oversight Committee of the Board</w:t>
            </w:r>
          </w:p>
        </w:tc>
        <w:tc>
          <w:tcPr>
            <w:tcW w:w="1100" w:type="dxa"/>
            <w:vAlign w:val="bottom"/>
          </w:tcPr>
          <w:p>
            <w:pPr>
              <w:jc w:val="right"/>
              <w:ind w:right="370"/>
              <w:spacing w:after="0"/>
              <w:rPr>
                <w:sz w:val="20"/>
                <w:szCs w:val="20"/>
                <w:color w:val="auto"/>
              </w:rPr>
            </w:pPr>
            <w:r>
              <w:rPr>
                <w:rFonts w:ascii="Arial" w:cs="Arial" w:eastAsia="Arial" w:hAnsi="Arial"/>
                <w:sz w:val="18"/>
                <w:szCs w:val="18"/>
                <w:color w:val="51555C"/>
              </w:rPr>
              <w:t>25</w:t>
            </w:r>
          </w:p>
        </w:tc>
      </w:tr>
      <w:tr>
        <w:trPr>
          <w:trHeight w:val="351"/>
        </w:trPr>
        <w:tc>
          <w:tcPr>
            <w:tcW w:w="440" w:type="dxa"/>
            <w:vAlign w:val="bottom"/>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tcPr>
          <w:p>
            <w:pPr>
              <w:ind w:left="20"/>
              <w:spacing w:after="0"/>
              <w:rPr>
                <w:sz w:val="20"/>
                <w:szCs w:val="20"/>
                <w:color w:val="auto"/>
              </w:rPr>
            </w:pPr>
            <w:r>
              <w:rPr>
                <w:rFonts w:ascii="Arial" w:cs="Arial" w:eastAsia="Arial" w:hAnsi="Arial"/>
                <w:sz w:val="18"/>
                <w:szCs w:val="18"/>
                <w:color w:val="51555C"/>
              </w:rPr>
              <w:t>Insider Trading Policy</w:t>
            </w:r>
          </w:p>
        </w:tc>
        <w:tc>
          <w:tcPr>
            <w:tcW w:w="1100" w:type="dxa"/>
            <w:vAlign w:val="bottom"/>
          </w:tcPr>
          <w:p>
            <w:pPr>
              <w:jc w:val="right"/>
              <w:ind w:right="370"/>
              <w:spacing w:after="0"/>
              <w:rPr>
                <w:sz w:val="20"/>
                <w:szCs w:val="20"/>
                <w:color w:val="auto"/>
              </w:rPr>
            </w:pPr>
            <w:r>
              <w:rPr>
                <w:rFonts w:ascii="Arial" w:cs="Arial" w:eastAsia="Arial" w:hAnsi="Arial"/>
                <w:sz w:val="18"/>
                <w:szCs w:val="18"/>
                <w:color w:val="51555C"/>
              </w:rPr>
              <w:t>31</w:t>
            </w:r>
          </w:p>
        </w:tc>
      </w:tr>
      <w:tr>
        <w:trPr>
          <w:trHeight w:val="351"/>
        </w:trPr>
        <w:tc>
          <w:tcPr>
            <w:tcW w:w="440" w:type="dxa"/>
            <w:vAlign w:val="bottom"/>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tcPr>
          <w:p>
            <w:pPr>
              <w:ind w:left="20"/>
              <w:spacing w:after="0"/>
              <w:rPr>
                <w:sz w:val="20"/>
                <w:szCs w:val="20"/>
                <w:color w:val="auto"/>
              </w:rPr>
            </w:pPr>
            <w:r>
              <w:rPr>
                <w:rFonts w:ascii="Arial" w:cs="Arial" w:eastAsia="Arial" w:hAnsi="Arial"/>
                <w:sz w:val="18"/>
                <w:szCs w:val="18"/>
                <w:color w:val="51555C"/>
              </w:rPr>
              <w:t>Prohibition on Pledging and Hedging of Company Securities</w:t>
            </w:r>
          </w:p>
        </w:tc>
        <w:tc>
          <w:tcPr>
            <w:tcW w:w="1100" w:type="dxa"/>
            <w:vAlign w:val="bottom"/>
          </w:tcPr>
          <w:p>
            <w:pPr>
              <w:jc w:val="right"/>
              <w:ind w:right="370"/>
              <w:spacing w:after="0"/>
              <w:rPr>
                <w:sz w:val="20"/>
                <w:szCs w:val="20"/>
                <w:color w:val="auto"/>
              </w:rPr>
            </w:pPr>
            <w:r>
              <w:rPr>
                <w:rFonts w:ascii="Arial" w:cs="Arial" w:eastAsia="Arial" w:hAnsi="Arial"/>
                <w:sz w:val="18"/>
                <w:szCs w:val="18"/>
                <w:color w:val="51555C"/>
              </w:rPr>
              <w:t>38</w:t>
            </w:r>
          </w:p>
        </w:tc>
      </w:tr>
      <w:tr>
        <w:trPr>
          <w:trHeight w:val="351"/>
        </w:trPr>
        <w:tc>
          <w:tcPr>
            <w:tcW w:w="440" w:type="dxa"/>
            <w:vAlign w:val="bottom"/>
          </w:tcPr>
          <w:p>
            <w:pPr>
              <w:spacing w:after="0"/>
              <w:rPr>
                <w:sz w:val="20"/>
                <w:szCs w:val="20"/>
                <w:color w:val="auto"/>
              </w:rPr>
            </w:pPr>
            <w:r>
              <w:rPr>
                <w:rFonts w:ascii="Wingdings" w:cs="Wingdings" w:eastAsia="Wingdings" w:hAnsi="Wingdings"/>
                <w:sz w:val="25"/>
                <w:szCs w:val="25"/>
                <w:b w:val="1"/>
                <w:bCs w:val="1"/>
                <w:color w:val="006880"/>
              </w:rPr>
              <w:t>ü</w:t>
            </w:r>
          </w:p>
        </w:tc>
        <w:tc>
          <w:tcPr>
            <w:tcW w:w="6740" w:type="dxa"/>
            <w:vAlign w:val="bottom"/>
          </w:tcPr>
          <w:p>
            <w:pPr>
              <w:ind w:left="20"/>
              <w:spacing w:after="0"/>
              <w:rPr>
                <w:sz w:val="20"/>
                <w:szCs w:val="20"/>
                <w:color w:val="auto"/>
              </w:rPr>
            </w:pPr>
            <w:r>
              <w:rPr>
                <w:rFonts w:ascii="Arial" w:cs="Arial" w:eastAsia="Arial" w:hAnsi="Arial"/>
                <w:sz w:val="18"/>
                <w:szCs w:val="18"/>
                <w:color w:val="51555C"/>
              </w:rPr>
              <w:t>Clawback Policy Applicable to Executive Officers</w:t>
            </w:r>
          </w:p>
        </w:tc>
        <w:tc>
          <w:tcPr>
            <w:tcW w:w="1100" w:type="dxa"/>
            <w:vAlign w:val="bottom"/>
          </w:tcPr>
          <w:p>
            <w:pPr>
              <w:jc w:val="right"/>
              <w:ind w:right="370"/>
              <w:spacing w:after="0"/>
              <w:rPr>
                <w:sz w:val="20"/>
                <w:szCs w:val="20"/>
                <w:color w:val="auto"/>
              </w:rPr>
            </w:pPr>
            <w:r>
              <w:rPr>
                <w:rFonts w:ascii="Arial" w:cs="Arial" w:eastAsia="Arial" w:hAnsi="Arial"/>
                <w:sz w:val="18"/>
                <w:szCs w:val="18"/>
                <w:color w:val="51555C"/>
              </w:rPr>
              <w:t>50</w:t>
            </w:r>
          </w:p>
        </w:tc>
      </w:tr>
      <w:tr>
        <w:trPr>
          <w:trHeight w:val="265"/>
        </w:trPr>
        <w:tc>
          <w:tcPr>
            <w:tcW w:w="440" w:type="dxa"/>
            <w:vAlign w:val="bottom"/>
          </w:tcPr>
          <w:p>
            <w:pPr>
              <w:spacing w:after="0" w:line="265" w:lineRule="exact"/>
              <w:rPr>
                <w:sz w:val="20"/>
                <w:szCs w:val="20"/>
                <w:color w:val="auto"/>
              </w:rPr>
            </w:pPr>
            <w:r>
              <w:rPr>
                <w:rFonts w:ascii="Wingdings" w:cs="Wingdings" w:eastAsia="Wingdings" w:hAnsi="Wingdings"/>
                <w:sz w:val="25"/>
                <w:szCs w:val="25"/>
                <w:b w:val="1"/>
                <w:bCs w:val="1"/>
                <w:color w:val="006880"/>
              </w:rPr>
              <w:t>ü</w:t>
            </w:r>
          </w:p>
        </w:tc>
        <w:tc>
          <w:tcPr>
            <w:tcW w:w="6740" w:type="dxa"/>
            <w:vAlign w:val="bottom"/>
          </w:tcPr>
          <w:p>
            <w:pPr>
              <w:ind w:left="20"/>
              <w:spacing w:after="0"/>
              <w:rPr>
                <w:sz w:val="20"/>
                <w:szCs w:val="20"/>
                <w:color w:val="auto"/>
              </w:rPr>
            </w:pPr>
            <w:r>
              <w:rPr>
                <w:rFonts w:ascii="Arial" w:cs="Arial" w:eastAsia="Arial" w:hAnsi="Arial"/>
                <w:sz w:val="18"/>
                <w:szCs w:val="18"/>
                <w:color w:val="51555C"/>
              </w:rPr>
              <w:t>Equity Plan Prohibits Stock Option Exchanges or Repricing Without Stockholder</w:t>
            </w:r>
          </w:p>
        </w:tc>
        <w:tc>
          <w:tcPr>
            <w:tcW w:w="1100" w:type="dxa"/>
            <w:vAlign w:val="bottom"/>
          </w:tcPr>
          <w:p>
            <w:pPr>
              <w:jc w:val="right"/>
              <w:ind w:right="370"/>
              <w:spacing w:after="0"/>
              <w:rPr>
                <w:sz w:val="20"/>
                <w:szCs w:val="20"/>
                <w:color w:val="auto"/>
              </w:rPr>
            </w:pPr>
            <w:r>
              <w:rPr>
                <w:rFonts w:ascii="Arial" w:cs="Arial" w:eastAsia="Arial" w:hAnsi="Arial"/>
                <w:sz w:val="18"/>
                <w:szCs w:val="18"/>
                <w:color w:val="51555C"/>
              </w:rPr>
              <w:t>38</w:t>
            </w:r>
          </w:p>
        </w:tc>
      </w:tr>
      <w:tr>
        <w:trPr>
          <w:trHeight w:val="239"/>
        </w:trPr>
        <w:tc>
          <w:tcPr>
            <w:tcW w:w="440" w:type="dxa"/>
            <w:vAlign w:val="bottom"/>
          </w:tcPr>
          <w:p>
            <w:pPr>
              <w:spacing w:after="0"/>
              <w:rPr>
                <w:sz w:val="20"/>
                <w:szCs w:val="20"/>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51555C"/>
              </w:rPr>
              <w:t>Approval</w:t>
            </w:r>
          </w:p>
        </w:tc>
        <w:tc>
          <w:tcPr>
            <w:tcW w:w="1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3175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303530</wp:posOffset>
            </wp:positionV>
            <wp:extent cx="702945" cy="111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2945" cy="111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00" w:space="160"/>
            <w:col w:w="8300"/>
          </w:cols>
          <w:pgMar w:left="320" w:top="300" w:right="319" w:bottom="1440" w:gutter="0" w:footer="0" w:header="0"/>
          <w:type w:val="continuous"/>
        </w:sect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2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20" w:type="dxa"/>
            <w:vAlign w:val="bottom"/>
          </w:tcPr>
          <w:p>
            <w:pPr>
              <w:jc w:val="right"/>
              <w:ind w:right="88"/>
              <w:spacing w:after="0"/>
              <w:rPr>
                <w:sz w:val="20"/>
                <w:szCs w:val="20"/>
                <w:color w:val="auto"/>
              </w:rPr>
            </w:pPr>
            <w:r>
              <w:rPr>
                <w:rFonts w:ascii="Arial" w:cs="Arial" w:eastAsia="Arial" w:hAnsi="Arial"/>
                <w:sz w:val="14"/>
                <w:szCs w:val="14"/>
                <w:color w:val="51555C"/>
              </w:rPr>
              <w:t>7</w:t>
            </w:r>
          </w:p>
        </w:tc>
      </w:tr>
      <w:tr>
        <w:trPr>
          <w:trHeight w:val="271"/>
        </w:trPr>
        <w:tc>
          <w:tcPr>
            <w:tcW w:w="10220" w:type="dxa"/>
            <w:vAlign w:val="bottom"/>
            <w:tcBorders>
              <w:bottom w:val="single" w:sz="8" w:color="9A9A9A"/>
            </w:tcBorders>
          </w:tcPr>
          <w:p>
            <w:pPr>
              <w:spacing w:after="0"/>
              <w:rPr>
                <w:sz w:val="23"/>
                <w:szCs w:val="23"/>
                <w:color w:val="auto"/>
              </w:rPr>
            </w:pPr>
          </w:p>
        </w:tc>
        <w:tc>
          <w:tcPr>
            <w:tcW w:w="1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00" w:right="319" w:bottom="1440" w:gutter="0" w:footer="0" w:header="0"/>
          <w:type w:val="continuous"/>
        </w:sectPr>
      </w:pPr>
    </w:p>
    <w:bookmarkStart w:id="9" w:name="page10"/>
    <w:bookmarkEnd w:id="9"/>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PROXY SUMMARY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100"/>
          </w:cols>
          <w:pgMar w:left="320" w:top="33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4054"/>
        </w:rPr>
        <w:t>2025 PERFORMANCE HIGHLIGHTS</w:t>
      </w:r>
      <w:r>
        <w:rPr>
          <w:rFonts w:ascii="Arial" w:cs="Arial" w:eastAsia="Arial" w:hAnsi="Arial"/>
          <w:sz w:val="37"/>
          <w:szCs w:val="37"/>
          <w:b w:val="1"/>
          <w:bCs w:val="1"/>
          <w:color w:val="004054"/>
          <w:vertAlign w:val="superscript"/>
        </w:rPr>
        <w:t>(1)</w:t>
      </w:r>
      <w:r>
        <w:rPr>
          <w:rFonts w:ascii="Arial" w:cs="Arial" w:eastAsia="Arial" w:hAnsi="Arial"/>
          <w:sz w:val="29"/>
          <w:szCs w:val="29"/>
          <w:b w:val="1"/>
          <w:bCs w:val="1"/>
          <w:color w:val="004054"/>
        </w:rPr>
        <w:t xml:space="preserve"> </w:t>
      </w:r>
      <w:r>
        <w:rPr>
          <w:rFonts w:ascii="Arial" w:cs="Arial" w:eastAsia="Arial" w:hAnsi="Arial"/>
          <w:sz w:val="17"/>
          <w:szCs w:val="17"/>
          <w:b w:val="1"/>
          <w:bCs w:val="1"/>
          <w:color w:val="51555C"/>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4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Total</w:t>
            </w:r>
          </w:p>
        </w:tc>
        <w:tc>
          <w:tcPr>
            <w:tcW w:w="224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Recurring</w:t>
            </w:r>
          </w:p>
        </w:tc>
        <w:tc>
          <w:tcPr>
            <w:tcW w:w="225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Gross Dollar</w:t>
            </w:r>
          </w:p>
        </w:tc>
        <w:tc>
          <w:tcPr>
            <w:tcW w:w="225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Non-GAAP Organic</w:t>
            </w:r>
          </w:p>
        </w:tc>
        <w:tc>
          <w:tcPr>
            <w:tcW w:w="226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Rule of</w:t>
            </w:r>
          </w:p>
        </w:tc>
        <w:tc>
          <w:tcPr>
            <w:tcW w:w="20" w:type="dxa"/>
            <w:vAlign w:val="bottom"/>
            <w:shd w:val="clear" w:color="auto" w:fill="004054"/>
          </w:tcPr>
          <w:p>
            <w:pPr>
              <w:spacing w:after="0"/>
              <w:rPr>
                <w:sz w:val="16"/>
                <w:szCs w:val="16"/>
                <w:color w:val="auto"/>
              </w:rPr>
            </w:pPr>
          </w:p>
        </w:tc>
      </w:tr>
      <w:tr>
        <w:trPr>
          <w:trHeight w:val="239"/>
        </w:trPr>
        <w:tc>
          <w:tcPr>
            <w:tcW w:w="224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Revenue</w:t>
            </w:r>
            <w:r>
              <w:rPr>
                <w:rFonts w:ascii="Arial" w:cs="Arial" w:eastAsia="Arial" w:hAnsi="Arial"/>
                <w:sz w:val="9"/>
                <w:szCs w:val="9"/>
                <w:b w:val="1"/>
                <w:bCs w:val="1"/>
                <w:color w:val="FFFFFF"/>
              </w:rPr>
              <w:t>(2)</w:t>
            </w:r>
          </w:p>
        </w:tc>
        <w:tc>
          <w:tcPr>
            <w:tcW w:w="224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Revenue</w:t>
            </w:r>
          </w:p>
        </w:tc>
        <w:tc>
          <w:tcPr>
            <w:tcW w:w="225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Retention</w:t>
            </w:r>
            <w:r>
              <w:rPr>
                <w:rFonts w:ascii="Arial" w:cs="Arial" w:eastAsia="Arial" w:hAnsi="Arial"/>
                <w:sz w:val="9"/>
                <w:szCs w:val="9"/>
                <w:b w:val="1"/>
                <w:bCs w:val="1"/>
                <w:color w:val="FFFFFF"/>
              </w:rPr>
              <w:t>(3)</w:t>
            </w:r>
          </w:p>
        </w:tc>
        <w:tc>
          <w:tcPr>
            <w:tcW w:w="225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Recurring Revenue</w:t>
            </w:r>
            <w:r>
              <w:rPr>
                <w:rFonts w:ascii="Arial" w:cs="Arial" w:eastAsia="Arial" w:hAnsi="Arial"/>
                <w:sz w:val="9"/>
                <w:szCs w:val="9"/>
                <w:b w:val="1"/>
                <w:bCs w:val="1"/>
                <w:color w:val="FFFFFF"/>
              </w:rPr>
              <w:t>(4)</w:t>
            </w:r>
          </w:p>
        </w:tc>
        <w:tc>
          <w:tcPr>
            <w:tcW w:w="2260" w:type="dxa"/>
            <w:vAlign w:val="bottom"/>
            <w:shd w:val="clear" w:color="auto" w:fill="004054"/>
          </w:tcPr>
          <w:p>
            <w:pPr>
              <w:jc w:val="center"/>
              <w:spacing w:after="0" w:line="225" w:lineRule="exact"/>
              <w:rPr>
                <w:sz w:val="20"/>
                <w:szCs w:val="20"/>
                <w:color w:val="auto"/>
              </w:rPr>
            </w:pPr>
            <w:r>
              <w:rPr>
                <w:rFonts w:ascii="Arial" w:cs="Arial" w:eastAsia="Arial" w:hAnsi="Arial"/>
                <w:sz w:val="26"/>
                <w:szCs w:val="26"/>
                <w:b w:val="1"/>
                <w:bCs w:val="1"/>
                <w:color w:val="FFFFFF"/>
                <w:w w:val="92"/>
                <w:vertAlign w:val="subscript"/>
              </w:rPr>
              <w:t>40</w:t>
            </w:r>
            <w:r>
              <w:rPr>
                <w:rFonts w:ascii="Arial" w:cs="Arial" w:eastAsia="Arial" w:hAnsi="Arial"/>
                <w:sz w:val="9"/>
                <w:szCs w:val="9"/>
                <w:b w:val="1"/>
                <w:bCs w:val="1"/>
                <w:color w:val="FFFFFF"/>
                <w:w w:val="92"/>
              </w:rPr>
              <w:t>(4)</w:t>
            </w:r>
          </w:p>
        </w:tc>
        <w:tc>
          <w:tcPr>
            <w:tcW w:w="20" w:type="dxa"/>
            <w:vAlign w:val="bottom"/>
            <w:shd w:val="clear" w:color="auto" w:fill="004054"/>
          </w:tcPr>
          <w:p>
            <w:pPr>
              <w:spacing w:after="0"/>
              <w:rPr>
                <w:sz w:val="20"/>
                <w:szCs w:val="20"/>
                <w:color w:val="auto"/>
              </w:rPr>
            </w:pPr>
          </w:p>
        </w:tc>
      </w:tr>
      <w:tr>
        <w:trPr>
          <w:trHeight w:val="324"/>
        </w:trPr>
        <w:tc>
          <w:tcPr>
            <w:tcW w:w="2240" w:type="dxa"/>
            <w:vAlign w:val="bottom"/>
            <w:shd w:val="clear" w:color="auto" w:fill="EBFBFF"/>
          </w:tcPr>
          <w:p>
            <w:pPr>
              <w:jc w:val="center"/>
              <w:spacing w:after="0"/>
              <w:rPr>
                <w:sz w:val="20"/>
                <w:szCs w:val="20"/>
                <w:color w:val="auto"/>
              </w:rPr>
            </w:pPr>
            <w:r>
              <w:rPr>
                <w:rFonts w:ascii="Arial" w:cs="Arial" w:eastAsia="Arial" w:hAnsi="Arial"/>
                <w:sz w:val="18"/>
                <w:szCs w:val="18"/>
                <w:b w:val="1"/>
                <w:bCs w:val="1"/>
                <w:color w:val="51555C"/>
                <w:w w:val="98"/>
              </w:rPr>
              <w:t>$1,128.4M</w:t>
            </w:r>
          </w:p>
        </w:tc>
        <w:tc>
          <w:tcPr>
            <w:tcW w:w="2240" w:type="dxa"/>
            <w:vAlign w:val="bottom"/>
            <w:shd w:val="clear" w:color="auto" w:fill="EBFBFF"/>
          </w:tcPr>
          <w:p>
            <w:pPr>
              <w:jc w:val="center"/>
              <w:spacing w:after="0"/>
              <w:rPr>
                <w:sz w:val="20"/>
                <w:szCs w:val="20"/>
                <w:color w:val="auto"/>
              </w:rPr>
            </w:pPr>
            <w:r>
              <w:rPr>
                <w:rFonts w:ascii="Arial" w:cs="Arial" w:eastAsia="Arial" w:hAnsi="Arial"/>
                <w:sz w:val="18"/>
                <w:szCs w:val="18"/>
                <w:b w:val="1"/>
                <w:bCs w:val="1"/>
                <w:color w:val="51555C"/>
              </w:rPr>
              <w:t>98.0%</w:t>
            </w:r>
          </w:p>
        </w:tc>
        <w:tc>
          <w:tcPr>
            <w:tcW w:w="2250" w:type="dxa"/>
            <w:vAlign w:val="bottom"/>
            <w:shd w:val="clear" w:color="auto" w:fill="EBFBFF"/>
          </w:tcPr>
          <w:p>
            <w:pPr>
              <w:jc w:val="center"/>
              <w:spacing w:after="0"/>
              <w:rPr>
                <w:sz w:val="20"/>
                <w:szCs w:val="20"/>
                <w:color w:val="auto"/>
              </w:rPr>
            </w:pPr>
            <w:r>
              <w:rPr>
                <w:rFonts w:ascii="Arial" w:cs="Arial" w:eastAsia="Arial" w:hAnsi="Arial"/>
                <w:sz w:val="18"/>
                <w:szCs w:val="18"/>
                <w:b w:val="1"/>
                <w:bCs w:val="1"/>
                <w:color w:val="51555C"/>
              </w:rPr>
              <w:t>91.8%</w:t>
            </w:r>
          </w:p>
        </w:tc>
        <w:tc>
          <w:tcPr>
            <w:tcW w:w="2250" w:type="dxa"/>
            <w:vAlign w:val="bottom"/>
            <w:shd w:val="clear" w:color="auto" w:fill="EBFBFF"/>
          </w:tcPr>
          <w:p>
            <w:pPr>
              <w:jc w:val="center"/>
              <w:spacing w:after="0"/>
              <w:rPr>
                <w:sz w:val="20"/>
                <w:szCs w:val="20"/>
                <w:color w:val="auto"/>
              </w:rPr>
            </w:pPr>
            <w:r>
              <w:rPr>
                <w:rFonts w:ascii="Arial" w:cs="Arial" w:eastAsia="Arial" w:hAnsi="Arial"/>
                <w:sz w:val="18"/>
                <w:szCs w:val="18"/>
                <w:b w:val="1"/>
                <w:bCs w:val="1"/>
                <w:color w:val="51555C"/>
              </w:rPr>
              <w:t>$1,106.2M</w:t>
            </w:r>
          </w:p>
        </w:tc>
        <w:tc>
          <w:tcPr>
            <w:tcW w:w="2260" w:type="dxa"/>
            <w:vAlign w:val="bottom"/>
            <w:shd w:val="clear" w:color="auto" w:fill="EBFBFF"/>
          </w:tcPr>
          <w:p>
            <w:pPr>
              <w:jc w:val="center"/>
              <w:spacing w:after="0"/>
              <w:rPr>
                <w:sz w:val="20"/>
                <w:szCs w:val="20"/>
                <w:color w:val="auto"/>
              </w:rPr>
            </w:pPr>
            <w:r>
              <w:rPr>
                <w:rFonts w:ascii="Arial" w:cs="Arial" w:eastAsia="Arial" w:hAnsi="Arial"/>
                <w:sz w:val="18"/>
                <w:szCs w:val="18"/>
                <w:b w:val="1"/>
                <w:bCs w:val="1"/>
                <w:color w:val="51555C"/>
                <w:w w:val="97"/>
              </w:rPr>
              <w:t>41.4%</w:t>
            </w:r>
          </w:p>
        </w:tc>
        <w:tc>
          <w:tcPr>
            <w:tcW w:w="20" w:type="dxa"/>
            <w:vAlign w:val="bottom"/>
          </w:tcPr>
          <w:p>
            <w:pPr>
              <w:spacing w:after="0"/>
              <w:rPr>
                <w:sz w:val="24"/>
                <w:szCs w:val="24"/>
                <w:color w:val="auto"/>
              </w:rPr>
            </w:pPr>
          </w:p>
        </w:tc>
      </w:tr>
      <w:tr>
        <w:trPr>
          <w:trHeight w:val="301"/>
        </w:trPr>
        <w:tc>
          <w:tcPr>
            <w:tcW w:w="2240" w:type="dxa"/>
            <w:vAlign w:val="bottom"/>
          </w:tcPr>
          <w:p>
            <w:pPr>
              <w:jc w:val="center"/>
              <w:spacing w:after="0"/>
              <w:rPr>
                <w:sz w:val="20"/>
                <w:szCs w:val="20"/>
                <w:color w:val="auto"/>
              </w:rPr>
            </w:pPr>
            <w:r>
              <w:rPr>
                <w:rFonts w:ascii="Arial" w:cs="Arial" w:eastAsia="Arial" w:hAnsi="Arial"/>
                <w:sz w:val="18"/>
                <w:szCs w:val="18"/>
                <w:color w:val="51555C"/>
                <w:w w:val="99"/>
              </w:rPr>
              <w:t>(decreased 2.3%)</w:t>
            </w:r>
          </w:p>
        </w:tc>
        <w:tc>
          <w:tcPr>
            <w:tcW w:w="2240" w:type="dxa"/>
            <w:vAlign w:val="bottom"/>
          </w:tcPr>
          <w:p>
            <w:pPr>
              <w:jc w:val="center"/>
              <w:spacing w:after="0"/>
              <w:rPr>
                <w:sz w:val="20"/>
                <w:szCs w:val="20"/>
                <w:color w:val="auto"/>
              </w:rPr>
            </w:pPr>
            <w:r>
              <w:rPr>
                <w:rFonts w:ascii="Arial" w:cs="Arial" w:eastAsia="Arial" w:hAnsi="Arial"/>
                <w:sz w:val="18"/>
                <w:szCs w:val="18"/>
                <w:color w:val="51555C"/>
              </w:rPr>
              <w:t>(vs. 97.7%)</w:t>
            </w:r>
          </w:p>
        </w:tc>
        <w:tc>
          <w:tcPr>
            <w:tcW w:w="2250" w:type="dxa"/>
            <w:vAlign w:val="bottom"/>
          </w:tcPr>
          <w:p>
            <w:pPr>
              <w:jc w:val="center"/>
              <w:spacing w:after="0"/>
              <w:rPr>
                <w:sz w:val="20"/>
                <w:szCs w:val="20"/>
                <w:color w:val="auto"/>
              </w:rPr>
            </w:pPr>
            <w:r>
              <w:rPr>
                <w:rFonts w:ascii="Arial" w:cs="Arial" w:eastAsia="Arial" w:hAnsi="Arial"/>
                <w:sz w:val="18"/>
                <w:szCs w:val="18"/>
                <w:color w:val="51555C"/>
              </w:rPr>
              <w:t>(vs. 89.5%)</w:t>
            </w:r>
          </w:p>
        </w:tc>
        <w:tc>
          <w:tcPr>
            <w:tcW w:w="2250" w:type="dxa"/>
            <w:vAlign w:val="bottom"/>
          </w:tcPr>
          <w:p>
            <w:pPr>
              <w:jc w:val="center"/>
              <w:spacing w:after="0"/>
              <w:rPr>
                <w:sz w:val="20"/>
                <w:szCs w:val="20"/>
                <w:color w:val="auto"/>
              </w:rPr>
            </w:pPr>
            <w:r>
              <w:rPr>
                <w:rFonts w:ascii="Arial" w:cs="Arial" w:eastAsia="Arial" w:hAnsi="Arial"/>
                <w:sz w:val="18"/>
                <w:szCs w:val="18"/>
                <w:color w:val="51555C"/>
                <w:w w:val="99"/>
              </w:rPr>
              <w:t>(increased 5.8%)</w:t>
            </w:r>
          </w:p>
        </w:tc>
        <w:tc>
          <w:tcPr>
            <w:tcW w:w="2260" w:type="dxa"/>
            <w:vAlign w:val="bottom"/>
          </w:tcPr>
          <w:p>
            <w:pPr>
              <w:jc w:val="center"/>
              <w:spacing w:after="0"/>
              <w:rPr>
                <w:sz w:val="20"/>
                <w:szCs w:val="20"/>
                <w:color w:val="auto"/>
              </w:rPr>
            </w:pPr>
            <w:r>
              <w:rPr>
                <w:rFonts w:ascii="Arial" w:cs="Arial" w:eastAsia="Arial" w:hAnsi="Arial"/>
                <w:sz w:val="18"/>
                <w:szCs w:val="18"/>
                <w:color w:val="51555C"/>
                <w:w w:val="98"/>
              </w:rPr>
              <w:t>(vs. 38.6%)</w:t>
            </w:r>
          </w:p>
        </w:tc>
        <w:tc>
          <w:tcPr>
            <w:tcW w:w="20" w:type="dxa"/>
            <w:vAlign w:val="bottom"/>
          </w:tcPr>
          <w:p>
            <w:pPr>
              <w:spacing w:after="0"/>
              <w:rPr>
                <w:sz w:val="24"/>
                <w:szCs w:val="24"/>
                <w:color w:val="auto"/>
              </w:rPr>
            </w:pPr>
          </w:p>
        </w:tc>
      </w:tr>
      <w:tr>
        <w:trPr>
          <w:trHeight w:val="23"/>
        </w:trPr>
        <w:tc>
          <w:tcPr>
            <w:tcW w:w="2240" w:type="dxa"/>
            <w:vAlign w:val="bottom"/>
            <w:tcBorders>
              <w:bottom w:val="single" w:sz="8" w:color="0CD973"/>
            </w:tcBorders>
          </w:tcPr>
          <w:p>
            <w:pPr>
              <w:spacing w:after="0"/>
              <w:rPr>
                <w:sz w:val="2"/>
                <w:szCs w:val="2"/>
                <w:color w:val="auto"/>
              </w:rPr>
            </w:pPr>
          </w:p>
        </w:tc>
        <w:tc>
          <w:tcPr>
            <w:tcW w:w="2240" w:type="dxa"/>
            <w:vAlign w:val="bottom"/>
            <w:tcBorders>
              <w:bottom w:val="single" w:sz="8" w:color="0CD973"/>
            </w:tcBorders>
          </w:tcPr>
          <w:p>
            <w:pPr>
              <w:spacing w:after="0"/>
              <w:rPr>
                <w:sz w:val="2"/>
                <w:szCs w:val="2"/>
                <w:color w:val="auto"/>
              </w:rPr>
            </w:pPr>
          </w:p>
        </w:tc>
        <w:tc>
          <w:tcPr>
            <w:tcW w:w="2250" w:type="dxa"/>
            <w:vAlign w:val="bottom"/>
            <w:tcBorders>
              <w:bottom w:val="single" w:sz="8" w:color="0CD973"/>
            </w:tcBorders>
          </w:tcPr>
          <w:p>
            <w:pPr>
              <w:spacing w:after="0"/>
              <w:rPr>
                <w:sz w:val="2"/>
                <w:szCs w:val="2"/>
                <w:color w:val="auto"/>
              </w:rPr>
            </w:pPr>
          </w:p>
        </w:tc>
        <w:tc>
          <w:tcPr>
            <w:tcW w:w="2250" w:type="dxa"/>
            <w:vAlign w:val="bottom"/>
            <w:tcBorders>
              <w:bottom w:val="single" w:sz="8" w:color="0CD973"/>
            </w:tcBorders>
          </w:tcPr>
          <w:p>
            <w:pPr>
              <w:spacing w:after="0"/>
              <w:rPr>
                <w:sz w:val="2"/>
                <w:szCs w:val="2"/>
                <w:color w:val="auto"/>
              </w:rPr>
            </w:pPr>
          </w:p>
        </w:tc>
        <w:tc>
          <w:tcPr>
            <w:tcW w:w="226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5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51555C"/>
        </w:rPr>
      </w:pPr>
      <w:r>
        <w:rPr>
          <w:rFonts w:ascii="Arial" w:cs="Arial" w:eastAsia="Arial" w:hAnsi="Arial"/>
          <w:sz w:val="14"/>
          <w:szCs w:val="14"/>
          <w:color w:val="51555C"/>
        </w:rPr>
        <w:t>All comparisons are to fiscal year 2024.</w:t>
      </w:r>
    </w:p>
    <w:p>
      <w:pPr>
        <w:spacing w:after="0" w:line="28" w:lineRule="exact"/>
        <w:rPr>
          <w:rFonts w:ascii="Arial" w:cs="Arial" w:eastAsia="Arial" w:hAnsi="Arial"/>
          <w:sz w:val="14"/>
          <w:szCs w:val="14"/>
          <w:color w:val="51555C"/>
        </w:rPr>
      </w:pPr>
    </w:p>
    <w:p>
      <w:pPr>
        <w:ind w:left="340" w:hanging="332"/>
        <w:spacing w:after="0"/>
        <w:tabs>
          <w:tab w:leader="none" w:pos="340" w:val="left"/>
        </w:tabs>
        <w:numPr>
          <w:ilvl w:val="0"/>
          <w:numId w:val="10"/>
        </w:numPr>
        <w:rPr>
          <w:rFonts w:ascii="Arial" w:cs="Arial" w:eastAsia="Arial" w:hAnsi="Arial"/>
          <w:sz w:val="14"/>
          <w:szCs w:val="14"/>
          <w:color w:val="51555C"/>
        </w:rPr>
      </w:pPr>
      <w:r>
        <w:rPr>
          <w:rFonts w:ascii="Arial" w:cs="Arial" w:eastAsia="Arial" w:hAnsi="Arial"/>
          <w:sz w:val="14"/>
          <w:szCs w:val="14"/>
          <w:color w:val="51555C"/>
        </w:rPr>
        <w:t>The decrease in total revenue was due to our sale of EVERFI on December 31, 2024.</w:t>
      </w:r>
    </w:p>
    <w:p>
      <w:pPr>
        <w:spacing w:after="0" w:line="14" w:lineRule="exact"/>
        <w:rPr>
          <w:rFonts w:ascii="Arial" w:cs="Arial" w:eastAsia="Arial" w:hAnsi="Arial"/>
          <w:sz w:val="14"/>
          <w:szCs w:val="14"/>
          <w:color w:val="51555C"/>
        </w:rPr>
      </w:pPr>
    </w:p>
    <w:p>
      <w:pPr>
        <w:ind w:left="340" w:hanging="332"/>
        <w:spacing w:after="0"/>
        <w:tabs>
          <w:tab w:leader="none" w:pos="340" w:val="left"/>
        </w:tabs>
        <w:numPr>
          <w:ilvl w:val="0"/>
          <w:numId w:val="10"/>
        </w:numPr>
        <w:rPr>
          <w:rFonts w:ascii="Arial" w:cs="Arial" w:eastAsia="Arial" w:hAnsi="Arial"/>
          <w:sz w:val="14"/>
          <w:szCs w:val="14"/>
          <w:color w:val="51555C"/>
        </w:rPr>
      </w:pPr>
      <w:r>
        <w:rPr>
          <w:rFonts w:ascii="Arial" w:cs="Arial" w:eastAsia="Arial" w:hAnsi="Arial"/>
          <w:sz w:val="14"/>
          <w:szCs w:val="14"/>
          <w:color w:val="51555C"/>
        </w:rPr>
        <w:t>See definition of gross dollar retention within our discussion of Long-term Incentive Compensation beginning on page 45 of this Proxy Statement.</w:t>
      </w:r>
    </w:p>
    <w:p>
      <w:pPr>
        <w:spacing w:after="0" w:line="14" w:lineRule="exact"/>
        <w:rPr>
          <w:rFonts w:ascii="Arial" w:cs="Arial" w:eastAsia="Arial" w:hAnsi="Arial"/>
          <w:sz w:val="14"/>
          <w:szCs w:val="14"/>
          <w:color w:val="51555C"/>
        </w:rPr>
      </w:pPr>
    </w:p>
    <w:p>
      <w:pPr>
        <w:ind w:left="340" w:hanging="332"/>
        <w:spacing w:after="0"/>
        <w:tabs>
          <w:tab w:leader="none" w:pos="340" w:val="left"/>
        </w:tabs>
        <w:numPr>
          <w:ilvl w:val="0"/>
          <w:numId w:val="10"/>
        </w:numPr>
        <w:rPr>
          <w:rFonts w:ascii="Arial" w:cs="Arial" w:eastAsia="Arial" w:hAnsi="Arial"/>
          <w:sz w:val="14"/>
          <w:szCs w:val="14"/>
          <w:color w:val="51555C"/>
        </w:rPr>
      </w:pPr>
      <w:r>
        <w:rPr>
          <w:rFonts w:ascii="Arial" w:cs="Arial" w:eastAsia="Arial" w:hAnsi="Arial"/>
          <w:sz w:val="14"/>
          <w:szCs w:val="14"/>
          <w:color w:val="51555C"/>
        </w:rPr>
        <w:t>See Appendix A for a reconciliation of non-GAAP financial measures to results reported in accordance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4054"/>
        </w:rPr>
        <w:t xml:space="preserve">COMPONENTS OF EXECUTIVE COMPENSATION PROGRAM </w:t>
      </w:r>
      <w:r>
        <w:rPr>
          <w:rFonts w:ascii="Arial" w:cs="Arial" w:eastAsia="Arial" w:hAnsi="Arial"/>
          <w:sz w:val="17"/>
          <w:szCs w:val="17"/>
          <w:b w:val="1"/>
          <w:bCs w:val="1"/>
          <w:color w:val="51555C"/>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Component</w:t>
            </w:r>
          </w:p>
        </w:tc>
        <w:tc>
          <w:tcPr>
            <w:tcW w:w="8540" w:type="dxa"/>
            <w:vAlign w:val="bottom"/>
            <w:tcBorders>
              <w:bottom w:val="single" w:sz="8" w:color="004054"/>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Description</w:t>
            </w:r>
          </w:p>
        </w:tc>
        <w:tc>
          <w:tcPr>
            <w:tcW w:w="20" w:type="dxa"/>
            <w:vAlign w:val="bottom"/>
            <w:tcBorders>
              <w:bottom w:val="single" w:sz="8" w:color="004054"/>
            </w:tcBorders>
            <w:shd w:val="clear" w:color="auto" w:fill="004054"/>
          </w:tcPr>
          <w:p>
            <w:pPr>
              <w:spacing w:after="0"/>
              <w:rPr>
                <w:sz w:val="20"/>
                <w:szCs w:val="20"/>
                <w:color w:val="auto"/>
              </w:rPr>
            </w:pPr>
          </w:p>
        </w:tc>
      </w:tr>
      <w:tr>
        <w:trPr>
          <w:trHeight w:val="324"/>
        </w:trPr>
        <w:tc>
          <w:tcPr>
            <w:tcW w:w="270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Base Salary</w:t>
            </w:r>
          </w:p>
        </w:tc>
        <w:tc>
          <w:tcPr>
            <w:tcW w:w="854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Fixed compensation component payable in cash</w:t>
            </w:r>
          </w:p>
        </w:tc>
        <w:tc>
          <w:tcPr>
            <w:tcW w:w="20" w:type="dxa"/>
            <w:vAlign w:val="bottom"/>
          </w:tcPr>
          <w:p>
            <w:pPr>
              <w:spacing w:after="0"/>
              <w:rPr>
                <w:sz w:val="24"/>
                <w:szCs w:val="24"/>
                <w:color w:val="auto"/>
              </w:rPr>
            </w:pPr>
          </w:p>
        </w:tc>
      </w:tr>
      <w:tr>
        <w:trPr>
          <w:trHeight w:val="278"/>
        </w:trPr>
        <w:tc>
          <w:tcPr>
            <w:tcW w:w="2700" w:type="dxa"/>
            <w:vAlign w:val="bottom"/>
          </w:tcPr>
          <w:p>
            <w:pPr>
              <w:ind w:left="20"/>
              <w:spacing w:after="0"/>
              <w:rPr>
                <w:sz w:val="20"/>
                <w:szCs w:val="20"/>
                <w:color w:val="auto"/>
              </w:rPr>
            </w:pPr>
            <w:r>
              <w:rPr>
                <w:rFonts w:ascii="Arial" w:cs="Arial" w:eastAsia="Arial" w:hAnsi="Arial"/>
                <w:sz w:val="18"/>
                <w:szCs w:val="18"/>
                <w:b w:val="1"/>
                <w:bCs w:val="1"/>
                <w:color w:val="51555C"/>
              </w:rPr>
              <w:t>Short-term Incentive ("STI")</w:t>
            </w:r>
          </w:p>
        </w:tc>
        <w:tc>
          <w:tcPr>
            <w:tcW w:w="8540" w:type="dxa"/>
            <w:vAlign w:val="bottom"/>
          </w:tcPr>
          <w:p>
            <w:pPr>
              <w:ind w:left="20"/>
              <w:spacing w:after="0"/>
              <w:rPr>
                <w:sz w:val="20"/>
                <w:szCs w:val="20"/>
                <w:color w:val="auto"/>
              </w:rPr>
            </w:pPr>
            <w:r>
              <w:rPr>
                <w:rFonts w:ascii="Arial" w:cs="Arial" w:eastAsia="Arial" w:hAnsi="Arial"/>
                <w:sz w:val="18"/>
                <w:szCs w:val="18"/>
                <w:color w:val="51555C"/>
              </w:rPr>
              <w:t>Variable short-term compensation component consisting of performance-based restricted stock units</w:t>
            </w:r>
          </w:p>
        </w:tc>
        <w:tc>
          <w:tcPr>
            <w:tcW w:w="20" w:type="dxa"/>
            <w:vAlign w:val="bottom"/>
          </w:tcPr>
          <w:p>
            <w:pPr>
              <w:spacing w:after="0"/>
              <w:rPr>
                <w:sz w:val="24"/>
                <w:szCs w:val="24"/>
                <w:color w:val="auto"/>
              </w:rPr>
            </w:pPr>
          </w:p>
        </w:tc>
      </w:tr>
      <w:tr>
        <w:trPr>
          <w:trHeight w:val="254"/>
        </w:trPr>
        <w:tc>
          <w:tcPr>
            <w:tcW w:w="2700" w:type="dxa"/>
            <w:vAlign w:val="bottom"/>
          </w:tcPr>
          <w:p>
            <w:pPr>
              <w:ind w:left="20"/>
              <w:spacing w:after="0"/>
              <w:rPr>
                <w:sz w:val="20"/>
                <w:szCs w:val="20"/>
                <w:color w:val="auto"/>
              </w:rPr>
            </w:pPr>
            <w:r>
              <w:rPr>
                <w:rFonts w:ascii="Arial" w:cs="Arial" w:eastAsia="Arial" w:hAnsi="Arial"/>
                <w:sz w:val="18"/>
                <w:szCs w:val="18"/>
                <w:b w:val="1"/>
                <w:bCs w:val="1"/>
                <w:color w:val="51555C"/>
              </w:rPr>
              <w:t>Compensation</w:t>
            </w:r>
          </w:p>
        </w:tc>
        <w:tc>
          <w:tcPr>
            <w:tcW w:w="8540" w:type="dxa"/>
            <w:vAlign w:val="bottom"/>
          </w:tcPr>
          <w:p>
            <w:pPr>
              <w:ind w:left="20"/>
              <w:spacing w:after="0"/>
              <w:rPr>
                <w:sz w:val="20"/>
                <w:szCs w:val="20"/>
                <w:color w:val="auto"/>
              </w:rPr>
            </w:pPr>
            <w:r>
              <w:rPr>
                <w:rFonts w:ascii="Arial" w:cs="Arial" w:eastAsia="Arial" w:hAnsi="Arial"/>
                <w:sz w:val="18"/>
                <w:szCs w:val="18"/>
                <w:color w:val="51555C"/>
              </w:rPr>
              <w:t>("PRSUs") based on performance against pre-established short-term performance objectives</w:t>
            </w:r>
          </w:p>
        </w:tc>
        <w:tc>
          <w:tcPr>
            <w:tcW w:w="20" w:type="dxa"/>
            <w:vAlign w:val="bottom"/>
          </w:tcPr>
          <w:p>
            <w:pPr>
              <w:spacing w:after="0"/>
              <w:rPr>
                <w:sz w:val="22"/>
                <w:szCs w:val="22"/>
                <w:color w:val="auto"/>
              </w:rPr>
            </w:pPr>
          </w:p>
        </w:tc>
      </w:tr>
      <w:tr>
        <w:trPr>
          <w:trHeight w:val="286"/>
        </w:trPr>
        <w:tc>
          <w:tcPr>
            <w:tcW w:w="270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Long-term Incentive ("LTI")</w:t>
            </w:r>
          </w:p>
        </w:tc>
        <w:tc>
          <w:tcPr>
            <w:tcW w:w="854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Variable long-term compensation component consisting of a combination of 1) time-based restricted stock</w:t>
            </w:r>
          </w:p>
        </w:tc>
        <w:tc>
          <w:tcPr>
            <w:tcW w:w="20" w:type="dxa"/>
            <w:vAlign w:val="bottom"/>
          </w:tcPr>
          <w:p>
            <w:pPr>
              <w:spacing w:after="0"/>
              <w:rPr>
                <w:sz w:val="24"/>
                <w:szCs w:val="24"/>
                <w:color w:val="auto"/>
              </w:rPr>
            </w:pPr>
          </w:p>
        </w:tc>
      </w:tr>
      <w:tr>
        <w:trPr>
          <w:trHeight w:val="216"/>
        </w:trPr>
        <w:tc>
          <w:tcPr>
            <w:tcW w:w="270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Compensation</w:t>
            </w:r>
          </w:p>
        </w:tc>
        <w:tc>
          <w:tcPr>
            <w:tcW w:w="854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awards ("RSAs") or restricted stock units ("RSUs"); and 2) at least 50% PRSUs that are based on separate</w:t>
            </w:r>
          </w:p>
        </w:tc>
        <w:tc>
          <w:tcPr>
            <w:tcW w:w="20" w:type="dxa"/>
            <w:vAlign w:val="bottom"/>
          </w:tcPr>
          <w:p>
            <w:pPr>
              <w:spacing w:after="0"/>
              <w:rPr>
                <w:sz w:val="18"/>
                <w:szCs w:val="18"/>
                <w:color w:val="auto"/>
              </w:rPr>
            </w:pPr>
          </w:p>
        </w:tc>
      </w:tr>
      <w:tr>
        <w:trPr>
          <w:trHeight w:val="216"/>
        </w:trPr>
        <w:tc>
          <w:tcPr>
            <w:tcW w:w="2700" w:type="dxa"/>
            <w:vAlign w:val="bottom"/>
            <w:shd w:val="clear" w:color="auto" w:fill="EBFBFF"/>
          </w:tcPr>
          <w:p>
            <w:pPr>
              <w:spacing w:after="0"/>
              <w:rPr>
                <w:sz w:val="18"/>
                <w:szCs w:val="18"/>
                <w:color w:val="auto"/>
              </w:rPr>
            </w:pPr>
          </w:p>
        </w:tc>
        <w:tc>
          <w:tcPr>
            <w:tcW w:w="854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performance metrics than the STI, and for which one half of the PRSU awards are measured over multi-</w:t>
            </w:r>
          </w:p>
        </w:tc>
        <w:tc>
          <w:tcPr>
            <w:tcW w:w="20" w:type="dxa"/>
            <w:vAlign w:val="bottom"/>
          </w:tcPr>
          <w:p>
            <w:pPr>
              <w:spacing w:after="0"/>
              <w:rPr>
                <w:sz w:val="18"/>
                <w:szCs w:val="18"/>
                <w:color w:val="auto"/>
              </w:rPr>
            </w:pPr>
          </w:p>
        </w:tc>
      </w:tr>
      <w:tr>
        <w:trPr>
          <w:trHeight w:val="242"/>
        </w:trPr>
        <w:tc>
          <w:tcPr>
            <w:tcW w:w="2700" w:type="dxa"/>
            <w:vAlign w:val="bottom"/>
            <w:tcBorders>
              <w:bottom w:val="single" w:sz="8" w:color="EBFBFF"/>
            </w:tcBorders>
            <w:shd w:val="clear" w:color="auto" w:fill="EBFBFF"/>
          </w:tcPr>
          <w:p>
            <w:pPr>
              <w:spacing w:after="0"/>
              <w:rPr>
                <w:sz w:val="21"/>
                <w:szCs w:val="21"/>
                <w:color w:val="auto"/>
              </w:rPr>
            </w:pPr>
          </w:p>
        </w:tc>
        <w:tc>
          <w:tcPr>
            <w:tcW w:w="85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year periods</w:t>
            </w:r>
          </w:p>
        </w:tc>
        <w:tc>
          <w:tcPr>
            <w:tcW w:w="20" w:type="dxa"/>
            <w:vAlign w:val="bottom"/>
          </w:tcPr>
          <w:p>
            <w:pPr>
              <w:spacing w:after="0"/>
              <w:rPr>
                <w:sz w:val="21"/>
                <w:szCs w:val="2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b w:val="1"/>
                <w:bCs w:val="1"/>
                <w:color w:val="51555C"/>
              </w:rPr>
              <w:t>“Double-Trigger”</w:t>
            </w:r>
          </w:p>
        </w:tc>
        <w:tc>
          <w:tcPr>
            <w:tcW w:w="8540" w:type="dxa"/>
            <w:vAlign w:val="bottom"/>
          </w:tcPr>
          <w:p>
            <w:pPr>
              <w:ind w:left="20"/>
              <w:spacing w:after="0"/>
              <w:rPr>
                <w:sz w:val="20"/>
                <w:szCs w:val="20"/>
                <w:color w:val="auto"/>
              </w:rPr>
            </w:pPr>
            <w:r>
              <w:rPr>
                <w:rFonts w:ascii="Arial" w:cs="Arial" w:eastAsia="Arial" w:hAnsi="Arial"/>
                <w:sz w:val="18"/>
                <w:szCs w:val="18"/>
                <w:color w:val="51555C"/>
              </w:rPr>
              <w:t>Provide change in control payments and benefits to executive officers generally only upon a qualifying</w:t>
            </w:r>
          </w:p>
        </w:tc>
        <w:tc>
          <w:tcPr>
            <w:tcW w:w="20" w:type="dxa"/>
            <w:vAlign w:val="bottom"/>
          </w:tcPr>
          <w:p>
            <w:pPr>
              <w:spacing w:after="0"/>
              <w:rPr>
                <w:sz w:val="21"/>
                <w:szCs w:val="21"/>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8"/>
                <w:szCs w:val="18"/>
                <w:b w:val="1"/>
                <w:bCs w:val="1"/>
                <w:color w:val="51555C"/>
              </w:rPr>
              <w:t>Change in Control</w:t>
            </w:r>
          </w:p>
        </w:tc>
        <w:tc>
          <w:tcPr>
            <w:tcW w:w="8540" w:type="dxa"/>
            <w:vAlign w:val="bottom"/>
          </w:tcPr>
          <w:p>
            <w:pPr>
              <w:ind w:left="20"/>
              <w:spacing w:after="0"/>
              <w:rPr>
                <w:sz w:val="20"/>
                <w:szCs w:val="20"/>
                <w:color w:val="auto"/>
              </w:rPr>
            </w:pPr>
            <w:r>
              <w:rPr>
                <w:rFonts w:ascii="Arial" w:cs="Arial" w:eastAsia="Arial" w:hAnsi="Arial"/>
                <w:sz w:val="18"/>
                <w:szCs w:val="18"/>
                <w:color w:val="51555C"/>
              </w:rPr>
              <w:t>termination of employment within 12 months after a change in control of our Company</w:t>
            </w:r>
          </w:p>
        </w:tc>
        <w:tc>
          <w:tcPr>
            <w:tcW w:w="20" w:type="dxa"/>
            <w:vAlign w:val="bottom"/>
          </w:tcPr>
          <w:p>
            <w:pPr>
              <w:spacing w:after="0"/>
              <w:rPr>
                <w:sz w:val="18"/>
                <w:szCs w:val="18"/>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b w:val="1"/>
                <w:bCs w:val="1"/>
                <w:color w:val="51555C"/>
              </w:rPr>
              <w:t>Severance Arrangements</w:t>
            </w:r>
          </w:p>
        </w:tc>
        <w:tc>
          <w:tcPr>
            <w:tcW w:w="85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18"/>
        </w:trPr>
        <w:tc>
          <w:tcPr>
            <w:tcW w:w="2700" w:type="dxa"/>
            <w:vAlign w:val="bottom"/>
            <w:tcBorders>
              <w:bottom w:val="single" w:sz="8" w:color="0CD973"/>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Other Benefits</w:t>
            </w:r>
          </w:p>
        </w:tc>
        <w:tc>
          <w:tcPr>
            <w:tcW w:w="8540" w:type="dxa"/>
            <w:vAlign w:val="bottom"/>
            <w:tcBorders>
              <w:bottom w:val="single" w:sz="8" w:color="0CD973"/>
            </w:tcBorders>
            <w:shd w:val="clear" w:color="auto" w:fill="EBFBFF"/>
          </w:tcPr>
          <w:p>
            <w:pPr>
              <w:ind w:left="20"/>
              <w:spacing w:after="0"/>
              <w:rPr>
                <w:sz w:val="20"/>
                <w:szCs w:val="20"/>
                <w:color w:val="auto"/>
              </w:rPr>
            </w:pPr>
            <w:r>
              <w:rPr>
                <w:rFonts w:ascii="Arial" w:cs="Arial" w:eastAsia="Arial" w:hAnsi="Arial"/>
                <w:sz w:val="18"/>
                <w:szCs w:val="18"/>
                <w:color w:val="51555C"/>
              </w:rPr>
              <w:t>Generally provide the same health and welfare benefits as offered to all of our full-time employees</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4054"/>
        </w:rPr>
        <w:t xml:space="preserve">2025 EXECUTIVE COMPENSATION ACTIONS </w:t>
      </w:r>
      <w:r>
        <w:rPr>
          <w:rFonts w:ascii="Arial" w:cs="Arial" w:eastAsia="Arial" w:hAnsi="Arial"/>
          <w:sz w:val="17"/>
          <w:szCs w:val="17"/>
          <w:b w:val="1"/>
          <w:bCs w:val="1"/>
          <w:color w:val="51555C"/>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Base Salaries</w:t>
      </w:r>
    </w:p>
    <w:p>
      <w:pPr>
        <w:spacing w:after="0" w:line="27" w:lineRule="exact"/>
        <w:rPr>
          <w:sz w:val="20"/>
          <w:szCs w:val="20"/>
          <w:color w:val="auto"/>
        </w:rPr>
      </w:pPr>
    </w:p>
    <w:p>
      <w:pPr>
        <w:ind w:left="460" w:hanging="128"/>
        <w:spacing w:after="0"/>
        <w:tabs>
          <w:tab w:leader="none" w:pos="460" w:val="left"/>
        </w:tabs>
        <w:numPr>
          <w:ilvl w:val="0"/>
          <w:numId w:val="11"/>
        </w:numPr>
        <w:rPr>
          <w:rFonts w:ascii="Arial" w:cs="Arial" w:eastAsia="Arial" w:hAnsi="Arial"/>
          <w:sz w:val="18"/>
          <w:szCs w:val="18"/>
          <w:color w:val="51555C"/>
        </w:rPr>
      </w:pPr>
      <w:r>
        <w:rPr>
          <w:rFonts w:ascii="Arial" w:cs="Arial" w:eastAsia="Arial" w:hAnsi="Arial"/>
          <w:sz w:val="18"/>
          <w:szCs w:val="18"/>
          <w:color w:val="51555C"/>
        </w:rPr>
        <w:t>Maintained the base salaries of our named executive officers ("NEOs") at their 2024 levels (excluding Mr. Anderson); and</w:t>
      </w:r>
    </w:p>
    <w:p>
      <w:pPr>
        <w:spacing w:after="0" w:line="9" w:lineRule="exact"/>
        <w:rPr>
          <w:rFonts w:ascii="Arial" w:cs="Arial" w:eastAsia="Arial" w:hAnsi="Arial"/>
          <w:sz w:val="18"/>
          <w:szCs w:val="18"/>
          <w:color w:val="51555C"/>
        </w:rPr>
      </w:pPr>
    </w:p>
    <w:p>
      <w:pPr>
        <w:ind w:left="500" w:right="20" w:hanging="168"/>
        <w:spacing w:after="0" w:line="266" w:lineRule="auto"/>
        <w:tabs>
          <w:tab w:leader="none" w:pos="468" w:val="left"/>
        </w:tabs>
        <w:numPr>
          <w:ilvl w:val="0"/>
          <w:numId w:val="11"/>
        </w:numPr>
        <w:rPr>
          <w:rFonts w:ascii="Arial" w:cs="Arial" w:eastAsia="Arial" w:hAnsi="Arial"/>
          <w:sz w:val="18"/>
          <w:szCs w:val="18"/>
          <w:color w:val="51555C"/>
        </w:rPr>
      </w:pPr>
      <w:r>
        <w:rPr>
          <w:rFonts w:ascii="Arial" w:cs="Arial" w:eastAsia="Arial" w:hAnsi="Arial"/>
          <w:sz w:val="18"/>
          <w:szCs w:val="18"/>
          <w:color w:val="51555C"/>
        </w:rPr>
        <w:t>Increased the base salary of Chad M. Anderson to $425,000 effective July 1, 2025 due to his promotion to Executive Vice President and CFO.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STI Compensation</w:t>
      </w:r>
    </w:p>
    <w:p>
      <w:pPr>
        <w:spacing w:after="0" w:line="27" w:lineRule="exact"/>
        <w:rPr>
          <w:sz w:val="20"/>
          <w:szCs w:val="20"/>
          <w:color w:val="auto"/>
        </w:rPr>
      </w:pPr>
    </w:p>
    <w:p>
      <w:pPr>
        <w:jc w:val="both"/>
        <w:ind w:left="500" w:right="20" w:hanging="168"/>
        <w:spacing w:after="0" w:line="250" w:lineRule="auto"/>
        <w:tabs>
          <w:tab w:leader="none" w:pos="468" w:val="left"/>
        </w:tabs>
        <w:numPr>
          <w:ilvl w:val="0"/>
          <w:numId w:val="12"/>
        </w:numPr>
        <w:rPr>
          <w:rFonts w:ascii="Arial" w:cs="Arial" w:eastAsia="Arial" w:hAnsi="Arial"/>
          <w:sz w:val="18"/>
          <w:szCs w:val="18"/>
          <w:color w:val="51555C"/>
        </w:rPr>
      </w:pPr>
      <w:r>
        <w:rPr>
          <w:rFonts w:ascii="Arial" w:cs="Arial" w:eastAsia="Arial" w:hAnsi="Arial"/>
          <w:sz w:val="18"/>
          <w:szCs w:val="18"/>
          <w:color w:val="51555C"/>
        </w:rPr>
        <w:t>Provided our NEOs the opportunity to earn annual variable compensation in the form of PRSUs granted in February 2025 (the "2025 STI PRSUs") that were eligible to be earned based on overall Company financial performance in fiscal 2025. Based on overall Company performance in 2025, the 2025 STI PRSU payout factor was 102.3% and the earned 2025 STI PRSUs will vest in February 2026, subject to each NEO's continued employment as of the vesting date. See the discussion of the 2025 STI PRSU awards on page 43 for more information; and</w:t>
      </w:r>
    </w:p>
    <w:p>
      <w:pPr>
        <w:spacing w:after="0" w:line="1" w:lineRule="exact"/>
        <w:rPr>
          <w:rFonts w:ascii="Arial" w:cs="Arial" w:eastAsia="Arial" w:hAnsi="Arial"/>
          <w:sz w:val="18"/>
          <w:szCs w:val="18"/>
          <w:color w:val="51555C"/>
        </w:rPr>
      </w:pPr>
    </w:p>
    <w:p>
      <w:pPr>
        <w:jc w:val="both"/>
        <w:ind w:left="500" w:right="20" w:hanging="168"/>
        <w:spacing w:after="0" w:line="254" w:lineRule="auto"/>
        <w:tabs>
          <w:tab w:leader="none" w:pos="468" w:val="left"/>
        </w:tabs>
        <w:numPr>
          <w:ilvl w:val="0"/>
          <w:numId w:val="12"/>
        </w:numPr>
        <w:rPr>
          <w:rFonts w:ascii="Arial" w:cs="Arial" w:eastAsia="Arial" w:hAnsi="Arial"/>
          <w:sz w:val="18"/>
          <w:szCs w:val="18"/>
          <w:color w:val="51555C"/>
        </w:rPr>
      </w:pPr>
      <w:r>
        <w:rPr>
          <w:rFonts w:ascii="Arial" w:cs="Arial" w:eastAsia="Arial" w:hAnsi="Arial"/>
          <w:sz w:val="18"/>
          <w:szCs w:val="18"/>
          <w:color w:val="51555C"/>
        </w:rPr>
        <w:t>Granted an additional prorated award of STI PRSUs ("May 2025 Promotion STI") to Mr. Anderson in recognition of his increased responsibilities due to his promotion to Executive Vice President and CFO, with such award eligible to be earned based on overall Company financial performance in fiscal 2025 on the same basis as the 2025 STI PRSUs described above. The earned May 2025 Promotion STI PRSUs will vest in May 2026, subject to Mr. Anderson's continued employment as of the vesting date. See the discussion of the May 2025 Promotion STI beginning on page 44 for more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LTI Compensation</w:t>
      </w:r>
    </w:p>
    <w:p>
      <w:pPr>
        <w:spacing w:after="0" w:line="27" w:lineRule="exact"/>
        <w:rPr>
          <w:sz w:val="20"/>
          <w:szCs w:val="20"/>
          <w:color w:val="auto"/>
        </w:rPr>
      </w:pPr>
    </w:p>
    <w:p>
      <w:pPr>
        <w:ind w:left="500" w:right="20" w:hanging="168"/>
        <w:spacing w:after="0" w:line="266" w:lineRule="auto"/>
        <w:tabs>
          <w:tab w:leader="none" w:pos="468" w:val="left"/>
        </w:tabs>
        <w:numPr>
          <w:ilvl w:val="0"/>
          <w:numId w:val="13"/>
        </w:numPr>
        <w:rPr>
          <w:rFonts w:ascii="Arial" w:cs="Arial" w:eastAsia="Arial" w:hAnsi="Arial"/>
          <w:sz w:val="18"/>
          <w:szCs w:val="18"/>
          <w:color w:val="51555C"/>
        </w:rPr>
      </w:pPr>
      <w:r>
        <w:rPr>
          <w:rFonts w:ascii="Arial" w:cs="Arial" w:eastAsia="Arial" w:hAnsi="Arial"/>
          <w:sz w:val="18"/>
          <w:szCs w:val="18"/>
          <w:color w:val="51555C"/>
        </w:rPr>
        <w:t>Granted our NEOs annual long-term equity awards in February 2025 consisting of 50% RSAs or RSUs and 50% PRSUs (the "2025 LTI PRSUs"). This design is intended to be aligned with competitive market practices, support our retention</w:t>
      </w:r>
    </w:p>
    <w:p>
      <w:pPr>
        <w:spacing w:after="0" w:line="341" w:lineRule="exact"/>
        <w:rPr>
          <w:sz w:val="20"/>
          <w:szCs w:val="20"/>
          <w:color w:val="auto"/>
        </w:rPr>
      </w:pPr>
    </w:p>
    <w:p>
      <w:pPr>
        <w:ind w:left="180"/>
        <w:spacing w:after="0"/>
        <w:tabs>
          <w:tab w:leader="none" w:pos="514" w:val="left"/>
        </w:tabs>
        <w:rPr>
          <w:sz w:val="20"/>
          <w:szCs w:val="20"/>
          <w:color w:val="auto"/>
        </w:rPr>
      </w:pPr>
      <w:r>
        <w:rPr>
          <w:rFonts w:ascii="Arial" w:cs="Arial" w:eastAsia="Arial" w:hAnsi="Arial"/>
          <w:sz w:val="14"/>
          <w:szCs w:val="14"/>
          <w:color w:val="51555C"/>
        </w:rPr>
        <w:t>8</w:t>
      </w:r>
      <w:r>
        <w:rPr>
          <w:sz w:val="20"/>
          <w:szCs w:val="20"/>
          <w:color w:val="auto"/>
        </w:rPr>
        <w:tab/>
      </w:r>
      <w:r>
        <w:rPr>
          <w:sz w:val="1"/>
          <w:szCs w:val="1"/>
          <w:color w:val="auto"/>
        </w:rPr>
        <w:drawing>
          <wp:inline distT="0" distB="0" distL="0" distR="0">
            <wp:extent cx="702945" cy="11176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2945" cy="111760"/>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10" w:name="page11"/>
    <w:bookmarkEnd w:id="10"/>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9020"/>
        <w:spacing w:after="0"/>
        <w:rPr>
          <w:sz w:val="20"/>
          <w:szCs w:val="20"/>
          <w:color w:val="auto"/>
        </w:rPr>
      </w:pPr>
      <w:r>
        <w:rPr>
          <w:rFonts w:ascii="Arial" w:cs="Arial" w:eastAsia="Arial" w:hAnsi="Arial"/>
          <w:sz w:val="18"/>
          <w:szCs w:val="18"/>
          <w:b w:val="1"/>
          <w:bCs w:val="1"/>
          <w:color w:val="51555C"/>
        </w:rPr>
        <w:t>PROXY SUMMARY</w:t>
      </w:r>
    </w:p>
    <w:p>
      <w:pPr>
        <w:spacing w:after="0" w:line="200" w:lineRule="exact"/>
        <w:rPr>
          <w:sz w:val="20"/>
          <w:szCs w:val="20"/>
          <w:color w:val="auto"/>
        </w:rPr>
      </w:pPr>
    </w:p>
    <w:p>
      <w:pPr>
        <w:spacing w:after="0" w:line="399" w:lineRule="exact"/>
        <w:rPr>
          <w:sz w:val="20"/>
          <w:szCs w:val="20"/>
          <w:color w:val="auto"/>
        </w:rPr>
      </w:pPr>
    </w:p>
    <w:p>
      <w:pPr>
        <w:jc w:val="both"/>
        <w:ind w:left="500" w:right="20"/>
        <w:spacing w:after="0" w:line="254" w:lineRule="auto"/>
        <w:rPr>
          <w:sz w:val="20"/>
          <w:szCs w:val="20"/>
          <w:color w:val="auto"/>
        </w:rPr>
      </w:pPr>
      <w:r>
        <w:rPr>
          <w:rFonts w:ascii="Arial" w:cs="Arial" w:eastAsia="Arial" w:hAnsi="Arial"/>
          <w:sz w:val="18"/>
          <w:szCs w:val="18"/>
          <w:color w:val="51555C"/>
        </w:rPr>
        <w:t>objectives and reward overall Company performance. Based on overall Company performance in 2025, determined that 100.01% of the target number of shares of our common stock subject to the 2025 LTI PRSUs based on one-year performance and 104.76% of the target number of shares of our common stock subject to the 2025 LTI PRSUs based on the first of three one-year performance periods were earned and would vest in February 2026 subject to each NEO's continued employment as of the vesting date. See the discussion of the 2025 LTI PRSU awards to NEOs beginning on page 45 of this Proxy Statement for more information;</w:t>
      </w:r>
    </w:p>
    <w:p>
      <w:pPr>
        <w:spacing w:after="0" w:line="3" w:lineRule="exact"/>
        <w:rPr>
          <w:sz w:val="20"/>
          <w:szCs w:val="20"/>
          <w:color w:val="auto"/>
        </w:rPr>
      </w:pPr>
    </w:p>
    <w:p>
      <w:pPr>
        <w:jc w:val="both"/>
        <w:ind w:left="500" w:right="20" w:hanging="168"/>
        <w:spacing w:after="0" w:line="250" w:lineRule="auto"/>
        <w:tabs>
          <w:tab w:leader="none" w:pos="469" w:val="left"/>
        </w:tabs>
        <w:numPr>
          <w:ilvl w:val="0"/>
          <w:numId w:val="14"/>
        </w:numPr>
        <w:rPr>
          <w:rFonts w:ascii="Arial" w:cs="Arial" w:eastAsia="Arial" w:hAnsi="Arial"/>
          <w:sz w:val="14"/>
          <w:szCs w:val="14"/>
          <w:color w:val="51555C"/>
        </w:rPr>
      </w:pPr>
      <w:r>
        <w:rPr>
          <w:rFonts w:ascii="Arial" w:cs="Arial" w:eastAsia="Arial" w:hAnsi="Arial"/>
          <w:sz w:val="18"/>
          <w:szCs w:val="18"/>
          <w:color w:val="51555C"/>
        </w:rPr>
        <w:t>Granted a one-time RSA ("May 2025 Promotion LTI") to Mr. Anderson in recognition of his increased responsibilities due to his promotion to Executive Vice President and CFO. See the discussion of the May 2025 Promotion LTI beginning on page 44 for more information; and</w:t>
      </w:r>
    </w:p>
    <w:p>
      <w:pPr>
        <w:spacing w:after="0" w:line="1" w:lineRule="exact"/>
        <w:rPr>
          <w:rFonts w:ascii="Arial" w:cs="Arial" w:eastAsia="Arial" w:hAnsi="Arial"/>
          <w:sz w:val="14"/>
          <w:szCs w:val="14"/>
          <w:color w:val="51555C"/>
        </w:rPr>
      </w:pPr>
    </w:p>
    <w:p>
      <w:pPr>
        <w:jc w:val="both"/>
        <w:ind w:left="500" w:right="20" w:hanging="168"/>
        <w:spacing w:after="0" w:line="255" w:lineRule="auto"/>
        <w:tabs>
          <w:tab w:leader="none" w:pos="468" w:val="left"/>
        </w:tabs>
        <w:numPr>
          <w:ilvl w:val="0"/>
          <w:numId w:val="14"/>
        </w:numPr>
        <w:rPr>
          <w:rFonts w:ascii="Arial" w:cs="Arial" w:eastAsia="Arial" w:hAnsi="Arial"/>
          <w:sz w:val="18"/>
          <w:szCs w:val="18"/>
          <w:color w:val="51555C"/>
        </w:rPr>
      </w:pPr>
      <w:r>
        <w:rPr>
          <w:rFonts w:ascii="Arial" w:cs="Arial" w:eastAsia="Arial" w:hAnsi="Arial"/>
          <w:sz w:val="18"/>
          <w:szCs w:val="18"/>
          <w:color w:val="51555C"/>
        </w:rPr>
        <w:t>Determined, based on the Company's Rule of 40 performance in 2025, that 103.87% of the shares of our common stock subject to the 2024 LTI Three-year PRSUs based on the second of three one-year performance periods and 143.47% of the shares of our common stock subject to the 2023 LTI Three-year PRSUs based on the third of three one-year performance periods were earned and would vest in February 2026 subject to each NEO's continued employment as of each vesting date.</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51555C"/>
        </w:rPr>
        <w:t>Amended and Restated CEO Employment Agreement</w:t>
      </w:r>
    </w:p>
    <w:p>
      <w:pPr>
        <w:spacing w:after="0" w:line="27" w:lineRule="exact"/>
        <w:rPr>
          <w:sz w:val="20"/>
          <w:szCs w:val="20"/>
          <w:color w:val="auto"/>
        </w:rPr>
      </w:pPr>
    </w:p>
    <w:p>
      <w:pPr>
        <w:ind w:left="500" w:right="880" w:hanging="168"/>
        <w:spacing w:after="0" w:line="266" w:lineRule="auto"/>
        <w:tabs>
          <w:tab w:leader="none" w:pos="468" w:val="left"/>
        </w:tabs>
        <w:numPr>
          <w:ilvl w:val="0"/>
          <w:numId w:val="15"/>
        </w:numPr>
        <w:rPr>
          <w:rFonts w:ascii="Arial" w:cs="Arial" w:eastAsia="Arial" w:hAnsi="Arial"/>
          <w:sz w:val="18"/>
          <w:szCs w:val="18"/>
          <w:color w:val="51555C"/>
        </w:rPr>
      </w:pPr>
      <w:r>
        <w:rPr>
          <w:rFonts w:ascii="Arial" w:cs="Arial" w:eastAsia="Arial" w:hAnsi="Arial"/>
          <w:sz w:val="18"/>
          <w:szCs w:val="18"/>
          <w:color w:val="51555C"/>
        </w:rPr>
        <w:t>Entered into an amended and restated employment and noncompetition agreement with our CEO. For more information, see discussion beginning on page 62.</w:t>
      </w: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4054"/>
        </w:rPr>
        <w:t xml:space="preserve">2025 NEO COMPENSATION SUMMARY </w:t>
      </w:r>
      <w:r>
        <w:rPr>
          <w:rFonts w:ascii="Arial" w:cs="Arial" w:eastAsia="Arial" w:hAnsi="Arial"/>
          <w:sz w:val="17"/>
          <w:szCs w:val="17"/>
          <w:b w:val="1"/>
          <w:bCs w:val="1"/>
          <w:color w:val="51555C"/>
        </w:rPr>
        <w:t>(page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Set forth below is the 2025 compensation for each of our NEOs as determined under SEC rules. This table is not a substitute for the compensation tables, including the Summary Compensation Table, required by the SEC and set forth elsewhere in this Proxy Statement. See the notes accompanying the 2025 Summary Compensation Table beginning on page 53 of this Proxy Statement for more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70" w:type="dxa"/>
            <w:vAlign w:val="bottom"/>
            <w:tcBorders>
              <w:top w:val="single" w:sz="8" w:color="004054"/>
            </w:tcBorders>
            <w:shd w:val="clear" w:color="auto" w:fill="004054"/>
          </w:tcPr>
          <w:p>
            <w:pPr>
              <w:spacing w:after="0"/>
              <w:rPr>
                <w:sz w:val="16"/>
                <w:szCs w:val="16"/>
                <w:color w:val="auto"/>
              </w:rPr>
            </w:pPr>
          </w:p>
        </w:tc>
        <w:tc>
          <w:tcPr>
            <w:tcW w:w="1060" w:type="dxa"/>
            <w:vAlign w:val="bottom"/>
            <w:tcBorders>
              <w:top w:val="single" w:sz="8" w:color="004054"/>
            </w:tcBorders>
            <w:shd w:val="clear" w:color="auto" w:fill="004054"/>
          </w:tcPr>
          <w:p>
            <w:pPr>
              <w:spacing w:after="0"/>
              <w:rPr>
                <w:sz w:val="16"/>
                <w:szCs w:val="16"/>
                <w:color w:val="auto"/>
              </w:rPr>
            </w:pPr>
          </w:p>
        </w:tc>
        <w:tc>
          <w:tcPr>
            <w:tcW w:w="1360" w:type="dxa"/>
            <w:vAlign w:val="bottom"/>
            <w:tcBorders>
              <w:top w:val="single" w:sz="8" w:color="004054"/>
            </w:tcBorders>
            <w:shd w:val="clear" w:color="auto" w:fill="004054"/>
          </w:tcPr>
          <w:p>
            <w:pPr>
              <w:spacing w:after="0"/>
              <w:rPr>
                <w:sz w:val="16"/>
                <w:szCs w:val="16"/>
                <w:color w:val="auto"/>
              </w:rPr>
            </w:pPr>
          </w:p>
        </w:tc>
        <w:tc>
          <w:tcPr>
            <w:tcW w:w="910" w:type="dxa"/>
            <w:vAlign w:val="bottom"/>
            <w:tcBorders>
              <w:top w:val="single" w:sz="8" w:color="004054"/>
            </w:tcBorders>
            <w:shd w:val="clear" w:color="auto" w:fill="004054"/>
          </w:tcPr>
          <w:p>
            <w:pPr>
              <w:spacing w:after="0"/>
              <w:rPr>
                <w:sz w:val="16"/>
                <w:szCs w:val="16"/>
                <w:color w:val="auto"/>
              </w:rPr>
            </w:pPr>
          </w:p>
        </w:tc>
        <w:tc>
          <w:tcPr>
            <w:tcW w:w="1450" w:type="dxa"/>
            <w:vAlign w:val="bottom"/>
            <w:tcBorders>
              <w:top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Non-Equity</w:t>
            </w:r>
          </w:p>
        </w:tc>
        <w:tc>
          <w:tcPr>
            <w:tcW w:w="1330" w:type="dxa"/>
            <w:vAlign w:val="bottom"/>
            <w:tcBorders>
              <w:top w:val="single" w:sz="8" w:color="004054"/>
              <w:right w:val="single" w:sz="8" w:color="006880"/>
            </w:tcBorders>
            <w:shd w:val="clear" w:color="auto" w:fill="004054"/>
          </w:tcPr>
          <w:p>
            <w:pPr>
              <w:spacing w:after="0"/>
              <w:rPr>
                <w:sz w:val="16"/>
                <w:szCs w:val="16"/>
                <w:color w:val="auto"/>
              </w:rPr>
            </w:pPr>
          </w:p>
        </w:tc>
        <w:tc>
          <w:tcPr>
            <w:tcW w:w="1380" w:type="dxa"/>
            <w:vAlign w:val="bottom"/>
            <w:tcBorders>
              <w:top w:val="single" w:sz="8" w:color="006880"/>
            </w:tcBorders>
            <w:shd w:val="clear" w:color="auto" w:fill="006880"/>
          </w:tcPr>
          <w:p>
            <w:pPr>
              <w:spacing w:after="0"/>
              <w:rPr>
                <w:sz w:val="16"/>
                <w:szCs w:val="16"/>
                <w:color w:val="auto"/>
              </w:rPr>
            </w:pPr>
          </w:p>
        </w:tc>
      </w:tr>
      <w:tr>
        <w:trPr>
          <w:trHeight w:val="162"/>
        </w:trPr>
        <w:tc>
          <w:tcPr>
            <w:tcW w:w="3770" w:type="dxa"/>
            <w:vAlign w:val="bottom"/>
            <w:shd w:val="clear" w:color="auto" w:fill="004054"/>
          </w:tcPr>
          <w:p>
            <w:pPr>
              <w:spacing w:after="0"/>
              <w:rPr>
                <w:sz w:val="14"/>
                <w:szCs w:val="14"/>
                <w:color w:val="auto"/>
              </w:rPr>
            </w:pPr>
          </w:p>
        </w:tc>
        <w:tc>
          <w:tcPr>
            <w:tcW w:w="106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Stock</w:t>
            </w:r>
          </w:p>
        </w:tc>
        <w:tc>
          <w:tcPr>
            <w:tcW w:w="91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Option</w:t>
            </w:r>
          </w:p>
        </w:tc>
        <w:tc>
          <w:tcPr>
            <w:tcW w:w="145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Incentive Plan</w:t>
            </w:r>
          </w:p>
        </w:tc>
        <w:tc>
          <w:tcPr>
            <w:tcW w:w="1330" w:type="dxa"/>
            <w:vAlign w:val="bottom"/>
            <w:tcBorders>
              <w:right w:val="single" w:sz="8" w:color="006880"/>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All Other</w:t>
            </w:r>
          </w:p>
        </w:tc>
        <w:tc>
          <w:tcPr>
            <w:tcW w:w="1380" w:type="dxa"/>
            <w:vAlign w:val="bottom"/>
            <w:shd w:val="clear" w:color="auto" w:fill="006880"/>
          </w:tcPr>
          <w:p>
            <w:pPr>
              <w:spacing w:after="0"/>
              <w:rPr>
                <w:sz w:val="14"/>
                <w:szCs w:val="14"/>
                <w:color w:val="auto"/>
              </w:rPr>
            </w:pPr>
          </w:p>
        </w:tc>
      </w:tr>
      <w:tr>
        <w:trPr>
          <w:trHeight w:val="219"/>
        </w:trPr>
        <w:tc>
          <w:tcPr>
            <w:tcW w:w="377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Name and Principal Position</w:t>
            </w:r>
          </w:p>
        </w:tc>
        <w:tc>
          <w:tcPr>
            <w:tcW w:w="1060" w:type="dxa"/>
            <w:vAlign w:val="bottom"/>
            <w:tcBorders>
              <w:bottom w:val="single" w:sz="8" w:color="004054"/>
            </w:tcBorders>
            <w:shd w:val="clear" w:color="auto" w:fill="004054"/>
          </w:tcPr>
          <w:p>
            <w:pPr>
              <w:ind w:left="610"/>
              <w:spacing w:after="0"/>
              <w:rPr>
                <w:sz w:val="20"/>
                <w:szCs w:val="20"/>
                <w:color w:val="auto"/>
              </w:rPr>
            </w:pPr>
            <w:r>
              <w:rPr>
                <w:rFonts w:ascii="Arial" w:cs="Arial" w:eastAsia="Arial" w:hAnsi="Arial"/>
                <w:sz w:val="14"/>
                <w:szCs w:val="14"/>
                <w:b w:val="1"/>
                <w:bCs w:val="1"/>
                <w:color w:val="FFFFFF"/>
              </w:rPr>
              <w:t>Salary</w:t>
            </w:r>
          </w:p>
        </w:tc>
        <w:tc>
          <w:tcPr>
            <w:tcW w:w="13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Awards</w:t>
            </w:r>
          </w:p>
        </w:tc>
        <w:tc>
          <w:tcPr>
            <w:tcW w:w="91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Awards</w:t>
            </w:r>
          </w:p>
        </w:tc>
        <w:tc>
          <w:tcPr>
            <w:tcW w:w="145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Compensation</w:t>
            </w:r>
          </w:p>
        </w:tc>
        <w:tc>
          <w:tcPr>
            <w:tcW w:w="1330" w:type="dxa"/>
            <w:vAlign w:val="bottom"/>
            <w:tcBorders>
              <w:bottom w:val="single" w:sz="8" w:color="004054"/>
              <w:right w:val="single" w:sz="8" w:color="006880"/>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Compensation</w:t>
            </w:r>
          </w:p>
        </w:tc>
        <w:tc>
          <w:tcPr>
            <w:tcW w:w="1380" w:type="dxa"/>
            <w:vAlign w:val="bottom"/>
            <w:tcBorders>
              <w:bottom w:val="single" w:sz="8" w:color="006880"/>
            </w:tcBorders>
            <w:shd w:val="clear" w:color="auto" w:fill="006880"/>
          </w:tcPr>
          <w:p>
            <w:pPr>
              <w:ind w:left="1000"/>
              <w:spacing w:after="0"/>
              <w:rPr>
                <w:sz w:val="20"/>
                <w:szCs w:val="20"/>
                <w:color w:val="auto"/>
              </w:rPr>
            </w:pPr>
            <w:r>
              <w:rPr>
                <w:rFonts w:ascii="Arial" w:cs="Arial" w:eastAsia="Arial" w:hAnsi="Arial"/>
                <w:sz w:val="14"/>
                <w:szCs w:val="14"/>
                <w:b w:val="1"/>
                <w:bCs w:val="1"/>
                <w:color w:val="FFFFFF"/>
              </w:rPr>
              <w:t>Total</w:t>
            </w:r>
          </w:p>
        </w:tc>
      </w:tr>
      <w:tr>
        <w:trPr>
          <w:trHeight w:val="20"/>
        </w:trPr>
        <w:tc>
          <w:tcPr>
            <w:tcW w:w="3770" w:type="dxa"/>
            <w:vAlign w:val="bottom"/>
            <w:shd w:val="clear" w:color="auto" w:fill="004054"/>
          </w:tcPr>
          <w:p>
            <w:pPr>
              <w:spacing w:after="0" w:line="20" w:lineRule="exact"/>
              <w:rPr>
                <w:sz w:val="1"/>
                <w:szCs w:val="1"/>
                <w:color w:val="auto"/>
              </w:rPr>
            </w:pPr>
          </w:p>
        </w:tc>
        <w:tc>
          <w:tcPr>
            <w:tcW w:w="1060" w:type="dxa"/>
            <w:vAlign w:val="bottom"/>
            <w:shd w:val="clear" w:color="auto" w:fill="004054"/>
          </w:tcPr>
          <w:p>
            <w:pPr>
              <w:spacing w:after="0" w:line="20" w:lineRule="exact"/>
              <w:rPr>
                <w:sz w:val="1"/>
                <w:szCs w:val="1"/>
                <w:color w:val="auto"/>
              </w:rPr>
            </w:pPr>
          </w:p>
        </w:tc>
        <w:tc>
          <w:tcPr>
            <w:tcW w:w="1360" w:type="dxa"/>
            <w:vAlign w:val="bottom"/>
            <w:shd w:val="clear" w:color="auto" w:fill="004054"/>
          </w:tcPr>
          <w:p>
            <w:pPr>
              <w:spacing w:after="0" w:line="20" w:lineRule="exact"/>
              <w:rPr>
                <w:sz w:val="1"/>
                <w:szCs w:val="1"/>
                <w:color w:val="auto"/>
              </w:rPr>
            </w:pPr>
          </w:p>
        </w:tc>
        <w:tc>
          <w:tcPr>
            <w:tcW w:w="910" w:type="dxa"/>
            <w:vAlign w:val="bottom"/>
            <w:shd w:val="clear" w:color="auto" w:fill="004054"/>
          </w:tcPr>
          <w:p>
            <w:pPr>
              <w:spacing w:after="0" w:line="20" w:lineRule="exact"/>
              <w:rPr>
                <w:sz w:val="1"/>
                <w:szCs w:val="1"/>
                <w:color w:val="auto"/>
              </w:rPr>
            </w:pPr>
          </w:p>
        </w:tc>
        <w:tc>
          <w:tcPr>
            <w:tcW w:w="1450" w:type="dxa"/>
            <w:vAlign w:val="bottom"/>
            <w:shd w:val="clear" w:color="auto" w:fill="004054"/>
          </w:tcPr>
          <w:p>
            <w:pPr>
              <w:spacing w:after="0" w:line="20" w:lineRule="exact"/>
              <w:rPr>
                <w:sz w:val="1"/>
                <w:szCs w:val="1"/>
                <w:color w:val="auto"/>
              </w:rPr>
            </w:pPr>
          </w:p>
        </w:tc>
        <w:tc>
          <w:tcPr>
            <w:tcW w:w="1330" w:type="dxa"/>
            <w:vAlign w:val="bottom"/>
            <w:tcBorders>
              <w:right w:val="single" w:sz="8" w:color="004054"/>
            </w:tcBorders>
            <w:shd w:val="clear" w:color="auto" w:fill="00405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436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700" w:type="dxa"/>
            <w:vAlign w:val="bottom"/>
          </w:tcPr>
          <w:p>
            <w:pPr>
              <w:ind w:left="20"/>
              <w:spacing w:after="0"/>
              <w:rPr>
                <w:sz w:val="20"/>
                <w:szCs w:val="20"/>
                <w:color w:val="auto"/>
              </w:rPr>
            </w:pPr>
            <w:r>
              <w:rPr>
                <w:rFonts w:ascii="Arial" w:cs="Arial" w:eastAsia="Arial" w:hAnsi="Arial"/>
                <w:sz w:val="18"/>
                <w:szCs w:val="18"/>
                <w:b w:val="1"/>
                <w:bCs w:val="1"/>
                <w:color w:val="51555C"/>
              </w:rPr>
              <w:t>Michael P. Gianoni</w:t>
            </w:r>
          </w:p>
        </w:tc>
        <w:tc>
          <w:tcPr>
            <w:tcW w:w="1100" w:type="dxa"/>
            <w:vAlign w:val="bottom"/>
          </w:tcPr>
          <w:p>
            <w:pPr>
              <w:jc w:val="right"/>
              <w:spacing w:after="0"/>
              <w:rPr>
                <w:sz w:val="20"/>
                <w:szCs w:val="20"/>
                <w:color w:val="auto"/>
              </w:rPr>
            </w:pPr>
            <w:r>
              <w:rPr>
                <w:rFonts w:ascii="Arial" w:cs="Arial" w:eastAsia="Arial" w:hAnsi="Arial"/>
                <w:sz w:val="18"/>
                <w:szCs w:val="18"/>
                <w:color w:val="51555C"/>
              </w:rPr>
              <w:t>$  800,031</w:t>
            </w:r>
          </w:p>
        </w:tc>
        <w:tc>
          <w:tcPr>
            <w:tcW w:w="320" w:type="dxa"/>
            <w:vAlign w:val="bottom"/>
          </w:tcPr>
          <w:p>
            <w:pPr>
              <w:jc w:val="right"/>
              <w:ind w:right="90"/>
              <w:spacing w:after="0"/>
              <w:rPr>
                <w:sz w:val="20"/>
                <w:szCs w:val="20"/>
                <w:color w:val="auto"/>
              </w:rPr>
            </w:pPr>
            <w:r>
              <w:rPr>
                <w:rFonts w:ascii="Arial" w:cs="Arial" w:eastAsia="Arial" w:hAnsi="Arial"/>
                <w:sz w:val="18"/>
                <w:szCs w:val="18"/>
                <w:color w:val="51555C"/>
              </w:rPr>
              <w:t>$</w:t>
            </w:r>
          </w:p>
        </w:tc>
        <w:tc>
          <w:tcPr>
            <w:tcW w:w="1020" w:type="dxa"/>
            <w:vAlign w:val="bottom"/>
          </w:tcPr>
          <w:p>
            <w:pPr>
              <w:jc w:val="right"/>
              <w:spacing w:after="0"/>
              <w:rPr>
                <w:sz w:val="20"/>
                <w:szCs w:val="20"/>
                <w:color w:val="auto"/>
              </w:rPr>
            </w:pPr>
            <w:r>
              <w:rPr>
                <w:rFonts w:ascii="Arial" w:cs="Arial" w:eastAsia="Arial" w:hAnsi="Arial"/>
                <w:sz w:val="18"/>
                <w:szCs w:val="18"/>
                <w:color w:val="51555C"/>
              </w:rPr>
              <w:t>5,206,285</w:t>
            </w:r>
          </w:p>
        </w:tc>
        <w:tc>
          <w:tcPr>
            <w:tcW w:w="420" w:type="dxa"/>
            <w:vAlign w:val="bottom"/>
          </w:tcPr>
          <w:p>
            <w:pPr>
              <w:jc w:val="right"/>
              <w:ind w:right="170"/>
              <w:spacing w:after="0"/>
              <w:rPr>
                <w:sz w:val="20"/>
                <w:szCs w:val="20"/>
                <w:color w:val="auto"/>
              </w:rPr>
            </w:pPr>
            <w:r>
              <w:rPr>
                <w:rFonts w:ascii="Arial" w:cs="Arial" w:eastAsia="Arial" w:hAnsi="Arial"/>
                <w:sz w:val="18"/>
                <w:szCs w:val="18"/>
                <w:color w:val="51555C"/>
              </w:rPr>
              <w:t>$</w:t>
            </w:r>
          </w:p>
        </w:tc>
        <w:tc>
          <w:tcPr>
            <w:tcW w:w="1200" w:type="dxa"/>
            <w:vAlign w:val="bottom"/>
          </w:tcPr>
          <w:p>
            <w:pPr>
              <w:ind w:left="280"/>
              <w:spacing w:after="0"/>
              <w:rPr>
                <w:sz w:val="20"/>
                <w:szCs w:val="20"/>
                <w:color w:val="auto"/>
              </w:rPr>
            </w:pPr>
            <w:r>
              <w:rPr>
                <w:rFonts w:ascii="Arial" w:cs="Arial" w:eastAsia="Arial" w:hAnsi="Arial"/>
                <w:sz w:val="18"/>
                <w:szCs w:val="18"/>
                <w:color w:val="51555C"/>
              </w:rPr>
              <w:t>— $</w:t>
            </w:r>
          </w:p>
        </w:tc>
        <w:tc>
          <w:tcPr>
            <w:tcW w:w="1180" w:type="dxa"/>
            <w:vAlign w:val="bottom"/>
          </w:tcPr>
          <w:p>
            <w:pPr>
              <w:ind w:left="520"/>
              <w:spacing w:after="0"/>
              <w:rPr>
                <w:sz w:val="20"/>
                <w:szCs w:val="20"/>
                <w:color w:val="auto"/>
              </w:rPr>
            </w:pPr>
            <w:r>
              <w:rPr>
                <w:rFonts w:ascii="Arial" w:cs="Arial" w:eastAsia="Arial" w:hAnsi="Arial"/>
                <w:sz w:val="18"/>
                <w:szCs w:val="18"/>
                <w:color w:val="51555C"/>
              </w:rPr>
              <w:t>— $</w:t>
            </w:r>
          </w:p>
        </w:tc>
        <w:tc>
          <w:tcPr>
            <w:tcW w:w="900" w:type="dxa"/>
            <w:vAlign w:val="bottom"/>
          </w:tcPr>
          <w:p>
            <w:pPr>
              <w:jc w:val="right"/>
              <w:spacing w:after="0"/>
              <w:rPr>
                <w:sz w:val="20"/>
                <w:szCs w:val="20"/>
                <w:color w:val="auto"/>
              </w:rPr>
            </w:pPr>
            <w:r>
              <w:rPr>
                <w:rFonts w:ascii="Arial" w:cs="Arial" w:eastAsia="Arial" w:hAnsi="Arial"/>
                <w:sz w:val="18"/>
                <w:szCs w:val="18"/>
                <w:color w:val="51555C"/>
              </w:rPr>
              <w:t>15,934</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51555C"/>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51555C"/>
              </w:rPr>
              <w:t>6,022,250</w:t>
            </w:r>
          </w:p>
        </w:tc>
      </w:tr>
      <w:tr>
        <w:trPr>
          <w:trHeight w:val="162"/>
        </w:trPr>
        <w:tc>
          <w:tcPr>
            <w:tcW w:w="3700" w:type="dxa"/>
            <w:vAlign w:val="bottom"/>
          </w:tcPr>
          <w:p>
            <w:pPr>
              <w:ind w:left="20"/>
              <w:spacing w:after="0"/>
              <w:rPr>
                <w:sz w:val="20"/>
                <w:szCs w:val="20"/>
                <w:color w:val="auto"/>
              </w:rPr>
            </w:pPr>
            <w:r>
              <w:rPr>
                <w:rFonts w:ascii="Arial" w:cs="Arial" w:eastAsia="Arial" w:hAnsi="Arial"/>
                <w:sz w:val="14"/>
                <w:szCs w:val="14"/>
                <w:color w:val="51555C"/>
              </w:rPr>
              <w:t>Chief Executive Officer, President and Vice Chairman of</w:t>
            </w: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0"/>
        </w:trPr>
        <w:tc>
          <w:tcPr>
            <w:tcW w:w="3700" w:type="dxa"/>
            <w:vAlign w:val="bottom"/>
          </w:tcPr>
          <w:p>
            <w:pPr>
              <w:ind w:left="20"/>
              <w:spacing w:after="0"/>
              <w:rPr>
                <w:sz w:val="20"/>
                <w:szCs w:val="20"/>
                <w:color w:val="auto"/>
              </w:rPr>
            </w:pPr>
            <w:r>
              <w:rPr>
                <w:rFonts w:ascii="Arial" w:cs="Arial" w:eastAsia="Arial" w:hAnsi="Arial"/>
                <w:sz w:val="14"/>
                <w:szCs w:val="14"/>
                <w:color w:val="51555C"/>
              </w:rPr>
              <w:t>the Board</w:t>
            </w: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23"/>
        </w:trPr>
        <w:tc>
          <w:tcPr>
            <w:tcW w:w="3700" w:type="dxa"/>
            <w:vAlign w:val="bottom"/>
          </w:tcPr>
          <w:p>
            <w:pPr>
              <w:ind w:left="20"/>
              <w:spacing w:after="0"/>
              <w:rPr>
                <w:sz w:val="20"/>
                <w:szCs w:val="20"/>
                <w:color w:val="auto"/>
              </w:rPr>
            </w:pPr>
            <w:r>
              <w:rPr>
                <w:rFonts w:ascii="Arial" w:cs="Arial" w:eastAsia="Arial" w:hAnsi="Arial"/>
                <w:sz w:val="18"/>
                <w:szCs w:val="18"/>
                <w:b w:val="1"/>
                <w:bCs w:val="1"/>
                <w:color w:val="51555C"/>
              </w:rPr>
              <w:t>Chad M. Anderson</w:t>
            </w:r>
            <w:r>
              <w:rPr>
                <w:rFonts w:ascii="Arial" w:cs="Arial" w:eastAsia="Arial" w:hAnsi="Arial"/>
                <w:sz w:val="23"/>
                <w:szCs w:val="23"/>
                <w:b w:val="1"/>
                <w:bCs w:val="1"/>
                <w:color w:val="51555C"/>
                <w:vertAlign w:val="superscript"/>
              </w:rPr>
              <w:t>(1)</w:t>
            </w:r>
          </w:p>
        </w:tc>
        <w:tc>
          <w:tcPr>
            <w:tcW w:w="1100" w:type="dxa"/>
            <w:vAlign w:val="bottom"/>
          </w:tcPr>
          <w:p>
            <w:pPr>
              <w:jc w:val="right"/>
              <w:spacing w:after="0"/>
              <w:rPr>
                <w:sz w:val="20"/>
                <w:szCs w:val="20"/>
                <w:color w:val="auto"/>
              </w:rPr>
            </w:pPr>
            <w:r>
              <w:rPr>
                <w:rFonts w:ascii="Arial" w:cs="Arial" w:eastAsia="Arial" w:hAnsi="Arial"/>
                <w:sz w:val="18"/>
                <w:szCs w:val="18"/>
                <w:color w:val="51555C"/>
              </w:rPr>
              <w:t>400,016</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1,917,084</w:t>
            </w:r>
          </w:p>
        </w:tc>
        <w:tc>
          <w:tcPr>
            <w:tcW w:w="420" w:type="dxa"/>
            <w:vAlign w:val="bottom"/>
          </w:tcPr>
          <w:p>
            <w:pPr>
              <w:spacing w:after="0"/>
              <w:rPr>
                <w:sz w:val="24"/>
                <w:szCs w:val="24"/>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51555C"/>
              </w:rPr>
              <w:t>—</w:t>
            </w:r>
          </w:p>
        </w:tc>
        <w:tc>
          <w:tcPr>
            <w:tcW w:w="1180" w:type="dxa"/>
            <w:vAlign w:val="bottom"/>
          </w:tcPr>
          <w:p>
            <w:pPr>
              <w:ind w:left="520"/>
              <w:spacing w:after="0"/>
              <w:rPr>
                <w:sz w:val="20"/>
                <w:szCs w:val="20"/>
                <w:color w:val="auto"/>
              </w:rPr>
            </w:pPr>
            <w:r>
              <w:rPr>
                <w:rFonts w:ascii="Arial" w:cs="Arial" w:eastAsia="Arial" w:hAnsi="Arial"/>
                <w:sz w:val="18"/>
                <w:szCs w:val="18"/>
                <w:color w:val="51555C"/>
              </w:rPr>
              <w:t>—</w:t>
            </w:r>
          </w:p>
        </w:tc>
        <w:tc>
          <w:tcPr>
            <w:tcW w:w="900" w:type="dxa"/>
            <w:vAlign w:val="bottom"/>
          </w:tcPr>
          <w:p>
            <w:pPr>
              <w:jc w:val="right"/>
              <w:spacing w:after="0"/>
              <w:rPr>
                <w:sz w:val="20"/>
                <w:szCs w:val="20"/>
                <w:color w:val="auto"/>
              </w:rPr>
            </w:pPr>
            <w:r>
              <w:rPr>
                <w:rFonts w:ascii="Arial" w:cs="Arial" w:eastAsia="Arial" w:hAnsi="Arial"/>
                <w:sz w:val="18"/>
                <w:szCs w:val="18"/>
                <w:color w:val="51555C"/>
              </w:rPr>
              <w:t>16,439</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51555C"/>
              </w:rPr>
              <w:t>2,333,538</w:t>
            </w:r>
          </w:p>
        </w:tc>
      </w:tr>
      <w:tr>
        <w:trPr>
          <w:trHeight w:val="190"/>
        </w:trPr>
        <w:tc>
          <w:tcPr>
            <w:tcW w:w="3700" w:type="dxa"/>
            <w:vAlign w:val="bottom"/>
          </w:tcPr>
          <w:p>
            <w:pPr>
              <w:ind w:left="20"/>
              <w:spacing w:after="0"/>
              <w:rPr>
                <w:sz w:val="20"/>
                <w:szCs w:val="20"/>
                <w:color w:val="auto"/>
              </w:rPr>
            </w:pPr>
            <w:r>
              <w:rPr>
                <w:rFonts w:ascii="Arial" w:cs="Arial" w:eastAsia="Arial" w:hAnsi="Arial"/>
                <w:sz w:val="14"/>
                <w:szCs w:val="14"/>
                <w:color w:val="51555C"/>
              </w:rPr>
              <w:t>Executive Vice President and Chief Financial Officer</w:t>
            </w: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
        </w:trPr>
        <w:tc>
          <w:tcPr>
            <w:tcW w:w="3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88"/>
        </w:trPr>
        <w:tc>
          <w:tcPr>
            <w:tcW w:w="370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Anthony W. Boor</w:t>
            </w:r>
            <w:r>
              <w:rPr>
                <w:rFonts w:ascii="Arial" w:cs="Arial" w:eastAsia="Arial" w:hAnsi="Arial"/>
                <w:sz w:val="23"/>
                <w:szCs w:val="23"/>
                <w:b w:val="1"/>
                <w:bCs w:val="1"/>
                <w:color w:val="51555C"/>
                <w:vertAlign w:val="superscript"/>
              </w:rPr>
              <w:t>(2)</w:t>
            </w:r>
          </w:p>
        </w:tc>
        <w:tc>
          <w:tcPr>
            <w:tcW w:w="110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518,598</w:t>
            </w:r>
          </w:p>
        </w:tc>
        <w:tc>
          <w:tcPr>
            <w:tcW w:w="320" w:type="dxa"/>
            <w:vAlign w:val="bottom"/>
            <w:shd w:val="clear" w:color="auto" w:fill="EBFBFF"/>
          </w:tcPr>
          <w:p>
            <w:pPr>
              <w:spacing w:after="0"/>
              <w:rPr>
                <w:sz w:val="24"/>
                <w:szCs w:val="24"/>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3,039,538</w:t>
            </w:r>
          </w:p>
        </w:tc>
        <w:tc>
          <w:tcPr>
            <w:tcW w:w="420" w:type="dxa"/>
            <w:vAlign w:val="bottom"/>
            <w:shd w:val="clear" w:color="auto" w:fill="EBFBFF"/>
          </w:tcPr>
          <w:p>
            <w:pPr>
              <w:spacing w:after="0"/>
              <w:rPr>
                <w:sz w:val="24"/>
                <w:szCs w:val="24"/>
                <w:color w:val="auto"/>
              </w:rPr>
            </w:pPr>
          </w:p>
        </w:tc>
        <w:tc>
          <w:tcPr>
            <w:tcW w:w="1200" w:type="dxa"/>
            <w:vAlign w:val="bottom"/>
            <w:shd w:val="clear" w:color="auto" w:fill="EBFBFF"/>
          </w:tcPr>
          <w:p>
            <w:pPr>
              <w:ind w:left="280"/>
              <w:spacing w:after="0"/>
              <w:rPr>
                <w:sz w:val="20"/>
                <w:szCs w:val="20"/>
                <w:color w:val="auto"/>
              </w:rPr>
            </w:pPr>
            <w:r>
              <w:rPr>
                <w:rFonts w:ascii="Arial" w:cs="Arial" w:eastAsia="Arial" w:hAnsi="Arial"/>
                <w:sz w:val="18"/>
                <w:szCs w:val="18"/>
                <w:color w:val="51555C"/>
              </w:rPr>
              <w:t>—</w:t>
            </w:r>
          </w:p>
        </w:tc>
        <w:tc>
          <w:tcPr>
            <w:tcW w:w="1180" w:type="dxa"/>
            <w:vAlign w:val="bottom"/>
            <w:shd w:val="clear" w:color="auto" w:fill="EBFBFF"/>
          </w:tcPr>
          <w:p>
            <w:pPr>
              <w:ind w:left="520"/>
              <w:spacing w:after="0"/>
              <w:rPr>
                <w:sz w:val="20"/>
                <w:szCs w:val="20"/>
                <w:color w:val="auto"/>
              </w:rPr>
            </w:pPr>
            <w:r>
              <w:rPr>
                <w:rFonts w:ascii="Arial" w:cs="Arial" w:eastAsia="Arial" w:hAnsi="Arial"/>
                <w:sz w:val="18"/>
                <w:szCs w:val="18"/>
                <w:color w:val="51555C"/>
              </w:rPr>
              <w:t>—</w:t>
            </w:r>
          </w:p>
        </w:tc>
        <w:tc>
          <w:tcPr>
            <w:tcW w:w="90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18,499</w:t>
            </w:r>
          </w:p>
        </w:tc>
        <w:tc>
          <w:tcPr>
            <w:tcW w:w="340" w:type="dxa"/>
            <w:vAlign w:val="bottom"/>
            <w:shd w:val="clear" w:color="auto" w:fill="EBFBFF"/>
          </w:tcPr>
          <w:p>
            <w:pPr>
              <w:spacing w:after="0"/>
              <w:rPr>
                <w:sz w:val="24"/>
                <w:szCs w:val="24"/>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8"/>
                <w:szCs w:val="18"/>
                <w:b w:val="1"/>
                <w:bCs w:val="1"/>
                <w:color w:val="51555C"/>
              </w:rPr>
              <w:t>3,576,635</w:t>
            </w:r>
          </w:p>
        </w:tc>
      </w:tr>
      <w:tr>
        <w:trPr>
          <w:trHeight w:val="162"/>
        </w:trPr>
        <w:tc>
          <w:tcPr>
            <w:tcW w:w="370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Executive Vice President of Corporate Development and</w:t>
            </w:r>
          </w:p>
        </w:tc>
        <w:tc>
          <w:tcPr>
            <w:tcW w:w="1100" w:type="dxa"/>
            <w:vAlign w:val="bottom"/>
            <w:shd w:val="clear" w:color="auto" w:fill="EBFBFF"/>
          </w:tcPr>
          <w:p>
            <w:pPr>
              <w:spacing w:after="0"/>
              <w:rPr>
                <w:sz w:val="14"/>
                <w:szCs w:val="14"/>
                <w:color w:val="auto"/>
              </w:rPr>
            </w:pPr>
          </w:p>
        </w:tc>
        <w:tc>
          <w:tcPr>
            <w:tcW w:w="320" w:type="dxa"/>
            <w:vAlign w:val="bottom"/>
            <w:shd w:val="clear" w:color="auto" w:fill="EBFBFF"/>
          </w:tcPr>
          <w:p>
            <w:pPr>
              <w:spacing w:after="0"/>
              <w:rPr>
                <w:sz w:val="14"/>
                <w:szCs w:val="14"/>
                <w:color w:val="auto"/>
              </w:rPr>
            </w:pPr>
          </w:p>
        </w:tc>
        <w:tc>
          <w:tcPr>
            <w:tcW w:w="1020" w:type="dxa"/>
            <w:vAlign w:val="bottom"/>
            <w:shd w:val="clear" w:color="auto" w:fill="EBFBFF"/>
          </w:tcPr>
          <w:p>
            <w:pPr>
              <w:spacing w:after="0"/>
              <w:rPr>
                <w:sz w:val="14"/>
                <w:szCs w:val="14"/>
                <w:color w:val="auto"/>
              </w:rPr>
            </w:pPr>
          </w:p>
        </w:tc>
        <w:tc>
          <w:tcPr>
            <w:tcW w:w="420" w:type="dxa"/>
            <w:vAlign w:val="bottom"/>
            <w:shd w:val="clear" w:color="auto" w:fill="EBFBFF"/>
          </w:tcPr>
          <w:p>
            <w:pPr>
              <w:spacing w:after="0"/>
              <w:rPr>
                <w:sz w:val="14"/>
                <w:szCs w:val="14"/>
                <w:color w:val="auto"/>
              </w:rPr>
            </w:pPr>
          </w:p>
        </w:tc>
        <w:tc>
          <w:tcPr>
            <w:tcW w:w="1200" w:type="dxa"/>
            <w:vAlign w:val="bottom"/>
            <w:shd w:val="clear" w:color="auto" w:fill="EBFBFF"/>
          </w:tcPr>
          <w:p>
            <w:pPr>
              <w:spacing w:after="0"/>
              <w:rPr>
                <w:sz w:val="14"/>
                <w:szCs w:val="14"/>
                <w:color w:val="auto"/>
              </w:rPr>
            </w:pPr>
          </w:p>
        </w:tc>
        <w:tc>
          <w:tcPr>
            <w:tcW w:w="1180" w:type="dxa"/>
            <w:vAlign w:val="bottom"/>
            <w:shd w:val="clear" w:color="auto" w:fill="EBFBFF"/>
          </w:tcPr>
          <w:p>
            <w:pPr>
              <w:spacing w:after="0"/>
              <w:rPr>
                <w:sz w:val="14"/>
                <w:szCs w:val="14"/>
                <w:color w:val="auto"/>
              </w:rPr>
            </w:pPr>
          </w:p>
        </w:tc>
        <w:tc>
          <w:tcPr>
            <w:tcW w:w="900" w:type="dxa"/>
            <w:vAlign w:val="bottom"/>
            <w:shd w:val="clear" w:color="auto" w:fill="EBFBFF"/>
          </w:tcPr>
          <w:p>
            <w:pPr>
              <w:spacing w:after="0"/>
              <w:rPr>
                <w:sz w:val="14"/>
                <w:szCs w:val="14"/>
                <w:color w:val="auto"/>
              </w:rPr>
            </w:pPr>
          </w:p>
        </w:tc>
        <w:tc>
          <w:tcPr>
            <w:tcW w:w="340" w:type="dxa"/>
            <w:vAlign w:val="bottom"/>
            <w:shd w:val="clear" w:color="auto" w:fill="EBFBFF"/>
          </w:tcPr>
          <w:p>
            <w:pPr>
              <w:spacing w:after="0"/>
              <w:rPr>
                <w:sz w:val="14"/>
                <w:szCs w:val="14"/>
                <w:color w:val="auto"/>
              </w:rPr>
            </w:pPr>
          </w:p>
        </w:tc>
        <w:tc>
          <w:tcPr>
            <w:tcW w:w="1060" w:type="dxa"/>
            <w:vAlign w:val="bottom"/>
            <w:shd w:val="clear" w:color="auto" w:fill="EBFBFF"/>
          </w:tcPr>
          <w:p>
            <w:pPr>
              <w:spacing w:after="0"/>
              <w:rPr>
                <w:sz w:val="14"/>
                <w:szCs w:val="14"/>
                <w:color w:val="auto"/>
              </w:rPr>
            </w:pPr>
          </w:p>
        </w:tc>
      </w:tr>
      <w:tr>
        <w:trPr>
          <w:trHeight w:val="205"/>
        </w:trPr>
        <w:tc>
          <w:tcPr>
            <w:tcW w:w="37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Strategy</w:t>
            </w:r>
          </w:p>
        </w:tc>
        <w:tc>
          <w:tcPr>
            <w:tcW w:w="1100" w:type="dxa"/>
            <w:vAlign w:val="bottom"/>
            <w:tcBorders>
              <w:bottom w:val="single" w:sz="8" w:color="EBFBFF"/>
            </w:tcBorders>
            <w:shd w:val="clear" w:color="auto" w:fill="EBFBFF"/>
          </w:tcPr>
          <w:p>
            <w:pPr>
              <w:spacing w:after="0"/>
              <w:rPr>
                <w:sz w:val="17"/>
                <w:szCs w:val="17"/>
                <w:color w:val="auto"/>
              </w:rPr>
            </w:pPr>
          </w:p>
        </w:tc>
        <w:tc>
          <w:tcPr>
            <w:tcW w:w="320" w:type="dxa"/>
            <w:vAlign w:val="bottom"/>
            <w:tcBorders>
              <w:bottom w:val="single" w:sz="8" w:color="EBFBFF"/>
            </w:tcBorders>
            <w:shd w:val="clear" w:color="auto" w:fill="EBFBFF"/>
          </w:tcPr>
          <w:p>
            <w:pPr>
              <w:spacing w:after="0"/>
              <w:rPr>
                <w:sz w:val="17"/>
                <w:szCs w:val="17"/>
                <w:color w:val="auto"/>
              </w:rPr>
            </w:pPr>
          </w:p>
        </w:tc>
        <w:tc>
          <w:tcPr>
            <w:tcW w:w="1020" w:type="dxa"/>
            <w:vAlign w:val="bottom"/>
            <w:tcBorders>
              <w:bottom w:val="single" w:sz="8" w:color="EBFBFF"/>
            </w:tcBorders>
            <w:shd w:val="clear" w:color="auto" w:fill="EBFBFF"/>
          </w:tcPr>
          <w:p>
            <w:pPr>
              <w:spacing w:after="0"/>
              <w:rPr>
                <w:sz w:val="17"/>
                <w:szCs w:val="17"/>
                <w:color w:val="auto"/>
              </w:rPr>
            </w:pPr>
          </w:p>
        </w:tc>
        <w:tc>
          <w:tcPr>
            <w:tcW w:w="420" w:type="dxa"/>
            <w:vAlign w:val="bottom"/>
            <w:tcBorders>
              <w:bottom w:val="single" w:sz="8" w:color="EBFBFF"/>
            </w:tcBorders>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180" w:type="dxa"/>
            <w:vAlign w:val="bottom"/>
            <w:tcBorders>
              <w:bottom w:val="single" w:sz="8" w:color="EBFBFF"/>
            </w:tcBorders>
            <w:shd w:val="clear" w:color="auto" w:fill="EBFBFF"/>
          </w:tcPr>
          <w:p>
            <w:pPr>
              <w:spacing w:after="0"/>
              <w:rPr>
                <w:sz w:val="17"/>
                <w:szCs w:val="17"/>
                <w:color w:val="auto"/>
              </w:rPr>
            </w:pPr>
          </w:p>
        </w:tc>
        <w:tc>
          <w:tcPr>
            <w:tcW w:w="900" w:type="dxa"/>
            <w:vAlign w:val="bottom"/>
            <w:tcBorders>
              <w:bottom w:val="single" w:sz="8" w:color="EBFBFF"/>
            </w:tcBorders>
            <w:shd w:val="clear" w:color="auto" w:fill="EBFBFF"/>
          </w:tcPr>
          <w:p>
            <w:pPr>
              <w:spacing w:after="0"/>
              <w:rPr>
                <w:sz w:val="17"/>
                <w:szCs w:val="17"/>
                <w:color w:val="auto"/>
              </w:rPr>
            </w:pPr>
          </w:p>
        </w:tc>
        <w:tc>
          <w:tcPr>
            <w:tcW w:w="340" w:type="dxa"/>
            <w:vAlign w:val="bottom"/>
            <w:tcBorders>
              <w:bottom w:val="single" w:sz="8" w:color="EBFBFF"/>
            </w:tcBorders>
            <w:shd w:val="clear" w:color="auto" w:fill="EBFBFF"/>
          </w:tcPr>
          <w:p>
            <w:pPr>
              <w:spacing w:after="0"/>
              <w:rPr>
                <w:sz w:val="17"/>
                <w:szCs w:val="17"/>
                <w:color w:val="auto"/>
              </w:rPr>
            </w:pPr>
          </w:p>
        </w:tc>
        <w:tc>
          <w:tcPr>
            <w:tcW w:w="1060" w:type="dxa"/>
            <w:vAlign w:val="bottom"/>
            <w:tcBorders>
              <w:bottom w:val="single" w:sz="8" w:color="EBFBFF"/>
            </w:tcBorders>
            <w:shd w:val="clear" w:color="auto" w:fill="EBFBFF"/>
          </w:tcPr>
          <w:p>
            <w:pPr>
              <w:spacing w:after="0"/>
              <w:rPr>
                <w:sz w:val="17"/>
                <w:szCs w:val="17"/>
                <w:color w:val="auto"/>
              </w:rPr>
            </w:pPr>
          </w:p>
        </w:tc>
      </w:tr>
      <w:tr>
        <w:trPr>
          <w:trHeight w:val="288"/>
        </w:trPr>
        <w:tc>
          <w:tcPr>
            <w:tcW w:w="3700" w:type="dxa"/>
            <w:vAlign w:val="bottom"/>
          </w:tcPr>
          <w:p>
            <w:pPr>
              <w:ind w:left="20"/>
              <w:spacing w:after="0"/>
              <w:rPr>
                <w:sz w:val="20"/>
                <w:szCs w:val="20"/>
                <w:color w:val="auto"/>
              </w:rPr>
            </w:pPr>
            <w:r>
              <w:rPr>
                <w:rFonts w:ascii="Arial" w:cs="Arial" w:eastAsia="Arial" w:hAnsi="Arial"/>
                <w:sz w:val="18"/>
                <w:szCs w:val="18"/>
                <w:b w:val="1"/>
                <w:bCs w:val="1"/>
                <w:color w:val="51555C"/>
              </w:rPr>
              <w:t>David J. Benjamin</w:t>
            </w:r>
          </w:p>
        </w:tc>
        <w:tc>
          <w:tcPr>
            <w:tcW w:w="1100" w:type="dxa"/>
            <w:vAlign w:val="bottom"/>
          </w:tcPr>
          <w:p>
            <w:pPr>
              <w:jc w:val="right"/>
              <w:spacing w:after="0"/>
              <w:rPr>
                <w:sz w:val="20"/>
                <w:szCs w:val="20"/>
                <w:color w:val="auto"/>
              </w:rPr>
            </w:pPr>
            <w:r>
              <w:rPr>
                <w:rFonts w:ascii="Arial" w:cs="Arial" w:eastAsia="Arial" w:hAnsi="Arial"/>
                <w:sz w:val="18"/>
                <w:szCs w:val="18"/>
                <w:color w:val="51555C"/>
              </w:rPr>
              <w:t>464,018</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2,644,379</w:t>
            </w:r>
          </w:p>
        </w:tc>
        <w:tc>
          <w:tcPr>
            <w:tcW w:w="420" w:type="dxa"/>
            <w:vAlign w:val="bottom"/>
          </w:tcPr>
          <w:p>
            <w:pPr>
              <w:spacing w:after="0"/>
              <w:rPr>
                <w:sz w:val="24"/>
                <w:szCs w:val="24"/>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51555C"/>
              </w:rPr>
              <w:t>—</w:t>
            </w:r>
          </w:p>
        </w:tc>
        <w:tc>
          <w:tcPr>
            <w:tcW w:w="1180" w:type="dxa"/>
            <w:vAlign w:val="bottom"/>
          </w:tcPr>
          <w:p>
            <w:pPr>
              <w:ind w:left="520"/>
              <w:spacing w:after="0"/>
              <w:rPr>
                <w:sz w:val="20"/>
                <w:szCs w:val="20"/>
                <w:color w:val="auto"/>
              </w:rPr>
            </w:pPr>
            <w:r>
              <w:rPr>
                <w:rFonts w:ascii="Arial" w:cs="Arial" w:eastAsia="Arial" w:hAnsi="Arial"/>
                <w:sz w:val="18"/>
                <w:szCs w:val="18"/>
                <w:color w:val="51555C"/>
              </w:rPr>
              <w:t>—</w:t>
            </w:r>
          </w:p>
        </w:tc>
        <w:tc>
          <w:tcPr>
            <w:tcW w:w="900" w:type="dxa"/>
            <w:vAlign w:val="bottom"/>
          </w:tcPr>
          <w:p>
            <w:pPr>
              <w:jc w:val="right"/>
              <w:spacing w:after="0"/>
              <w:rPr>
                <w:sz w:val="20"/>
                <w:szCs w:val="20"/>
                <w:color w:val="auto"/>
              </w:rPr>
            </w:pPr>
            <w:r>
              <w:rPr>
                <w:rFonts w:ascii="Arial" w:cs="Arial" w:eastAsia="Arial" w:hAnsi="Arial"/>
                <w:sz w:val="18"/>
                <w:szCs w:val="18"/>
                <w:color w:val="51555C"/>
              </w:rPr>
              <w:t>19,223</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51555C"/>
              </w:rPr>
              <w:t>3,127,620</w:t>
            </w:r>
          </w:p>
        </w:tc>
      </w:tr>
      <w:tr>
        <w:trPr>
          <w:trHeight w:val="190"/>
        </w:trPr>
        <w:tc>
          <w:tcPr>
            <w:tcW w:w="3700" w:type="dxa"/>
            <w:vAlign w:val="bottom"/>
          </w:tcPr>
          <w:p>
            <w:pPr>
              <w:ind w:left="20"/>
              <w:spacing w:after="0"/>
              <w:rPr>
                <w:sz w:val="20"/>
                <w:szCs w:val="20"/>
                <w:color w:val="auto"/>
              </w:rPr>
            </w:pPr>
            <w:r>
              <w:rPr>
                <w:rFonts w:ascii="Arial" w:cs="Arial" w:eastAsia="Arial" w:hAnsi="Arial"/>
                <w:sz w:val="14"/>
                <w:szCs w:val="14"/>
                <w:color w:val="51555C"/>
              </w:rPr>
              <w:t>Executive Vice President and Chief Commercial Officer</w:t>
            </w: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
        </w:trPr>
        <w:tc>
          <w:tcPr>
            <w:tcW w:w="3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88"/>
        </w:trPr>
        <w:tc>
          <w:tcPr>
            <w:tcW w:w="370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Kevin P. Gregoire</w:t>
            </w:r>
          </w:p>
        </w:tc>
        <w:tc>
          <w:tcPr>
            <w:tcW w:w="110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490,019</w:t>
            </w:r>
          </w:p>
        </w:tc>
        <w:tc>
          <w:tcPr>
            <w:tcW w:w="320" w:type="dxa"/>
            <w:vAlign w:val="bottom"/>
            <w:shd w:val="clear" w:color="auto" w:fill="EBFBFF"/>
          </w:tcPr>
          <w:p>
            <w:pPr>
              <w:spacing w:after="0"/>
              <w:rPr>
                <w:sz w:val="24"/>
                <w:szCs w:val="24"/>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3,242,976</w:t>
            </w:r>
          </w:p>
        </w:tc>
        <w:tc>
          <w:tcPr>
            <w:tcW w:w="420" w:type="dxa"/>
            <w:vAlign w:val="bottom"/>
            <w:shd w:val="clear" w:color="auto" w:fill="EBFBFF"/>
          </w:tcPr>
          <w:p>
            <w:pPr>
              <w:spacing w:after="0"/>
              <w:rPr>
                <w:sz w:val="24"/>
                <w:szCs w:val="24"/>
                <w:color w:val="auto"/>
              </w:rPr>
            </w:pPr>
          </w:p>
        </w:tc>
        <w:tc>
          <w:tcPr>
            <w:tcW w:w="1200" w:type="dxa"/>
            <w:vAlign w:val="bottom"/>
            <w:shd w:val="clear" w:color="auto" w:fill="EBFBFF"/>
          </w:tcPr>
          <w:p>
            <w:pPr>
              <w:ind w:left="280"/>
              <w:spacing w:after="0"/>
              <w:rPr>
                <w:sz w:val="20"/>
                <w:szCs w:val="20"/>
                <w:color w:val="auto"/>
              </w:rPr>
            </w:pPr>
            <w:r>
              <w:rPr>
                <w:rFonts w:ascii="Arial" w:cs="Arial" w:eastAsia="Arial" w:hAnsi="Arial"/>
                <w:sz w:val="18"/>
                <w:szCs w:val="18"/>
                <w:color w:val="51555C"/>
              </w:rPr>
              <w:t>—</w:t>
            </w:r>
          </w:p>
        </w:tc>
        <w:tc>
          <w:tcPr>
            <w:tcW w:w="1180" w:type="dxa"/>
            <w:vAlign w:val="bottom"/>
            <w:shd w:val="clear" w:color="auto" w:fill="EBFBFF"/>
          </w:tcPr>
          <w:p>
            <w:pPr>
              <w:ind w:left="520"/>
              <w:spacing w:after="0"/>
              <w:rPr>
                <w:sz w:val="20"/>
                <w:szCs w:val="20"/>
                <w:color w:val="auto"/>
              </w:rPr>
            </w:pPr>
            <w:r>
              <w:rPr>
                <w:rFonts w:ascii="Arial" w:cs="Arial" w:eastAsia="Arial" w:hAnsi="Arial"/>
                <w:sz w:val="18"/>
                <w:szCs w:val="18"/>
                <w:color w:val="51555C"/>
              </w:rPr>
              <w:t>—</w:t>
            </w:r>
          </w:p>
        </w:tc>
        <w:tc>
          <w:tcPr>
            <w:tcW w:w="90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17,673</w:t>
            </w:r>
          </w:p>
        </w:tc>
        <w:tc>
          <w:tcPr>
            <w:tcW w:w="340" w:type="dxa"/>
            <w:vAlign w:val="bottom"/>
            <w:shd w:val="clear" w:color="auto" w:fill="EBFBFF"/>
          </w:tcPr>
          <w:p>
            <w:pPr>
              <w:spacing w:after="0"/>
              <w:rPr>
                <w:sz w:val="24"/>
                <w:szCs w:val="24"/>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8"/>
                <w:szCs w:val="18"/>
                <w:b w:val="1"/>
                <w:bCs w:val="1"/>
                <w:color w:val="51555C"/>
              </w:rPr>
              <w:t>3,750,668</w:t>
            </w:r>
          </w:p>
        </w:tc>
      </w:tr>
      <w:tr>
        <w:trPr>
          <w:trHeight w:val="192"/>
        </w:trPr>
        <w:tc>
          <w:tcPr>
            <w:tcW w:w="37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Executive Vice President and Chief Operating Officer</w:t>
            </w:r>
          </w:p>
        </w:tc>
        <w:tc>
          <w:tcPr>
            <w:tcW w:w="1100" w:type="dxa"/>
            <w:vAlign w:val="bottom"/>
            <w:tcBorders>
              <w:bottom w:val="single" w:sz="8" w:color="EBFBFF"/>
            </w:tcBorders>
            <w:shd w:val="clear" w:color="auto" w:fill="EBFBFF"/>
          </w:tcPr>
          <w:p>
            <w:pPr>
              <w:spacing w:after="0"/>
              <w:rPr>
                <w:sz w:val="16"/>
                <w:szCs w:val="16"/>
                <w:color w:val="auto"/>
              </w:rPr>
            </w:pPr>
          </w:p>
        </w:tc>
        <w:tc>
          <w:tcPr>
            <w:tcW w:w="320" w:type="dxa"/>
            <w:vAlign w:val="bottom"/>
            <w:tcBorders>
              <w:bottom w:val="single" w:sz="8" w:color="EBFBFF"/>
            </w:tcBorders>
            <w:shd w:val="clear" w:color="auto" w:fill="EBFBFF"/>
          </w:tcPr>
          <w:p>
            <w:pPr>
              <w:spacing w:after="0"/>
              <w:rPr>
                <w:sz w:val="16"/>
                <w:szCs w:val="16"/>
                <w:color w:val="auto"/>
              </w:rPr>
            </w:pPr>
          </w:p>
        </w:tc>
        <w:tc>
          <w:tcPr>
            <w:tcW w:w="1020" w:type="dxa"/>
            <w:vAlign w:val="bottom"/>
            <w:tcBorders>
              <w:bottom w:val="single" w:sz="8" w:color="EBFBFF"/>
            </w:tcBorders>
            <w:shd w:val="clear" w:color="auto" w:fill="EBFBFF"/>
          </w:tcPr>
          <w:p>
            <w:pPr>
              <w:spacing w:after="0"/>
              <w:rPr>
                <w:sz w:val="16"/>
                <w:szCs w:val="16"/>
                <w:color w:val="auto"/>
              </w:rPr>
            </w:pPr>
          </w:p>
        </w:tc>
        <w:tc>
          <w:tcPr>
            <w:tcW w:w="420" w:type="dxa"/>
            <w:vAlign w:val="bottom"/>
            <w:tcBorders>
              <w:bottom w:val="single" w:sz="8" w:color="EBFBFF"/>
            </w:tcBorders>
            <w:shd w:val="clear" w:color="auto" w:fill="EBFBFF"/>
          </w:tcPr>
          <w:p>
            <w:pPr>
              <w:spacing w:after="0"/>
              <w:rPr>
                <w:sz w:val="16"/>
                <w:szCs w:val="16"/>
                <w:color w:val="auto"/>
              </w:rPr>
            </w:pPr>
          </w:p>
        </w:tc>
        <w:tc>
          <w:tcPr>
            <w:tcW w:w="1200" w:type="dxa"/>
            <w:vAlign w:val="bottom"/>
            <w:tcBorders>
              <w:bottom w:val="single" w:sz="8" w:color="EBFBFF"/>
            </w:tcBorders>
            <w:shd w:val="clear" w:color="auto" w:fill="EBFBFF"/>
          </w:tcPr>
          <w:p>
            <w:pPr>
              <w:spacing w:after="0"/>
              <w:rPr>
                <w:sz w:val="16"/>
                <w:szCs w:val="16"/>
                <w:color w:val="auto"/>
              </w:rPr>
            </w:pPr>
          </w:p>
        </w:tc>
        <w:tc>
          <w:tcPr>
            <w:tcW w:w="1180" w:type="dxa"/>
            <w:vAlign w:val="bottom"/>
            <w:tcBorders>
              <w:bottom w:val="single" w:sz="8" w:color="EBFBFF"/>
            </w:tcBorders>
            <w:shd w:val="clear" w:color="auto" w:fill="EBFBFF"/>
          </w:tcPr>
          <w:p>
            <w:pPr>
              <w:spacing w:after="0"/>
              <w:rPr>
                <w:sz w:val="16"/>
                <w:szCs w:val="16"/>
                <w:color w:val="auto"/>
              </w:rPr>
            </w:pPr>
          </w:p>
        </w:tc>
        <w:tc>
          <w:tcPr>
            <w:tcW w:w="900" w:type="dxa"/>
            <w:vAlign w:val="bottom"/>
            <w:tcBorders>
              <w:bottom w:val="single" w:sz="8" w:color="EBFBFF"/>
            </w:tcBorders>
            <w:shd w:val="clear" w:color="auto" w:fill="EBFBFF"/>
          </w:tcPr>
          <w:p>
            <w:pPr>
              <w:spacing w:after="0"/>
              <w:rPr>
                <w:sz w:val="16"/>
                <w:szCs w:val="16"/>
                <w:color w:val="auto"/>
              </w:rPr>
            </w:pPr>
          </w:p>
        </w:tc>
        <w:tc>
          <w:tcPr>
            <w:tcW w:w="340" w:type="dxa"/>
            <w:vAlign w:val="bottom"/>
            <w:tcBorders>
              <w:bottom w:val="single" w:sz="8" w:color="EBFBFF"/>
            </w:tcBorders>
            <w:shd w:val="clear" w:color="auto" w:fill="EBFBFF"/>
          </w:tcPr>
          <w:p>
            <w:pPr>
              <w:spacing w:after="0"/>
              <w:rPr>
                <w:sz w:val="16"/>
                <w:szCs w:val="16"/>
                <w:color w:val="auto"/>
              </w:rPr>
            </w:pPr>
          </w:p>
        </w:tc>
        <w:tc>
          <w:tcPr>
            <w:tcW w:w="1060" w:type="dxa"/>
            <w:vAlign w:val="bottom"/>
            <w:tcBorders>
              <w:bottom w:val="single" w:sz="8" w:color="EBFBFF"/>
            </w:tcBorders>
            <w:shd w:val="clear" w:color="auto" w:fill="EBFBFF"/>
          </w:tcPr>
          <w:p>
            <w:pPr>
              <w:spacing w:after="0"/>
              <w:rPr>
                <w:sz w:val="16"/>
                <w:szCs w:val="16"/>
                <w:color w:val="auto"/>
              </w:rPr>
            </w:pPr>
          </w:p>
        </w:tc>
      </w:tr>
      <w:tr>
        <w:trPr>
          <w:trHeight w:val="288"/>
        </w:trPr>
        <w:tc>
          <w:tcPr>
            <w:tcW w:w="3700" w:type="dxa"/>
            <w:vAlign w:val="bottom"/>
          </w:tcPr>
          <w:p>
            <w:pPr>
              <w:ind w:left="20"/>
              <w:spacing w:after="0"/>
              <w:rPr>
                <w:sz w:val="20"/>
                <w:szCs w:val="20"/>
                <w:color w:val="auto"/>
              </w:rPr>
            </w:pPr>
            <w:r>
              <w:rPr>
                <w:rFonts w:ascii="Arial" w:cs="Arial" w:eastAsia="Arial" w:hAnsi="Arial"/>
                <w:sz w:val="18"/>
                <w:szCs w:val="18"/>
                <w:b w:val="1"/>
                <w:bCs w:val="1"/>
                <w:color w:val="51555C"/>
              </w:rPr>
              <w:t>Kevin R. McDearis</w:t>
            </w:r>
          </w:p>
        </w:tc>
        <w:tc>
          <w:tcPr>
            <w:tcW w:w="1100" w:type="dxa"/>
            <w:vAlign w:val="bottom"/>
          </w:tcPr>
          <w:p>
            <w:pPr>
              <w:jc w:val="right"/>
              <w:spacing w:after="0"/>
              <w:rPr>
                <w:sz w:val="20"/>
                <w:szCs w:val="20"/>
                <w:color w:val="auto"/>
              </w:rPr>
            </w:pPr>
            <w:r>
              <w:rPr>
                <w:rFonts w:ascii="Arial" w:cs="Arial" w:eastAsia="Arial" w:hAnsi="Arial"/>
                <w:sz w:val="18"/>
                <w:szCs w:val="18"/>
                <w:color w:val="51555C"/>
              </w:rPr>
              <w:t>475,018</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2,473,412</w:t>
            </w:r>
          </w:p>
        </w:tc>
        <w:tc>
          <w:tcPr>
            <w:tcW w:w="420" w:type="dxa"/>
            <w:vAlign w:val="bottom"/>
          </w:tcPr>
          <w:p>
            <w:pPr>
              <w:spacing w:after="0"/>
              <w:rPr>
                <w:sz w:val="24"/>
                <w:szCs w:val="24"/>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51555C"/>
              </w:rPr>
              <w:t>—</w:t>
            </w:r>
          </w:p>
        </w:tc>
        <w:tc>
          <w:tcPr>
            <w:tcW w:w="1180" w:type="dxa"/>
            <w:vAlign w:val="bottom"/>
          </w:tcPr>
          <w:p>
            <w:pPr>
              <w:ind w:left="520"/>
              <w:spacing w:after="0"/>
              <w:rPr>
                <w:sz w:val="20"/>
                <w:szCs w:val="20"/>
                <w:color w:val="auto"/>
              </w:rPr>
            </w:pPr>
            <w:r>
              <w:rPr>
                <w:rFonts w:ascii="Arial" w:cs="Arial" w:eastAsia="Arial" w:hAnsi="Arial"/>
                <w:sz w:val="18"/>
                <w:szCs w:val="18"/>
                <w:color w:val="51555C"/>
              </w:rPr>
              <w:t>—</w:t>
            </w:r>
          </w:p>
        </w:tc>
        <w:tc>
          <w:tcPr>
            <w:tcW w:w="900" w:type="dxa"/>
            <w:vAlign w:val="bottom"/>
          </w:tcPr>
          <w:p>
            <w:pPr>
              <w:jc w:val="right"/>
              <w:spacing w:after="0"/>
              <w:rPr>
                <w:sz w:val="20"/>
                <w:szCs w:val="20"/>
                <w:color w:val="auto"/>
              </w:rPr>
            </w:pPr>
            <w:r>
              <w:rPr>
                <w:rFonts w:ascii="Arial" w:cs="Arial" w:eastAsia="Arial" w:hAnsi="Arial"/>
                <w:sz w:val="18"/>
                <w:szCs w:val="18"/>
                <w:color w:val="51555C"/>
              </w:rPr>
              <w:t>14,624</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51555C"/>
              </w:rPr>
              <w:t>2,963,054</w:t>
            </w:r>
          </w:p>
        </w:tc>
      </w:tr>
      <w:tr>
        <w:trPr>
          <w:trHeight w:val="190"/>
        </w:trPr>
        <w:tc>
          <w:tcPr>
            <w:tcW w:w="3700" w:type="dxa"/>
            <w:vAlign w:val="bottom"/>
          </w:tcPr>
          <w:p>
            <w:pPr>
              <w:ind w:left="20"/>
              <w:spacing w:after="0"/>
              <w:rPr>
                <w:sz w:val="20"/>
                <w:szCs w:val="20"/>
                <w:color w:val="auto"/>
              </w:rPr>
            </w:pPr>
            <w:r>
              <w:rPr>
                <w:rFonts w:ascii="Arial" w:cs="Arial" w:eastAsia="Arial" w:hAnsi="Arial"/>
                <w:sz w:val="14"/>
                <w:szCs w:val="14"/>
                <w:color w:val="51555C"/>
              </w:rPr>
              <w:t>Executive Vice President and Chief Technology Officer</w:t>
            </w: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
        </w:trPr>
        <w:tc>
          <w:tcPr>
            <w:tcW w:w="3700" w:type="dxa"/>
            <w:vAlign w:val="bottom"/>
            <w:tcBorders>
              <w:bottom w:val="single" w:sz="8" w:color="0CD973"/>
            </w:tcBorders>
          </w:tcPr>
          <w:p>
            <w:pPr>
              <w:spacing w:after="0" w:line="20" w:lineRule="exact"/>
              <w:rPr>
                <w:sz w:val="1"/>
                <w:szCs w:val="1"/>
                <w:color w:val="auto"/>
              </w:rPr>
            </w:pPr>
          </w:p>
        </w:tc>
        <w:tc>
          <w:tcPr>
            <w:tcW w:w="1100" w:type="dxa"/>
            <w:vAlign w:val="bottom"/>
            <w:tcBorders>
              <w:bottom w:val="single" w:sz="8" w:color="0CD973"/>
            </w:tcBorders>
          </w:tcPr>
          <w:p>
            <w:pPr>
              <w:spacing w:after="0" w:line="20" w:lineRule="exact"/>
              <w:rPr>
                <w:sz w:val="1"/>
                <w:szCs w:val="1"/>
                <w:color w:val="auto"/>
              </w:rPr>
            </w:pPr>
          </w:p>
        </w:tc>
        <w:tc>
          <w:tcPr>
            <w:tcW w:w="320" w:type="dxa"/>
            <w:vAlign w:val="bottom"/>
            <w:tcBorders>
              <w:bottom w:val="single" w:sz="8" w:color="0CD973"/>
            </w:tcBorders>
          </w:tcPr>
          <w:p>
            <w:pPr>
              <w:spacing w:after="0" w:line="20" w:lineRule="exact"/>
              <w:rPr>
                <w:sz w:val="1"/>
                <w:szCs w:val="1"/>
                <w:color w:val="auto"/>
              </w:rPr>
            </w:pPr>
          </w:p>
        </w:tc>
        <w:tc>
          <w:tcPr>
            <w:tcW w:w="1020" w:type="dxa"/>
            <w:vAlign w:val="bottom"/>
            <w:tcBorders>
              <w:bottom w:val="single" w:sz="8" w:color="0CD973"/>
            </w:tcBorders>
          </w:tcPr>
          <w:p>
            <w:pPr>
              <w:spacing w:after="0" w:line="20" w:lineRule="exact"/>
              <w:rPr>
                <w:sz w:val="1"/>
                <w:szCs w:val="1"/>
                <w:color w:val="auto"/>
              </w:rPr>
            </w:pPr>
          </w:p>
        </w:tc>
        <w:tc>
          <w:tcPr>
            <w:tcW w:w="420" w:type="dxa"/>
            <w:vAlign w:val="bottom"/>
            <w:tcBorders>
              <w:bottom w:val="single" w:sz="8" w:color="0CD973"/>
            </w:tcBorders>
          </w:tcPr>
          <w:p>
            <w:pPr>
              <w:spacing w:after="0" w:line="20" w:lineRule="exact"/>
              <w:rPr>
                <w:sz w:val="1"/>
                <w:szCs w:val="1"/>
                <w:color w:val="auto"/>
              </w:rPr>
            </w:pPr>
          </w:p>
        </w:tc>
        <w:tc>
          <w:tcPr>
            <w:tcW w:w="1200" w:type="dxa"/>
            <w:vAlign w:val="bottom"/>
            <w:tcBorders>
              <w:bottom w:val="single" w:sz="8" w:color="0CD973"/>
            </w:tcBorders>
          </w:tcPr>
          <w:p>
            <w:pPr>
              <w:spacing w:after="0" w:line="20" w:lineRule="exact"/>
              <w:rPr>
                <w:sz w:val="1"/>
                <w:szCs w:val="1"/>
                <w:color w:val="auto"/>
              </w:rPr>
            </w:pPr>
          </w:p>
        </w:tc>
        <w:tc>
          <w:tcPr>
            <w:tcW w:w="1180" w:type="dxa"/>
            <w:vAlign w:val="bottom"/>
            <w:tcBorders>
              <w:bottom w:val="single" w:sz="8" w:color="0CD973"/>
            </w:tcBorders>
          </w:tcPr>
          <w:p>
            <w:pPr>
              <w:spacing w:after="0" w:line="20" w:lineRule="exact"/>
              <w:rPr>
                <w:sz w:val="1"/>
                <w:szCs w:val="1"/>
                <w:color w:val="auto"/>
              </w:rPr>
            </w:pPr>
          </w:p>
        </w:tc>
        <w:tc>
          <w:tcPr>
            <w:tcW w:w="900" w:type="dxa"/>
            <w:vAlign w:val="bottom"/>
            <w:tcBorders>
              <w:bottom w:val="single" w:sz="8" w:color="0CD973"/>
            </w:tcBorders>
          </w:tcPr>
          <w:p>
            <w:pPr>
              <w:spacing w:after="0" w:line="20" w:lineRule="exact"/>
              <w:rPr>
                <w:sz w:val="1"/>
                <w:szCs w:val="1"/>
                <w:color w:val="auto"/>
              </w:rPr>
            </w:pPr>
          </w:p>
        </w:tc>
        <w:tc>
          <w:tcPr>
            <w:tcW w:w="340" w:type="dxa"/>
            <w:vAlign w:val="bottom"/>
            <w:tcBorders>
              <w:bottom w:val="single" w:sz="8" w:color="0CD973"/>
            </w:tcBorders>
          </w:tcPr>
          <w:p>
            <w:pPr>
              <w:spacing w:after="0" w:line="20" w:lineRule="exact"/>
              <w:rPr>
                <w:sz w:val="1"/>
                <w:szCs w:val="1"/>
                <w:color w:val="auto"/>
              </w:rPr>
            </w:pPr>
          </w:p>
        </w:tc>
        <w:tc>
          <w:tcPr>
            <w:tcW w:w="1060" w:type="dxa"/>
            <w:vAlign w:val="bottom"/>
            <w:tcBorders>
              <w:bottom w:val="single" w:sz="8" w:color="0CD973"/>
            </w:tcBorders>
          </w:tcPr>
          <w:p>
            <w:pPr>
              <w:spacing w:after="0" w:line="20" w:lineRule="exact"/>
              <w:rPr>
                <w:sz w:val="1"/>
                <w:szCs w:val="1"/>
                <w:color w:val="auto"/>
              </w:rPr>
            </w:pPr>
          </w:p>
        </w:tc>
      </w:tr>
    </w:tbl>
    <w:p>
      <w:pPr>
        <w:spacing w:after="0" w:line="72" w:lineRule="exact"/>
        <w:rPr>
          <w:sz w:val="20"/>
          <w:szCs w:val="20"/>
          <w:color w:val="auto"/>
        </w:rPr>
      </w:pPr>
    </w:p>
    <w:p>
      <w:pPr>
        <w:ind w:left="340" w:right="20" w:hanging="332"/>
        <w:spacing w:after="0" w:line="272" w:lineRule="auto"/>
        <w:tabs>
          <w:tab w:leader="none" w:pos="354" w:val="left"/>
        </w:tabs>
        <w:numPr>
          <w:ilvl w:val="0"/>
          <w:numId w:val="16"/>
        </w:numPr>
        <w:rPr>
          <w:rFonts w:ascii="Arial" w:cs="Arial" w:eastAsia="Arial" w:hAnsi="Arial"/>
          <w:sz w:val="14"/>
          <w:szCs w:val="14"/>
          <w:color w:val="51555C"/>
        </w:rPr>
      </w:pPr>
      <w:r>
        <w:rPr>
          <w:rFonts w:ascii="Arial" w:cs="Arial" w:eastAsia="Arial" w:hAnsi="Arial"/>
          <w:sz w:val="14"/>
          <w:szCs w:val="14"/>
          <w:color w:val="51555C"/>
        </w:rPr>
        <w:t>Mr. Anderson was promoted to Executive Vice President and Chief Financial Officer effective April 30, 2025. Prior to his promotion, Mr. Anderson served as our Senior Vice President and Chief Accounting Officer.</w:t>
      </w:r>
    </w:p>
    <w:p>
      <w:pPr>
        <w:ind w:left="340" w:right="20" w:hanging="332"/>
        <w:spacing w:after="0" w:line="262" w:lineRule="auto"/>
        <w:tabs>
          <w:tab w:leader="none" w:pos="354" w:val="left"/>
        </w:tabs>
        <w:numPr>
          <w:ilvl w:val="0"/>
          <w:numId w:val="16"/>
        </w:numPr>
        <w:rPr>
          <w:rFonts w:ascii="Arial" w:cs="Arial" w:eastAsia="Arial" w:hAnsi="Arial"/>
          <w:sz w:val="14"/>
          <w:szCs w:val="14"/>
          <w:color w:val="51555C"/>
        </w:rPr>
      </w:pPr>
      <w:r>
        <w:rPr>
          <w:rFonts w:ascii="Arial" w:cs="Arial" w:eastAsia="Arial" w:hAnsi="Arial"/>
          <w:sz w:val="14"/>
          <w:szCs w:val="14"/>
          <w:color w:val="51555C"/>
        </w:rPr>
        <w:t>Mr. Boor transitioned from Executive Vice President and Chief Financial Officer to Executive Vice President of Corporate Development and Strategy effective 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339725</wp:posOffset>
            </wp:positionV>
            <wp:extent cx="702945" cy="1117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2945" cy="11176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2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20" w:type="dxa"/>
            <w:vAlign w:val="bottom"/>
          </w:tcPr>
          <w:p>
            <w:pPr>
              <w:jc w:val="right"/>
              <w:ind w:right="88"/>
              <w:spacing w:after="0"/>
              <w:rPr>
                <w:sz w:val="20"/>
                <w:szCs w:val="20"/>
                <w:color w:val="auto"/>
              </w:rPr>
            </w:pPr>
            <w:r>
              <w:rPr>
                <w:rFonts w:ascii="Arial" w:cs="Arial" w:eastAsia="Arial" w:hAnsi="Arial"/>
                <w:sz w:val="14"/>
                <w:szCs w:val="14"/>
                <w:color w:val="51555C"/>
              </w:rPr>
              <w:t>9</w:t>
            </w:r>
          </w:p>
        </w:tc>
      </w:tr>
      <w:tr>
        <w:trPr>
          <w:trHeight w:val="285"/>
        </w:trPr>
        <w:tc>
          <w:tcPr>
            <w:tcW w:w="10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00" w:right="319" w:bottom="1440" w:gutter="0" w:footer="0" w:header="0"/>
        </w:sectPr>
      </w:pPr>
    </w:p>
    <w:bookmarkStart w:id="11" w:name="page12"/>
    <w:bookmarkEnd w:id="11"/>
    <w:p>
      <w:pPr>
        <w:ind w:left="10160"/>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661035</wp:posOffset>
            </wp:positionV>
            <wp:extent cx="2948940" cy="659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4894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65 FAIRCHILD STREET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CHARLESTON, SC 29492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51555C"/>
        </w:rPr>
        <w:t>April 21,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sz w:val="1"/>
          <w:szCs w:val="1"/>
          <w:color w:val="auto"/>
        </w:rPr>
        <w:drawing>
          <wp:inline distT="0" distB="0" distL="0" distR="0">
            <wp:extent cx="257175" cy="25717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Arial" w:cs="Arial" w:eastAsia="Arial" w:hAnsi="Arial"/>
          <w:sz w:val="40"/>
          <w:szCs w:val="40"/>
          <w:b w:val="1"/>
          <w:bCs w:val="1"/>
          <w:color w:val="50535A"/>
        </w:rPr>
        <w:t xml:space="preserve"> PROXY STATEMENT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The Board of Directors (the "Board" or "Board of Directors") of Blackbaud, Inc. (the "Company") is furnishing you this Proxy Statement to solicit proxies on its behalf to be voted at the 2026 Annual Meeting of Stockholders of Blackbaud, Inc. The meeting will be a live virtual meeting held via the Internet at https://www.virtualshareholdermeeting.com/BLKB2026 on Wednesday, June 10, 2026 at 4:00 p.m. Eastern Time. The proxies also may be voted at any adjournments or postponements of the meeting.</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We are first furnishing the proxy materials including the Notice of Annual Meeting of Stockholders, this Proxy Statement, our 2025 Annual Report to Stockholders, including financial statements, and a proxy card for the meeting, by providing access to them via the Internet on April 21, 2026. All properly completed proxies submitted by Internet or telephone and properly executed written proxies that are delivered pursuant to this solicitation will be voted at the meeting in accordance with the directions given in the proxy, unless the proxy is revoked prior to completion of voting at the meeting.</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Only owners of record and beneficial owners of common stock of the Company as of the close of business on the record date, April 13, 2026, are entitled to notice of, and to vote at, the meeting or at any adjournments or postponements of the meeting. Each owner of record and beneficial owner on the record date is entitled to one vote for each share of common stock held. Stockholders’ votes will be tabulated by persons appointed by the Board to act as inspectors of election for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93980</wp:posOffset>
            </wp:positionV>
            <wp:extent cx="7148830" cy="8483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830" cy="848360"/>
                    </a:xfrm>
                    <a:prstGeom prst="rect">
                      <a:avLst/>
                    </a:prstGeom>
                    <a:noFill/>
                  </pic:spPr>
                </pic:pic>
              </a:graphicData>
            </a:graphic>
          </wp:anchor>
        </w:drawing>
      </w:r>
    </w:p>
    <w:p>
      <w:pPr>
        <w:spacing w:after="0" w:line="264" w:lineRule="exact"/>
        <w:rPr>
          <w:sz w:val="20"/>
          <w:szCs w:val="20"/>
          <w:color w:val="auto"/>
        </w:rPr>
      </w:pPr>
    </w:p>
    <w:p>
      <w:pPr>
        <w:ind w:left="140" w:right="140"/>
        <w:spacing w:after="0" w:line="296" w:lineRule="auto"/>
        <w:rPr>
          <w:sz w:val="20"/>
          <w:szCs w:val="20"/>
          <w:color w:val="auto"/>
        </w:rPr>
      </w:pPr>
      <w:r>
        <w:rPr>
          <w:rFonts w:ascii="Arial" w:cs="Arial" w:eastAsia="Arial" w:hAnsi="Arial"/>
          <w:sz w:val="18"/>
          <w:szCs w:val="18"/>
          <w:b w:val="1"/>
          <w:bCs w:val="1"/>
          <w:color w:val="51555C"/>
        </w:rPr>
        <w:t>IMPORTANT NOTICE REGARDING THE AVAILABILITY OF PROXY MATERIALS FOR THE ANNUAL MEETING OF STOCKHOLDERS TO BE HELD ON JUNE 10, 2026.</w:t>
      </w:r>
    </w:p>
    <w:p>
      <w:pPr>
        <w:spacing w:after="0" w:line="124" w:lineRule="exact"/>
        <w:rPr>
          <w:sz w:val="20"/>
          <w:szCs w:val="20"/>
          <w:color w:val="auto"/>
        </w:rPr>
      </w:pPr>
    </w:p>
    <w:p>
      <w:pPr>
        <w:ind w:left="140" w:right="140"/>
        <w:spacing w:after="0" w:line="296" w:lineRule="auto"/>
        <w:rPr>
          <w:sz w:val="20"/>
          <w:szCs w:val="20"/>
          <w:color w:val="auto"/>
        </w:rPr>
      </w:pPr>
      <w:r>
        <w:rPr>
          <w:rFonts w:ascii="Arial" w:cs="Arial" w:eastAsia="Arial" w:hAnsi="Arial"/>
          <w:sz w:val="18"/>
          <w:szCs w:val="18"/>
          <w:color w:val="51555C"/>
        </w:rPr>
        <w:t xml:space="preserve">The Notice of Annual Meeting of Stockholders, Proxy Statement and 2025 Annual Report to Stockholders, including financial statements, are available at </w:t>
      </w:r>
      <w:r>
        <w:rPr>
          <w:rFonts w:ascii="Arial" w:cs="Arial" w:eastAsia="Arial" w:hAnsi="Arial"/>
          <w:sz w:val="18"/>
          <w:szCs w:val="18"/>
          <w:b w:val="1"/>
          <w:bCs w:val="1"/>
          <w:u w:val="single" w:color="auto"/>
          <w:color w:val="51555C"/>
        </w:rPr>
        <w:t>www.proxyvote.com</w:t>
      </w:r>
      <w:r>
        <w:rPr>
          <w:rFonts w:ascii="Arial" w:cs="Arial" w:eastAsia="Arial" w:hAnsi="Arial"/>
          <w:sz w:val="18"/>
          <w:szCs w:val="18"/>
          <w:b w:val="1"/>
          <w:bCs w:val="1"/>
          <w:color w:val="51555C"/>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10</w:t>
      </w:r>
      <w:r>
        <w:rPr>
          <w:sz w:val="20"/>
          <w:szCs w:val="20"/>
          <w:color w:val="auto"/>
        </w:rPr>
        <w:tab/>
      </w:r>
      <w:r>
        <w:rPr>
          <w:sz w:val="1"/>
          <w:szCs w:val="1"/>
          <w:color w:val="auto"/>
        </w:rPr>
        <w:drawing>
          <wp:inline distT="0" distB="0" distL="0" distR="0">
            <wp:extent cx="702945" cy="11112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sz w:val="1"/>
          <w:szCs w:val="1"/>
          <w:color w:val="auto"/>
        </w:rPr>
        <w:drawing>
          <wp:inline distT="0" distB="0" distL="0" distR="0">
            <wp:extent cx="257175" cy="25717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Arial" w:cs="Arial" w:eastAsia="Arial" w:hAnsi="Arial"/>
          <w:sz w:val="40"/>
          <w:szCs w:val="40"/>
          <w:b w:val="1"/>
          <w:bCs w:val="1"/>
          <w:color w:val="50535A"/>
        </w:rPr>
        <w:t xml:space="preserve"> GOVERNANCE</w:t>
      </w: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No Election of Directors at the 2026 Annual Meeting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The Board of Directors consists of seven members and is divided into three classes, the members of which each serve for a staggered three-year term. The term of office of one class of directors expires each year in rotation so that one class is elected at each annual meeting for a full three-year term. Rupal S. Hollenbeck, whose term will expire at the 2026 Annual Meeting, is not a nominee for election at the 2026 Annual Meeting. As a result, and because the terms of all remaining directors continue beyond the 2026 Annual Meeting, no directors are standing for election at the 2026 Annual Meeting of Stockholders.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The Board and its Nominating and Corporate Governance Committee view this outcome as transitional in nature. The Committee has commenced a director search process to identify qualified candidates for potential appointment to the Board, consistent with the Company’s Corporate Governance Guidelines and its ongoing commitment to Board refreshment, stockholder accountability and an appropriate mix of skills, experience and perspectives.</w:t>
      </w:r>
    </w:p>
    <w:p>
      <w:pPr>
        <w:spacing w:after="0" w:line="12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All continuing directors will remain in office for the remainder of their respective terms and until their successors are duly elected and qualified, or until their earlier resignation, retirement or removal in accordance with the Company’s governing documents and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212090</wp:posOffset>
            </wp:positionV>
            <wp:extent cx="702945" cy="1111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68"/>
              <w:spacing w:after="0"/>
              <w:rPr>
                <w:sz w:val="20"/>
                <w:szCs w:val="20"/>
                <w:color w:val="auto"/>
              </w:rPr>
            </w:pPr>
            <w:r>
              <w:rPr>
                <w:rFonts w:ascii="Arial" w:cs="Arial" w:eastAsia="Arial" w:hAnsi="Arial"/>
                <w:sz w:val="14"/>
                <w:szCs w:val="14"/>
                <w:color w:val="51555C"/>
              </w:rPr>
              <w:t>11</w:t>
            </w:r>
          </w:p>
        </w:tc>
      </w:tr>
      <w:tr>
        <w:trPr>
          <w:trHeight w:val="272"/>
        </w:trPr>
        <w:tc>
          <w:tcPr>
            <w:tcW w:w="1020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3" w:name="page14"/>
    <w:bookmarkEnd w:id="13"/>
    <w:p>
      <w:pPr>
        <w:ind w:left="1016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The Board has identified particular qualifications, attributes, skills and experience that are important to be represented on the Board as a whole in light of the Company's current business. The following table highlights the number of our directors who share certain categories of attributes and experiences that uniquely qualify them to serve on our Board.</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800" w:type="dxa"/>
            <w:vAlign w:val="bottom"/>
            <w:tcBorders>
              <w:left w:val="single" w:sz="8" w:color="004054"/>
              <w:right w:val="single" w:sz="8" w:color="004054"/>
            </w:tcBorders>
            <w:shd w:val="clear" w:color="auto" w:fill="004054"/>
          </w:tcPr>
          <w:p>
            <w:pPr>
              <w:spacing w:after="0"/>
              <w:rPr>
                <w:sz w:val="16"/>
                <w:szCs w:val="16"/>
                <w:color w:val="auto"/>
              </w:rPr>
            </w:pPr>
          </w:p>
        </w:tc>
        <w:tc>
          <w:tcPr>
            <w:tcW w:w="4020" w:type="dxa"/>
            <w:vAlign w:val="bottom"/>
            <w:tcBorders>
              <w:right w:val="single" w:sz="8" w:color="004054"/>
            </w:tcBorders>
            <w:vMerge w:val="restart"/>
            <w:shd w:val="clear" w:color="auto" w:fill="004054"/>
          </w:tcPr>
          <w:p>
            <w:pPr>
              <w:ind w:left="440"/>
              <w:spacing w:after="0"/>
              <w:rPr>
                <w:sz w:val="20"/>
                <w:szCs w:val="20"/>
                <w:color w:val="auto"/>
              </w:rPr>
            </w:pPr>
            <w:r>
              <w:rPr>
                <w:rFonts w:ascii="Arial" w:cs="Arial" w:eastAsia="Arial" w:hAnsi="Arial"/>
                <w:sz w:val="14"/>
                <w:szCs w:val="14"/>
                <w:b w:val="1"/>
                <w:bCs w:val="1"/>
                <w:color w:val="FFFFFF"/>
              </w:rPr>
              <w:t>Knowledge, Skills and Experience</w:t>
            </w:r>
          </w:p>
        </w:tc>
        <w:tc>
          <w:tcPr>
            <w:tcW w:w="920" w:type="dxa"/>
            <w:vAlign w:val="bottom"/>
            <w:tcBorders>
              <w:right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Deneen M.</w:t>
            </w:r>
          </w:p>
        </w:tc>
        <w:tc>
          <w:tcPr>
            <w:tcW w:w="920" w:type="dxa"/>
            <w:vAlign w:val="bottom"/>
            <w:tcBorders>
              <w:right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w w:val="99"/>
              </w:rPr>
              <w:t>Michael P.</w:t>
            </w:r>
          </w:p>
        </w:tc>
        <w:tc>
          <w:tcPr>
            <w:tcW w:w="920" w:type="dxa"/>
            <w:vAlign w:val="bottom"/>
            <w:tcBorders>
              <w:right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Rupal S.</w:t>
            </w:r>
          </w:p>
        </w:tc>
        <w:tc>
          <w:tcPr>
            <w:tcW w:w="920" w:type="dxa"/>
            <w:vAlign w:val="bottom"/>
            <w:tcBorders>
              <w:right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Andrew M.</w:t>
            </w:r>
          </w:p>
        </w:tc>
        <w:tc>
          <w:tcPr>
            <w:tcW w:w="920" w:type="dxa"/>
            <w:vAlign w:val="bottom"/>
            <w:tcBorders>
              <w:right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D. Roger</w:t>
            </w:r>
          </w:p>
        </w:tc>
        <w:tc>
          <w:tcPr>
            <w:tcW w:w="900" w:type="dxa"/>
            <w:vAlign w:val="bottom"/>
            <w:tcBorders>
              <w:right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Bradley L.</w:t>
            </w:r>
          </w:p>
        </w:tc>
        <w:tc>
          <w:tcPr>
            <w:tcW w:w="940" w:type="dxa"/>
            <w:vAlign w:val="bottom"/>
            <w:tcBorders>
              <w:right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w w:val="98"/>
              </w:rPr>
              <w:t>Kristian P.</w:t>
            </w:r>
          </w:p>
        </w:tc>
        <w:tc>
          <w:tcPr>
            <w:tcW w:w="0" w:type="dxa"/>
            <w:vAlign w:val="bottom"/>
          </w:tcPr>
          <w:p>
            <w:pPr>
              <w:spacing w:after="0"/>
              <w:rPr>
                <w:sz w:val="1"/>
                <w:szCs w:val="1"/>
                <w:color w:val="auto"/>
              </w:rPr>
            </w:pPr>
          </w:p>
        </w:tc>
      </w:tr>
      <w:tr>
        <w:trPr>
          <w:trHeight w:val="115"/>
        </w:trPr>
        <w:tc>
          <w:tcPr>
            <w:tcW w:w="800" w:type="dxa"/>
            <w:vAlign w:val="bottom"/>
            <w:tcBorders>
              <w:left w:val="single" w:sz="8" w:color="004054"/>
              <w:right w:val="single" w:sz="8" w:color="004054"/>
            </w:tcBorders>
            <w:shd w:val="clear" w:color="auto" w:fill="004054"/>
          </w:tcPr>
          <w:p>
            <w:pPr>
              <w:spacing w:after="0"/>
              <w:rPr>
                <w:sz w:val="10"/>
                <w:szCs w:val="10"/>
                <w:color w:val="auto"/>
              </w:rPr>
            </w:pPr>
          </w:p>
        </w:tc>
        <w:tc>
          <w:tcPr>
            <w:tcW w:w="4020" w:type="dxa"/>
            <w:vAlign w:val="bottom"/>
            <w:tcBorders>
              <w:right w:val="single" w:sz="8" w:color="004054"/>
            </w:tcBorders>
            <w:vMerge w:val="continue"/>
            <w:shd w:val="clear" w:color="auto" w:fill="004054"/>
          </w:tcPr>
          <w:p>
            <w:pPr>
              <w:spacing w:after="0"/>
              <w:rPr>
                <w:sz w:val="10"/>
                <w:szCs w:val="10"/>
                <w:color w:val="auto"/>
              </w:rPr>
            </w:pPr>
          </w:p>
        </w:tc>
        <w:tc>
          <w:tcPr>
            <w:tcW w:w="920" w:type="dxa"/>
            <w:vAlign w:val="bottom"/>
            <w:tcBorders>
              <w:right w:val="single" w:sz="8" w:color="004054"/>
            </w:tcBorders>
            <w:vMerge w:val="restart"/>
            <w:shd w:val="clear" w:color="auto" w:fill="004054"/>
          </w:tcPr>
          <w:p>
            <w:pPr>
              <w:jc w:val="center"/>
              <w:spacing w:after="0"/>
              <w:rPr>
                <w:sz w:val="20"/>
                <w:szCs w:val="20"/>
                <w:color w:val="auto"/>
              </w:rPr>
            </w:pPr>
            <w:r>
              <w:rPr>
                <w:rFonts w:ascii="Arial" w:cs="Arial" w:eastAsia="Arial" w:hAnsi="Arial"/>
                <w:sz w:val="14"/>
                <w:szCs w:val="14"/>
                <w:b w:val="1"/>
                <w:bCs w:val="1"/>
                <w:color w:val="FFFFFF"/>
              </w:rPr>
              <w:t>DeFiore</w:t>
            </w:r>
          </w:p>
        </w:tc>
        <w:tc>
          <w:tcPr>
            <w:tcW w:w="920" w:type="dxa"/>
            <w:vAlign w:val="bottom"/>
            <w:tcBorders>
              <w:right w:val="single" w:sz="8" w:color="004054"/>
            </w:tcBorders>
            <w:vMerge w:val="restart"/>
            <w:shd w:val="clear" w:color="auto" w:fill="004054"/>
          </w:tcPr>
          <w:p>
            <w:pPr>
              <w:jc w:val="center"/>
              <w:spacing w:after="0"/>
              <w:rPr>
                <w:sz w:val="20"/>
                <w:szCs w:val="20"/>
                <w:color w:val="auto"/>
              </w:rPr>
            </w:pPr>
            <w:r>
              <w:rPr>
                <w:rFonts w:ascii="Arial" w:cs="Arial" w:eastAsia="Arial" w:hAnsi="Arial"/>
                <w:sz w:val="14"/>
                <w:szCs w:val="14"/>
                <w:b w:val="1"/>
                <w:bCs w:val="1"/>
                <w:color w:val="FFFFFF"/>
              </w:rPr>
              <w:t>Gianoni</w:t>
            </w:r>
          </w:p>
        </w:tc>
        <w:tc>
          <w:tcPr>
            <w:tcW w:w="920" w:type="dxa"/>
            <w:vAlign w:val="bottom"/>
            <w:tcBorders>
              <w:right w:val="single" w:sz="8" w:color="004054"/>
            </w:tcBorders>
            <w:vMerge w:val="restart"/>
            <w:shd w:val="clear" w:color="auto" w:fill="004054"/>
          </w:tcPr>
          <w:p>
            <w:pPr>
              <w:jc w:val="center"/>
              <w:spacing w:after="0"/>
              <w:rPr>
                <w:sz w:val="20"/>
                <w:szCs w:val="20"/>
                <w:color w:val="auto"/>
              </w:rPr>
            </w:pPr>
            <w:r>
              <w:rPr>
                <w:rFonts w:ascii="Arial" w:cs="Arial" w:eastAsia="Arial" w:hAnsi="Arial"/>
                <w:sz w:val="14"/>
                <w:szCs w:val="14"/>
                <w:b w:val="1"/>
                <w:bCs w:val="1"/>
                <w:color w:val="FFFFFF"/>
              </w:rPr>
              <w:t>Hollenbeck</w:t>
            </w:r>
          </w:p>
        </w:tc>
        <w:tc>
          <w:tcPr>
            <w:tcW w:w="920" w:type="dxa"/>
            <w:vAlign w:val="bottom"/>
            <w:tcBorders>
              <w:right w:val="single" w:sz="8" w:color="004054"/>
            </w:tcBorders>
            <w:vMerge w:val="restart"/>
            <w:shd w:val="clear" w:color="auto" w:fill="004054"/>
          </w:tcPr>
          <w:p>
            <w:pPr>
              <w:jc w:val="center"/>
              <w:spacing w:after="0"/>
              <w:rPr>
                <w:sz w:val="20"/>
                <w:szCs w:val="20"/>
                <w:color w:val="auto"/>
              </w:rPr>
            </w:pPr>
            <w:r>
              <w:rPr>
                <w:rFonts w:ascii="Arial" w:cs="Arial" w:eastAsia="Arial" w:hAnsi="Arial"/>
                <w:sz w:val="14"/>
                <w:szCs w:val="14"/>
                <w:b w:val="1"/>
                <w:bCs w:val="1"/>
                <w:color w:val="FFFFFF"/>
              </w:rPr>
              <w:t>Leitch</w:t>
            </w:r>
          </w:p>
        </w:tc>
        <w:tc>
          <w:tcPr>
            <w:tcW w:w="920" w:type="dxa"/>
            <w:vAlign w:val="bottom"/>
            <w:tcBorders>
              <w:right w:val="single" w:sz="8" w:color="004054"/>
            </w:tcBorders>
            <w:vMerge w:val="restart"/>
            <w:shd w:val="clear" w:color="auto" w:fill="004054"/>
          </w:tcPr>
          <w:p>
            <w:pPr>
              <w:jc w:val="center"/>
              <w:spacing w:after="0"/>
              <w:rPr>
                <w:sz w:val="20"/>
                <w:szCs w:val="20"/>
                <w:color w:val="auto"/>
              </w:rPr>
            </w:pPr>
            <w:r>
              <w:rPr>
                <w:rFonts w:ascii="Arial" w:cs="Arial" w:eastAsia="Arial" w:hAnsi="Arial"/>
                <w:sz w:val="14"/>
                <w:szCs w:val="14"/>
                <w:b w:val="1"/>
                <w:bCs w:val="1"/>
                <w:color w:val="FFFFFF"/>
              </w:rPr>
              <w:t>Nanney</w:t>
            </w:r>
          </w:p>
        </w:tc>
        <w:tc>
          <w:tcPr>
            <w:tcW w:w="900" w:type="dxa"/>
            <w:vAlign w:val="bottom"/>
            <w:tcBorders>
              <w:right w:val="single" w:sz="8" w:color="004054"/>
            </w:tcBorders>
            <w:vMerge w:val="restart"/>
            <w:shd w:val="clear" w:color="auto" w:fill="004054"/>
          </w:tcPr>
          <w:p>
            <w:pPr>
              <w:jc w:val="center"/>
              <w:spacing w:after="0"/>
              <w:rPr>
                <w:sz w:val="20"/>
                <w:szCs w:val="20"/>
                <w:color w:val="auto"/>
              </w:rPr>
            </w:pPr>
            <w:r>
              <w:rPr>
                <w:rFonts w:ascii="Arial" w:cs="Arial" w:eastAsia="Arial" w:hAnsi="Arial"/>
                <w:sz w:val="14"/>
                <w:szCs w:val="14"/>
                <w:b w:val="1"/>
                <w:bCs w:val="1"/>
                <w:color w:val="FFFFFF"/>
              </w:rPr>
              <w:t>Pyburn</w:t>
            </w:r>
          </w:p>
        </w:tc>
        <w:tc>
          <w:tcPr>
            <w:tcW w:w="940" w:type="dxa"/>
            <w:vAlign w:val="bottom"/>
            <w:tcBorders>
              <w:right w:val="single" w:sz="8" w:color="004054"/>
            </w:tcBorders>
            <w:vMerge w:val="restart"/>
            <w:shd w:val="clear" w:color="auto" w:fill="004054"/>
          </w:tcPr>
          <w:p>
            <w:pPr>
              <w:jc w:val="center"/>
              <w:spacing w:after="0"/>
              <w:rPr>
                <w:sz w:val="20"/>
                <w:szCs w:val="20"/>
                <w:color w:val="auto"/>
              </w:rPr>
            </w:pPr>
            <w:r>
              <w:rPr>
                <w:rFonts w:ascii="Arial" w:cs="Arial" w:eastAsia="Arial" w:hAnsi="Arial"/>
                <w:sz w:val="14"/>
                <w:szCs w:val="14"/>
                <w:b w:val="1"/>
                <w:bCs w:val="1"/>
                <w:color w:val="FFFFFF"/>
                <w:w w:val="99"/>
              </w:rPr>
              <w:t>Talvitie</w:t>
            </w:r>
          </w:p>
        </w:tc>
        <w:tc>
          <w:tcPr>
            <w:tcW w:w="0" w:type="dxa"/>
            <w:vAlign w:val="bottom"/>
          </w:tcPr>
          <w:p>
            <w:pPr>
              <w:spacing w:after="0"/>
              <w:rPr>
                <w:sz w:val="1"/>
                <w:szCs w:val="1"/>
                <w:color w:val="auto"/>
              </w:rPr>
            </w:pPr>
          </w:p>
        </w:tc>
      </w:tr>
      <w:tr>
        <w:trPr>
          <w:trHeight w:val="103"/>
        </w:trPr>
        <w:tc>
          <w:tcPr>
            <w:tcW w:w="800" w:type="dxa"/>
            <w:vAlign w:val="bottom"/>
            <w:tcBorders>
              <w:left w:val="single" w:sz="8" w:color="004054"/>
              <w:bottom w:val="single" w:sz="8" w:color="004054"/>
              <w:right w:val="single" w:sz="8" w:color="004054"/>
            </w:tcBorders>
            <w:shd w:val="clear" w:color="auto" w:fill="004054"/>
          </w:tcPr>
          <w:p>
            <w:pPr>
              <w:spacing w:after="0"/>
              <w:rPr>
                <w:sz w:val="9"/>
                <w:szCs w:val="9"/>
                <w:color w:val="auto"/>
              </w:rPr>
            </w:pPr>
          </w:p>
        </w:tc>
        <w:tc>
          <w:tcPr>
            <w:tcW w:w="4020" w:type="dxa"/>
            <w:vAlign w:val="bottom"/>
            <w:tcBorders>
              <w:bottom w:val="single" w:sz="8" w:color="004054"/>
              <w:right w:val="single" w:sz="8" w:color="004054"/>
            </w:tcBorders>
            <w:shd w:val="clear" w:color="auto" w:fill="004054"/>
          </w:tcPr>
          <w:p>
            <w:pPr>
              <w:spacing w:after="0"/>
              <w:rPr>
                <w:sz w:val="9"/>
                <w:szCs w:val="9"/>
                <w:color w:val="auto"/>
              </w:rPr>
            </w:pPr>
          </w:p>
        </w:tc>
        <w:tc>
          <w:tcPr>
            <w:tcW w:w="920" w:type="dxa"/>
            <w:vAlign w:val="bottom"/>
            <w:tcBorders>
              <w:bottom w:val="single" w:sz="8" w:color="004054"/>
              <w:right w:val="single" w:sz="8" w:color="004054"/>
            </w:tcBorders>
            <w:vMerge w:val="continue"/>
            <w:shd w:val="clear" w:color="auto" w:fill="004054"/>
          </w:tcPr>
          <w:p>
            <w:pPr>
              <w:spacing w:after="0"/>
              <w:rPr>
                <w:sz w:val="9"/>
                <w:szCs w:val="9"/>
                <w:color w:val="auto"/>
              </w:rPr>
            </w:pPr>
          </w:p>
        </w:tc>
        <w:tc>
          <w:tcPr>
            <w:tcW w:w="920" w:type="dxa"/>
            <w:vAlign w:val="bottom"/>
            <w:tcBorders>
              <w:bottom w:val="single" w:sz="8" w:color="004054"/>
              <w:right w:val="single" w:sz="8" w:color="004054"/>
            </w:tcBorders>
            <w:vMerge w:val="continue"/>
            <w:shd w:val="clear" w:color="auto" w:fill="004054"/>
          </w:tcPr>
          <w:p>
            <w:pPr>
              <w:spacing w:after="0"/>
              <w:rPr>
                <w:sz w:val="9"/>
                <w:szCs w:val="9"/>
                <w:color w:val="auto"/>
              </w:rPr>
            </w:pPr>
          </w:p>
        </w:tc>
        <w:tc>
          <w:tcPr>
            <w:tcW w:w="920" w:type="dxa"/>
            <w:vAlign w:val="bottom"/>
            <w:tcBorders>
              <w:bottom w:val="single" w:sz="8" w:color="004054"/>
              <w:right w:val="single" w:sz="8" w:color="004054"/>
            </w:tcBorders>
            <w:vMerge w:val="continue"/>
            <w:shd w:val="clear" w:color="auto" w:fill="004054"/>
          </w:tcPr>
          <w:p>
            <w:pPr>
              <w:spacing w:after="0"/>
              <w:rPr>
                <w:sz w:val="9"/>
                <w:szCs w:val="9"/>
                <w:color w:val="auto"/>
              </w:rPr>
            </w:pPr>
          </w:p>
        </w:tc>
        <w:tc>
          <w:tcPr>
            <w:tcW w:w="920" w:type="dxa"/>
            <w:vAlign w:val="bottom"/>
            <w:tcBorders>
              <w:bottom w:val="single" w:sz="8" w:color="004054"/>
              <w:right w:val="single" w:sz="8" w:color="004054"/>
            </w:tcBorders>
            <w:vMerge w:val="continue"/>
            <w:shd w:val="clear" w:color="auto" w:fill="004054"/>
          </w:tcPr>
          <w:p>
            <w:pPr>
              <w:spacing w:after="0"/>
              <w:rPr>
                <w:sz w:val="9"/>
                <w:szCs w:val="9"/>
                <w:color w:val="auto"/>
              </w:rPr>
            </w:pPr>
          </w:p>
        </w:tc>
        <w:tc>
          <w:tcPr>
            <w:tcW w:w="920" w:type="dxa"/>
            <w:vAlign w:val="bottom"/>
            <w:tcBorders>
              <w:bottom w:val="single" w:sz="8" w:color="004054"/>
              <w:right w:val="single" w:sz="8" w:color="004054"/>
            </w:tcBorders>
            <w:vMerge w:val="continue"/>
            <w:shd w:val="clear" w:color="auto" w:fill="004054"/>
          </w:tcPr>
          <w:p>
            <w:pPr>
              <w:spacing w:after="0"/>
              <w:rPr>
                <w:sz w:val="9"/>
                <w:szCs w:val="9"/>
                <w:color w:val="auto"/>
              </w:rPr>
            </w:pPr>
          </w:p>
        </w:tc>
        <w:tc>
          <w:tcPr>
            <w:tcW w:w="900" w:type="dxa"/>
            <w:vAlign w:val="bottom"/>
            <w:tcBorders>
              <w:bottom w:val="single" w:sz="8" w:color="004054"/>
              <w:right w:val="single" w:sz="8" w:color="004054"/>
            </w:tcBorders>
            <w:vMerge w:val="continue"/>
            <w:shd w:val="clear" w:color="auto" w:fill="004054"/>
          </w:tcPr>
          <w:p>
            <w:pPr>
              <w:spacing w:after="0"/>
              <w:rPr>
                <w:sz w:val="9"/>
                <w:szCs w:val="9"/>
                <w:color w:val="auto"/>
              </w:rPr>
            </w:pPr>
          </w:p>
        </w:tc>
        <w:tc>
          <w:tcPr>
            <w:tcW w:w="940" w:type="dxa"/>
            <w:vAlign w:val="bottom"/>
            <w:tcBorders>
              <w:bottom w:val="single" w:sz="8" w:color="004054"/>
              <w:right w:val="single" w:sz="8" w:color="004054"/>
            </w:tcBorders>
            <w:vMerge w:val="continue"/>
            <w:shd w:val="clear" w:color="auto" w:fill="004054"/>
          </w:tcPr>
          <w:p>
            <w:pPr>
              <w:spacing w:after="0"/>
              <w:rPr>
                <w:sz w:val="9"/>
                <w:szCs w:val="9"/>
                <w:color w:val="auto"/>
              </w:rPr>
            </w:pPr>
          </w:p>
        </w:tc>
        <w:tc>
          <w:tcPr>
            <w:tcW w:w="0" w:type="dxa"/>
            <w:vAlign w:val="bottom"/>
          </w:tcPr>
          <w:p>
            <w:pPr>
              <w:spacing w:after="0"/>
              <w:rPr>
                <w:sz w:val="1"/>
                <w:szCs w:val="1"/>
                <w:color w:val="auto"/>
              </w:rPr>
            </w:pPr>
          </w:p>
        </w:tc>
      </w:tr>
      <w:tr>
        <w:trPr>
          <w:trHeight w:val="417"/>
        </w:trPr>
        <w:tc>
          <w:tcPr>
            <w:tcW w:w="800" w:type="dxa"/>
            <w:vAlign w:val="bottom"/>
            <w:tcBorders>
              <w:left w:val="single" w:sz="8" w:color="51555C"/>
              <w:right w:val="single" w:sz="8" w:color="51555C"/>
            </w:tcBorders>
            <w:shd w:val="clear" w:color="auto" w:fill="EBFBFF"/>
          </w:tcPr>
          <w:p>
            <w:pPr>
              <w:spacing w:after="0"/>
              <w:rPr>
                <w:sz w:val="24"/>
                <w:szCs w:val="24"/>
                <w:color w:val="auto"/>
              </w:rPr>
            </w:pPr>
          </w:p>
        </w:tc>
        <w:tc>
          <w:tcPr>
            <w:tcW w:w="4020" w:type="dxa"/>
            <w:vAlign w:val="bottom"/>
            <w:tcBorders>
              <w:right w:val="single" w:sz="8" w:color="51555C"/>
            </w:tcBorders>
            <w:shd w:val="clear" w:color="auto" w:fill="EBFBFF"/>
          </w:tcPr>
          <w:p>
            <w:pPr>
              <w:spacing w:after="0"/>
              <w:rPr>
                <w:sz w:val="20"/>
                <w:szCs w:val="20"/>
                <w:color w:val="auto"/>
              </w:rPr>
            </w:pPr>
            <w:r>
              <w:rPr>
                <w:rFonts w:ascii="Arial" w:cs="Arial" w:eastAsia="Arial" w:hAnsi="Arial"/>
                <w:sz w:val="18"/>
                <w:szCs w:val="18"/>
                <w:b w:val="1"/>
                <w:bCs w:val="1"/>
                <w:color w:val="51555C"/>
              </w:rPr>
              <w:t>Leadership</w:t>
            </w:r>
          </w:p>
        </w:tc>
        <w:tc>
          <w:tcPr>
            <w:tcW w:w="920" w:type="dxa"/>
            <w:vAlign w:val="bottom"/>
            <w:tcBorders>
              <w:right w:val="single" w:sz="8" w:color="51555C"/>
            </w:tcBorders>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w w:val="96"/>
              </w:rPr>
              <w:t>l</w:t>
            </w:r>
          </w:p>
        </w:tc>
        <w:tc>
          <w:tcPr>
            <w:tcW w:w="920" w:type="dxa"/>
            <w:vAlign w:val="bottom"/>
            <w:tcBorders>
              <w:right w:val="single" w:sz="8" w:color="51555C"/>
            </w:tcBorders>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w w:val="96"/>
              </w:rPr>
              <w:t>l</w:t>
            </w:r>
          </w:p>
        </w:tc>
        <w:tc>
          <w:tcPr>
            <w:tcW w:w="920" w:type="dxa"/>
            <w:vAlign w:val="bottom"/>
            <w:tcBorders>
              <w:right w:val="single" w:sz="8" w:color="51555C"/>
            </w:tcBorders>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20" w:type="dxa"/>
            <w:vAlign w:val="bottom"/>
            <w:tcBorders>
              <w:right w:val="single" w:sz="8" w:color="51555C"/>
            </w:tcBorders>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20" w:type="dxa"/>
            <w:vAlign w:val="bottom"/>
            <w:tcBorders>
              <w:right w:val="single" w:sz="8" w:color="51555C"/>
            </w:tcBorders>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00" w:type="dxa"/>
            <w:vAlign w:val="bottom"/>
            <w:tcBorders>
              <w:right w:val="single" w:sz="8" w:color="51555C"/>
            </w:tcBorders>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40" w:type="dxa"/>
            <w:vAlign w:val="bottom"/>
            <w:tcBorders>
              <w:right w:val="single" w:sz="8" w:color="51555C"/>
            </w:tcBorders>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0" w:type="dxa"/>
            <w:vAlign w:val="bottom"/>
          </w:tcPr>
          <w:p>
            <w:pPr>
              <w:spacing w:after="0"/>
              <w:rPr>
                <w:sz w:val="1"/>
                <w:szCs w:val="1"/>
                <w:color w:val="auto"/>
              </w:rPr>
            </w:pPr>
          </w:p>
        </w:tc>
      </w:tr>
      <w:tr>
        <w:trPr>
          <w:trHeight w:val="136"/>
        </w:trPr>
        <w:tc>
          <w:tcPr>
            <w:tcW w:w="800" w:type="dxa"/>
            <w:vAlign w:val="bottom"/>
            <w:tcBorders>
              <w:left w:val="single" w:sz="8" w:color="51555C"/>
              <w:bottom w:val="single" w:sz="8" w:color="51555C"/>
              <w:right w:val="single" w:sz="8" w:color="51555C"/>
            </w:tcBorders>
            <w:shd w:val="clear" w:color="auto" w:fill="EBFBFF"/>
          </w:tcPr>
          <w:p>
            <w:pPr>
              <w:spacing w:after="0"/>
              <w:rPr>
                <w:sz w:val="11"/>
                <w:szCs w:val="11"/>
                <w:color w:val="auto"/>
              </w:rPr>
            </w:pPr>
          </w:p>
        </w:tc>
        <w:tc>
          <w:tcPr>
            <w:tcW w:w="4020" w:type="dxa"/>
            <w:vAlign w:val="bottom"/>
            <w:tcBorders>
              <w:bottom w:val="single" w:sz="8" w:color="51555C"/>
              <w:right w:val="single" w:sz="8" w:color="51555C"/>
            </w:tcBorders>
            <w:shd w:val="clear" w:color="auto" w:fill="EBFBFF"/>
          </w:tcPr>
          <w:p>
            <w:pPr>
              <w:spacing w:after="0"/>
              <w:rPr>
                <w:sz w:val="11"/>
                <w:szCs w:val="11"/>
                <w:color w:val="auto"/>
              </w:rPr>
            </w:pPr>
          </w:p>
        </w:tc>
        <w:tc>
          <w:tcPr>
            <w:tcW w:w="920" w:type="dxa"/>
            <w:vAlign w:val="bottom"/>
            <w:tcBorders>
              <w:bottom w:val="single" w:sz="8" w:color="51555C"/>
              <w:right w:val="single" w:sz="8" w:color="51555C"/>
            </w:tcBorders>
            <w:shd w:val="clear" w:color="auto" w:fill="EBFBFF"/>
          </w:tcPr>
          <w:p>
            <w:pPr>
              <w:spacing w:after="0"/>
              <w:rPr>
                <w:sz w:val="11"/>
                <w:szCs w:val="11"/>
                <w:color w:val="auto"/>
              </w:rPr>
            </w:pPr>
          </w:p>
        </w:tc>
        <w:tc>
          <w:tcPr>
            <w:tcW w:w="920" w:type="dxa"/>
            <w:vAlign w:val="bottom"/>
            <w:tcBorders>
              <w:bottom w:val="single" w:sz="8" w:color="51555C"/>
              <w:right w:val="single" w:sz="8" w:color="51555C"/>
            </w:tcBorders>
            <w:shd w:val="clear" w:color="auto" w:fill="EBFBFF"/>
          </w:tcPr>
          <w:p>
            <w:pPr>
              <w:spacing w:after="0"/>
              <w:rPr>
                <w:sz w:val="11"/>
                <w:szCs w:val="11"/>
                <w:color w:val="auto"/>
              </w:rPr>
            </w:pPr>
          </w:p>
        </w:tc>
        <w:tc>
          <w:tcPr>
            <w:tcW w:w="920" w:type="dxa"/>
            <w:vAlign w:val="bottom"/>
            <w:tcBorders>
              <w:bottom w:val="single" w:sz="8" w:color="51555C"/>
              <w:right w:val="single" w:sz="8" w:color="51555C"/>
            </w:tcBorders>
            <w:shd w:val="clear" w:color="auto" w:fill="EBFBFF"/>
          </w:tcPr>
          <w:p>
            <w:pPr>
              <w:spacing w:after="0"/>
              <w:rPr>
                <w:sz w:val="11"/>
                <w:szCs w:val="11"/>
                <w:color w:val="auto"/>
              </w:rPr>
            </w:pPr>
          </w:p>
        </w:tc>
        <w:tc>
          <w:tcPr>
            <w:tcW w:w="920" w:type="dxa"/>
            <w:vAlign w:val="bottom"/>
            <w:tcBorders>
              <w:bottom w:val="single" w:sz="8" w:color="51555C"/>
              <w:right w:val="single" w:sz="8" w:color="51555C"/>
            </w:tcBorders>
            <w:shd w:val="clear" w:color="auto" w:fill="EBFBFF"/>
          </w:tcPr>
          <w:p>
            <w:pPr>
              <w:spacing w:after="0"/>
              <w:rPr>
                <w:sz w:val="11"/>
                <w:szCs w:val="11"/>
                <w:color w:val="auto"/>
              </w:rPr>
            </w:pPr>
          </w:p>
        </w:tc>
        <w:tc>
          <w:tcPr>
            <w:tcW w:w="920" w:type="dxa"/>
            <w:vAlign w:val="bottom"/>
            <w:tcBorders>
              <w:bottom w:val="single" w:sz="8" w:color="51555C"/>
              <w:right w:val="single" w:sz="8" w:color="51555C"/>
            </w:tcBorders>
            <w:shd w:val="clear" w:color="auto" w:fill="EBFBFF"/>
          </w:tcPr>
          <w:p>
            <w:pPr>
              <w:spacing w:after="0"/>
              <w:rPr>
                <w:sz w:val="11"/>
                <w:szCs w:val="11"/>
                <w:color w:val="auto"/>
              </w:rPr>
            </w:pPr>
          </w:p>
        </w:tc>
        <w:tc>
          <w:tcPr>
            <w:tcW w:w="900" w:type="dxa"/>
            <w:vAlign w:val="bottom"/>
            <w:tcBorders>
              <w:bottom w:val="single" w:sz="8" w:color="51555C"/>
              <w:right w:val="single" w:sz="8" w:color="51555C"/>
            </w:tcBorders>
            <w:shd w:val="clear" w:color="auto" w:fill="EBFBFF"/>
          </w:tcPr>
          <w:p>
            <w:pPr>
              <w:spacing w:after="0"/>
              <w:rPr>
                <w:sz w:val="11"/>
                <w:szCs w:val="11"/>
                <w:color w:val="auto"/>
              </w:rPr>
            </w:pPr>
          </w:p>
        </w:tc>
        <w:tc>
          <w:tcPr>
            <w:tcW w:w="940" w:type="dxa"/>
            <w:vAlign w:val="bottom"/>
            <w:tcBorders>
              <w:bottom w:val="single" w:sz="8" w:color="51555C"/>
              <w:right w:val="single" w:sz="8" w:color="51555C"/>
            </w:tcBorders>
            <w:shd w:val="clear" w:color="auto" w:fill="EBFBFF"/>
          </w:tcPr>
          <w:p>
            <w:pPr>
              <w:spacing w:after="0"/>
              <w:rPr>
                <w:sz w:val="11"/>
                <w:szCs w:val="11"/>
                <w:color w:val="auto"/>
              </w:rPr>
            </w:pPr>
          </w:p>
        </w:tc>
        <w:tc>
          <w:tcPr>
            <w:tcW w:w="0" w:type="dxa"/>
            <w:vAlign w:val="bottom"/>
          </w:tcPr>
          <w:p>
            <w:pPr>
              <w:spacing w:after="0"/>
              <w:rPr>
                <w:sz w:val="1"/>
                <w:szCs w:val="1"/>
                <w:color w:val="auto"/>
              </w:rPr>
            </w:pPr>
          </w:p>
        </w:tc>
      </w:tr>
      <w:tr>
        <w:trPr>
          <w:trHeight w:val="411"/>
        </w:trPr>
        <w:tc>
          <w:tcPr>
            <w:tcW w:w="800" w:type="dxa"/>
            <w:vAlign w:val="bottom"/>
            <w:tcBorders>
              <w:left w:val="single" w:sz="8" w:color="51555C"/>
              <w:right w:val="single" w:sz="8" w:color="51555C"/>
            </w:tcBorders>
          </w:tcPr>
          <w:p>
            <w:pPr>
              <w:spacing w:after="0"/>
              <w:rPr>
                <w:sz w:val="24"/>
                <w:szCs w:val="24"/>
                <w:color w:val="auto"/>
              </w:rPr>
            </w:pPr>
          </w:p>
        </w:tc>
        <w:tc>
          <w:tcPr>
            <w:tcW w:w="4020" w:type="dxa"/>
            <w:vAlign w:val="bottom"/>
            <w:tcBorders>
              <w:right w:val="single" w:sz="8" w:color="51555C"/>
            </w:tcBorders>
          </w:tcPr>
          <w:p>
            <w:pPr>
              <w:spacing w:after="0"/>
              <w:rPr>
                <w:sz w:val="20"/>
                <w:szCs w:val="20"/>
                <w:color w:val="auto"/>
              </w:rPr>
            </w:pPr>
            <w:r>
              <w:rPr>
                <w:rFonts w:ascii="Arial" w:cs="Arial" w:eastAsia="Arial" w:hAnsi="Arial"/>
                <w:sz w:val="18"/>
                <w:szCs w:val="18"/>
                <w:b w:val="1"/>
                <w:bCs w:val="1"/>
                <w:color w:val="51555C"/>
              </w:rPr>
              <w:t>Accounting &amp; Finance</w:t>
            </w:r>
          </w:p>
        </w:tc>
        <w:tc>
          <w:tcPr>
            <w:tcW w:w="920" w:type="dxa"/>
            <w:vAlign w:val="bottom"/>
            <w:tcBorders>
              <w:right w:val="single" w:sz="8" w:color="51555C"/>
            </w:tcBorders>
          </w:tcPr>
          <w:p>
            <w:pPr>
              <w:spacing w:after="0"/>
              <w:rPr>
                <w:sz w:val="24"/>
                <w:szCs w:val="24"/>
                <w:color w:val="auto"/>
              </w:rPr>
            </w:pPr>
          </w:p>
        </w:tc>
        <w:tc>
          <w:tcPr>
            <w:tcW w:w="920" w:type="dxa"/>
            <w:vAlign w:val="bottom"/>
            <w:tcBorders>
              <w:right w:val="single" w:sz="8" w:color="51555C"/>
            </w:tcBorders>
          </w:tcPr>
          <w:p>
            <w:pPr>
              <w:spacing w:after="0"/>
              <w:rPr>
                <w:sz w:val="24"/>
                <w:szCs w:val="24"/>
                <w:color w:val="auto"/>
              </w:rPr>
            </w:pPr>
          </w:p>
        </w:tc>
        <w:tc>
          <w:tcPr>
            <w:tcW w:w="920" w:type="dxa"/>
            <w:vAlign w:val="bottom"/>
            <w:tcBorders>
              <w:right w:val="single" w:sz="8" w:color="51555C"/>
            </w:tcBorders>
          </w:tcPr>
          <w:p>
            <w:pPr>
              <w:spacing w:after="0"/>
              <w:rPr>
                <w:sz w:val="24"/>
                <w:szCs w:val="24"/>
                <w:color w:val="auto"/>
              </w:rPr>
            </w:pPr>
          </w:p>
        </w:tc>
        <w:tc>
          <w:tcPr>
            <w:tcW w:w="920" w:type="dxa"/>
            <w:vAlign w:val="bottom"/>
            <w:tcBorders>
              <w:right w:val="single" w:sz="8" w:color="51555C"/>
            </w:tcBorders>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20" w:type="dxa"/>
            <w:vAlign w:val="bottom"/>
            <w:tcBorders>
              <w:right w:val="single" w:sz="8" w:color="51555C"/>
            </w:tcBorders>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00" w:type="dxa"/>
            <w:vAlign w:val="bottom"/>
            <w:tcBorders>
              <w:right w:val="single" w:sz="8" w:color="51555C"/>
            </w:tcBorders>
          </w:tcPr>
          <w:p>
            <w:pPr>
              <w:spacing w:after="0"/>
              <w:rPr>
                <w:sz w:val="24"/>
                <w:szCs w:val="24"/>
                <w:color w:val="auto"/>
              </w:rPr>
            </w:pPr>
          </w:p>
        </w:tc>
        <w:tc>
          <w:tcPr>
            <w:tcW w:w="940" w:type="dxa"/>
            <w:vAlign w:val="bottom"/>
            <w:tcBorders>
              <w:right w:val="single" w:sz="8" w:color="51555C"/>
            </w:tcBorders>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0" w:type="dxa"/>
            <w:vAlign w:val="bottom"/>
          </w:tcPr>
          <w:p>
            <w:pPr>
              <w:spacing w:after="0"/>
              <w:rPr>
                <w:sz w:val="1"/>
                <w:szCs w:val="1"/>
                <w:color w:val="auto"/>
              </w:rPr>
            </w:pPr>
          </w:p>
        </w:tc>
      </w:tr>
      <w:tr>
        <w:trPr>
          <w:trHeight w:val="137"/>
        </w:trPr>
        <w:tc>
          <w:tcPr>
            <w:tcW w:w="800" w:type="dxa"/>
            <w:vAlign w:val="bottom"/>
            <w:tcBorders>
              <w:left w:val="single" w:sz="8" w:color="51555C"/>
              <w:bottom w:val="single" w:sz="8" w:color="51555C"/>
              <w:right w:val="single" w:sz="8" w:color="51555C"/>
            </w:tcBorders>
          </w:tcPr>
          <w:p>
            <w:pPr>
              <w:spacing w:after="0"/>
              <w:rPr>
                <w:sz w:val="11"/>
                <w:szCs w:val="11"/>
                <w:color w:val="auto"/>
              </w:rPr>
            </w:pPr>
          </w:p>
        </w:tc>
        <w:tc>
          <w:tcPr>
            <w:tcW w:w="4020" w:type="dxa"/>
            <w:vAlign w:val="bottom"/>
            <w:tcBorders>
              <w:bottom w:val="single" w:sz="8" w:color="51555C"/>
              <w:right w:val="single" w:sz="8" w:color="51555C"/>
            </w:tcBorders>
          </w:tcPr>
          <w:p>
            <w:pPr>
              <w:spacing w:after="0"/>
              <w:rPr>
                <w:sz w:val="11"/>
                <w:szCs w:val="11"/>
                <w:color w:val="auto"/>
              </w:rPr>
            </w:pPr>
          </w:p>
        </w:tc>
        <w:tc>
          <w:tcPr>
            <w:tcW w:w="920" w:type="dxa"/>
            <w:vAlign w:val="bottom"/>
            <w:tcBorders>
              <w:bottom w:val="single" w:sz="8" w:color="51555C"/>
              <w:right w:val="single" w:sz="8" w:color="51555C"/>
            </w:tcBorders>
          </w:tcPr>
          <w:p>
            <w:pPr>
              <w:spacing w:after="0"/>
              <w:rPr>
                <w:sz w:val="11"/>
                <w:szCs w:val="11"/>
                <w:color w:val="auto"/>
              </w:rPr>
            </w:pPr>
          </w:p>
        </w:tc>
        <w:tc>
          <w:tcPr>
            <w:tcW w:w="920" w:type="dxa"/>
            <w:vAlign w:val="bottom"/>
            <w:tcBorders>
              <w:bottom w:val="single" w:sz="8" w:color="51555C"/>
              <w:right w:val="single" w:sz="8" w:color="51555C"/>
            </w:tcBorders>
          </w:tcPr>
          <w:p>
            <w:pPr>
              <w:spacing w:after="0"/>
              <w:rPr>
                <w:sz w:val="11"/>
                <w:szCs w:val="11"/>
                <w:color w:val="auto"/>
              </w:rPr>
            </w:pPr>
          </w:p>
        </w:tc>
        <w:tc>
          <w:tcPr>
            <w:tcW w:w="920" w:type="dxa"/>
            <w:vAlign w:val="bottom"/>
            <w:tcBorders>
              <w:bottom w:val="single" w:sz="8" w:color="51555C"/>
              <w:right w:val="single" w:sz="8" w:color="51555C"/>
            </w:tcBorders>
          </w:tcPr>
          <w:p>
            <w:pPr>
              <w:spacing w:after="0"/>
              <w:rPr>
                <w:sz w:val="11"/>
                <w:szCs w:val="11"/>
                <w:color w:val="auto"/>
              </w:rPr>
            </w:pPr>
          </w:p>
        </w:tc>
        <w:tc>
          <w:tcPr>
            <w:tcW w:w="920" w:type="dxa"/>
            <w:vAlign w:val="bottom"/>
            <w:tcBorders>
              <w:bottom w:val="single" w:sz="8" w:color="51555C"/>
              <w:right w:val="single" w:sz="8" w:color="51555C"/>
            </w:tcBorders>
          </w:tcPr>
          <w:p>
            <w:pPr>
              <w:spacing w:after="0"/>
              <w:rPr>
                <w:sz w:val="11"/>
                <w:szCs w:val="11"/>
                <w:color w:val="auto"/>
              </w:rPr>
            </w:pPr>
          </w:p>
        </w:tc>
        <w:tc>
          <w:tcPr>
            <w:tcW w:w="920" w:type="dxa"/>
            <w:vAlign w:val="bottom"/>
            <w:tcBorders>
              <w:bottom w:val="single" w:sz="8" w:color="51555C"/>
              <w:right w:val="single" w:sz="8" w:color="51555C"/>
            </w:tcBorders>
          </w:tcPr>
          <w:p>
            <w:pPr>
              <w:spacing w:after="0"/>
              <w:rPr>
                <w:sz w:val="11"/>
                <w:szCs w:val="11"/>
                <w:color w:val="auto"/>
              </w:rPr>
            </w:pPr>
          </w:p>
        </w:tc>
        <w:tc>
          <w:tcPr>
            <w:tcW w:w="900" w:type="dxa"/>
            <w:vAlign w:val="bottom"/>
            <w:tcBorders>
              <w:bottom w:val="single" w:sz="8" w:color="51555C"/>
              <w:right w:val="single" w:sz="8" w:color="51555C"/>
            </w:tcBorders>
          </w:tcPr>
          <w:p>
            <w:pPr>
              <w:spacing w:after="0"/>
              <w:rPr>
                <w:sz w:val="11"/>
                <w:szCs w:val="11"/>
                <w:color w:val="auto"/>
              </w:rPr>
            </w:pPr>
          </w:p>
        </w:tc>
        <w:tc>
          <w:tcPr>
            <w:tcW w:w="940" w:type="dxa"/>
            <w:vAlign w:val="bottom"/>
            <w:tcBorders>
              <w:bottom w:val="single" w:sz="8" w:color="51555C"/>
              <w:right w:val="single" w:sz="8" w:color="51555C"/>
            </w:tcBorders>
          </w:tcPr>
          <w:p>
            <w:pPr>
              <w:spacing w:after="0"/>
              <w:rPr>
                <w:sz w:val="11"/>
                <w:szCs w:val="11"/>
                <w:color w:val="auto"/>
              </w:rPr>
            </w:pPr>
          </w:p>
        </w:tc>
        <w:tc>
          <w:tcPr>
            <w:tcW w:w="0" w:type="dxa"/>
            <w:vAlign w:val="bottom"/>
          </w:tcPr>
          <w:p>
            <w:pPr>
              <w:spacing w:after="0"/>
              <w:rPr>
                <w:sz w:val="1"/>
                <w:szCs w:val="1"/>
                <w:color w:val="auto"/>
              </w:rPr>
            </w:pPr>
          </w:p>
        </w:tc>
      </w:tr>
      <w:tr>
        <w:trPr>
          <w:trHeight w:val="410"/>
        </w:trPr>
        <w:tc>
          <w:tcPr>
            <w:tcW w:w="800" w:type="dxa"/>
            <w:vAlign w:val="bottom"/>
            <w:tcBorders>
              <w:left w:val="single" w:sz="8" w:color="51555C"/>
              <w:right w:val="single" w:sz="8" w:color="51555C"/>
            </w:tcBorders>
            <w:shd w:val="clear" w:color="auto" w:fill="EBFBFF"/>
          </w:tcPr>
          <w:p>
            <w:pPr>
              <w:spacing w:after="0"/>
              <w:rPr>
                <w:sz w:val="24"/>
                <w:szCs w:val="24"/>
                <w:color w:val="auto"/>
              </w:rPr>
            </w:pPr>
          </w:p>
        </w:tc>
        <w:tc>
          <w:tcPr>
            <w:tcW w:w="4020" w:type="dxa"/>
            <w:vAlign w:val="bottom"/>
            <w:tcBorders>
              <w:right w:val="single" w:sz="8" w:color="51555C"/>
            </w:tcBorders>
            <w:shd w:val="clear" w:color="auto" w:fill="EBFBFF"/>
          </w:tcPr>
          <w:p>
            <w:pPr>
              <w:spacing w:after="0"/>
              <w:rPr>
                <w:sz w:val="20"/>
                <w:szCs w:val="20"/>
                <w:color w:val="auto"/>
              </w:rPr>
            </w:pPr>
            <w:r>
              <w:rPr>
                <w:rFonts w:ascii="Arial" w:cs="Arial" w:eastAsia="Arial" w:hAnsi="Arial"/>
                <w:sz w:val="18"/>
                <w:szCs w:val="18"/>
                <w:b w:val="1"/>
                <w:bCs w:val="1"/>
                <w:color w:val="51555C"/>
              </w:rPr>
              <w:t>Technology &amp; Software Industries</w:t>
            </w:r>
          </w:p>
        </w:tc>
        <w:tc>
          <w:tcPr>
            <w:tcW w:w="920" w:type="dxa"/>
            <w:vAlign w:val="bottom"/>
            <w:tcBorders>
              <w:right w:val="single" w:sz="8" w:color="51555C"/>
            </w:tcBorders>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w w:val="96"/>
              </w:rPr>
              <w:t>l</w:t>
            </w:r>
          </w:p>
        </w:tc>
        <w:tc>
          <w:tcPr>
            <w:tcW w:w="920" w:type="dxa"/>
            <w:vAlign w:val="bottom"/>
            <w:tcBorders>
              <w:right w:val="single" w:sz="8" w:color="51555C"/>
            </w:tcBorders>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w w:val="96"/>
              </w:rPr>
              <w:t>l</w:t>
            </w:r>
          </w:p>
        </w:tc>
        <w:tc>
          <w:tcPr>
            <w:tcW w:w="920" w:type="dxa"/>
            <w:vAlign w:val="bottom"/>
            <w:tcBorders>
              <w:right w:val="single" w:sz="8" w:color="51555C"/>
            </w:tcBorders>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20" w:type="dxa"/>
            <w:vAlign w:val="bottom"/>
            <w:tcBorders>
              <w:right w:val="single" w:sz="8" w:color="51555C"/>
            </w:tcBorders>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20" w:type="dxa"/>
            <w:vAlign w:val="bottom"/>
            <w:tcBorders>
              <w:right w:val="single" w:sz="8" w:color="51555C"/>
            </w:tcBorders>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00" w:type="dxa"/>
            <w:vAlign w:val="bottom"/>
            <w:tcBorders>
              <w:right w:val="single" w:sz="8" w:color="51555C"/>
            </w:tcBorders>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40" w:type="dxa"/>
            <w:vAlign w:val="bottom"/>
            <w:tcBorders>
              <w:right w:val="single" w:sz="8" w:color="51555C"/>
            </w:tcBorders>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0" w:type="dxa"/>
            <w:vAlign w:val="bottom"/>
          </w:tcPr>
          <w:p>
            <w:pPr>
              <w:spacing w:after="0"/>
              <w:rPr>
                <w:sz w:val="1"/>
                <w:szCs w:val="1"/>
                <w:color w:val="auto"/>
              </w:rPr>
            </w:pPr>
          </w:p>
        </w:tc>
      </w:tr>
      <w:tr>
        <w:trPr>
          <w:trHeight w:val="137"/>
        </w:trPr>
        <w:tc>
          <w:tcPr>
            <w:tcW w:w="800" w:type="dxa"/>
            <w:vAlign w:val="bottom"/>
            <w:tcBorders>
              <w:left w:val="single" w:sz="8" w:color="51555C"/>
              <w:bottom w:val="single" w:sz="8" w:color="51555C"/>
              <w:right w:val="single" w:sz="8" w:color="51555C"/>
            </w:tcBorders>
            <w:shd w:val="clear" w:color="auto" w:fill="EBFBFF"/>
          </w:tcPr>
          <w:p>
            <w:pPr>
              <w:spacing w:after="0"/>
              <w:rPr>
                <w:sz w:val="11"/>
                <w:szCs w:val="11"/>
                <w:color w:val="auto"/>
              </w:rPr>
            </w:pPr>
          </w:p>
        </w:tc>
        <w:tc>
          <w:tcPr>
            <w:tcW w:w="4020" w:type="dxa"/>
            <w:vAlign w:val="bottom"/>
            <w:tcBorders>
              <w:bottom w:val="single" w:sz="8" w:color="51555C"/>
              <w:right w:val="single" w:sz="8" w:color="51555C"/>
            </w:tcBorders>
            <w:shd w:val="clear" w:color="auto" w:fill="EBFBFF"/>
          </w:tcPr>
          <w:p>
            <w:pPr>
              <w:spacing w:after="0"/>
              <w:rPr>
                <w:sz w:val="11"/>
                <w:szCs w:val="11"/>
                <w:color w:val="auto"/>
              </w:rPr>
            </w:pPr>
          </w:p>
        </w:tc>
        <w:tc>
          <w:tcPr>
            <w:tcW w:w="920" w:type="dxa"/>
            <w:vAlign w:val="bottom"/>
            <w:tcBorders>
              <w:bottom w:val="single" w:sz="8" w:color="51555C"/>
              <w:right w:val="single" w:sz="8" w:color="51555C"/>
            </w:tcBorders>
            <w:shd w:val="clear" w:color="auto" w:fill="EBFBFF"/>
          </w:tcPr>
          <w:p>
            <w:pPr>
              <w:spacing w:after="0"/>
              <w:rPr>
                <w:sz w:val="11"/>
                <w:szCs w:val="11"/>
                <w:color w:val="auto"/>
              </w:rPr>
            </w:pPr>
          </w:p>
        </w:tc>
        <w:tc>
          <w:tcPr>
            <w:tcW w:w="920" w:type="dxa"/>
            <w:vAlign w:val="bottom"/>
            <w:tcBorders>
              <w:bottom w:val="single" w:sz="8" w:color="51555C"/>
              <w:right w:val="single" w:sz="8" w:color="51555C"/>
            </w:tcBorders>
            <w:shd w:val="clear" w:color="auto" w:fill="EBFBFF"/>
          </w:tcPr>
          <w:p>
            <w:pPr>
              <w:spacing w:after="0"/>
              <w:rPr>
                <w:sz w:val="11"/>
                <w:szCs w:val="11"/>
                <w:color w:val="auto"/>
              </w:rPr>
            </w:pPr>
          </w:p>
        </w:tc>
        <w:tc>
          <w:tcPr>
            <w:tcW w:w="920" w:type="dxa"/>
            <w:vAlign w:val="bottom"/>
            <w:tcBorders>
              <w:bottom w:val="single" w:sz="8" w:color="51555C"/>
              <w:right w:val="single" w:sz="8" w:color="51555C"/>
            </w:tcBorders>
            <w:shd w:val="clear" w:color="auto" w:fill="EBFBFF"/>
          </w:tcPr>
          <w:p>
            <w:pPr>
              <w:spacing w:after="0"/>
              <w:rPr>
                <w:sz w:val="11"/>
                <w:szCs w:val="11"/>
                <w:color w:val="auto"/>
              </w:rPr>
            </w:pPr>
          </w:p>
        </w:tc>
        <w:tc>
          <w:tcPr>
            <w:tcW w:w="920" w:type="dxa"/>
            <w:vAlign w:val="bottom"/>
            <w:tcBorders>
              <w:bottom w:val="single" w:sz="8" w:color="51555C"/>
              <w:right w:val="single" w:sz="8" w:color="51555C"/>
            </w:tcBorders>
            <w:shd w:val="clear" w:color="auto" w:fill="EBFBFF"/>
          </w:tcPr>
          <w:p>
            <w:pPr>
              <w:spacing w:after="0"/>
              <w:rPr>
                <w:sz w:val="11"/>
                <w:szCs w:val="11"/>
                <w:color w:val="auto"/>
              </w:rPr>
            </w:pPr>
          </w:p>
        </w:tc>
        <w:tc>
          <w:tcPr>
            <w:tcW w:w="920" w:type="dxa"/>
            <w:vAlign w:val="bottom"/>
            <w:tcBorders>
              <w:bottom w:val="single" w:sz="8" w:color="51555C"/>
              <w:right w:val="single" w:sz="8" w:color="51555C"/>
            </w:tcBorders>
            <w:shd w:val="clear" w:color="auto" w:fill="EBFBFF"/>
          </w:tcPr>
          <w:p>
            <w:pPr>
              <w:spacing w:after="0"/>
              <w:rPr>
                <w:sz w:val="11"/>
                <w:szCs w:val="11"/>
                <w:color w:val="auto"/>
              </w:rPr>
            </w:pPr>
          </w:p>
        </w:tc>
        <w:tc>
          <w:tcPr>
            <w:tcW w:w="900" w:type="dxa"/>
            <w:vAlign w:val="bottom"/>
            <w:tcBorders>
              <w:bottom w:val="single" w:sz="8" w:color="51555C"/>
              <w:right w:val="single" w:sz="8" w:color="51555C"/>
            </w:tcBorders>
            <w:shd w:val="clear" w:color="auto" w:fill="EBFBFF"/>
          </w:tcPr>
          <w:p>
            <w:pPr>
              <w:spacing w:after="0"/>
              <w:rPr>
                <w:sz w:val="11"/>
                <w:szCs w:val="11"/>
                <w:color w:val="auto"/>
              </w:rPr>
            </w:pPr>
          </w:p>
        </w:tc>
        <w:tc>
          <w:tcPr>
            <w:tcW w:w="940" w:type="dxa"/>
            <w:vAlign w:val="bottom"/>
            <w:tcBorders>
              <w:bottom w:val="single" w:sz="8" w:color="51555C"/>
              <w:right w:val="single" w:sz="8" w:color="51555C"/>
            </w:tcBorders>
            <w:shd w:val="clear" w:color="auto" w:fill="EBFBFF"/>
          </w:tcPr>
          <w:p>
            <w:pPr>
              <w:spacing w:after="0"/>
              <w:rPr>
                <w:sz w:val="11"/>
                <w:szCs w:val="11"/>
                <w:color w:val="auto"/>
              </w:rPr>
            </w:pPr>
          </w:p>
        </w:tc>
        <w:tc>
          <w:tcPr>
            <w:tcW w:w="0" w:type="dxa"/>
            <w:vAlign w:val="bottom"/>
          </w:tcPr>
          <w:p>
            <w:pPr>
              <w:spacing w:after="0"/>
              <w:rPr>
                <w:sz w:val="1"/>
                <w:szCs w:val="1"/>
                <w:color w:val="auto"/>
              </w:rPr>
            </w:pPr>
          </w:p>
        </w:tc>
      </w:tr>
      <w:tr>
        <w:trPr>
          <w:trHeight w:val="411"/>
        </w:trPr>
        <w:tc>
          <w:tcPr>
            <w:tcW w:w="800" w:type="dxa"/>
            <w:vAlign w:val="bottom"/>
            <w:tcBorders>
              <w:left w:val="single" w:sz="8" w:color="51555C"/>
              <w:right w:val="single" w:sz="8" w:color="51555C"/>
            </w:tcBorders>
          </w:tcPr>
          <w:p>
            <w:pPr>
              <w:spacing w:after="0"/>
              <w:rPr>
                <w:sz w:val="24"/>
                <w:szCs w:val="24"/>
                <w:color w:val="auto"/>
              </w:rPr>
            </w:pPr>
          </w:p>
        </w:tc>
        <w:tc>
          <w:tcPr>
            <w:tcW w:w="4020" w:type="dxa"/>
            <w:vAlign w:val="bottom"/>
            <w:tcBorders>
              <w:right w:val="single" w:sz="8" w:color="51555C"/>
            </w:tcBorders>
          </w:tcPr>
          <w:p>
            <w:pPr>
              <w:spacing w:after="0"/>
              <w:rPr>
                <w:sz w:val="20"/>
                <w:szCs w:val="20"/>
                <w:color w:val="auto"/>
              </w:rPr>
            </w:pPr>
            <w:r>
              <w:rPr>
                <w:rFonts w:ascii="Arial" w:cs="Arial" w:eastAsia="Arial" w:hAnsi="Arial"/>
                <w:sz w:val="18"/>
                <w:szCs w:val="18"/>
                <w:b w:val="1"/>
                <w:bCs w:val="1"/>
                <w:color w:val="51555C"/>
              </w:rPr>
              <w:t>Nonprofit Industry</w:t>
            </w:r>
          </w:p>
        </w:tc>
        <w:tc>
          <w:tcPr>
            <w:tcW w:w="920" w:type="dxa"/>
            <w:vAlign w:val="bottom"/>
            <w:tcBorders>
              <w:right w:val="single" w:sz="8" w:color="51555C"/>
            </w:tcBorders>
          </w:tcPr>
          <w:p>
            <w:pPr>
              <w:spacing w:after="0"/>
              <w:rPr>
                <w:sz w:val="24"/>
                <w:szCs w:val="24"/>
                <w:color w:val="auto"/>
              </w:rPr>
            </w:pPr>
          </w:p>
        </w:tc>
        <w:tc>
          <w:tcPr>
            <w:tcW w:w="920" w:type="dxa"/>
            <w:vAlign w:val="bottom"/>
            <w:tcBorders>
              <w:right w:val="single" w:sz="8" w:color="51555C"/>
            </w:tcBorders>
          </w:tcPr>
          <w:p>
            <w:pPr>
              <w:jc w:val="center"/>
              <w:spacing w:after="0"/>
              <w:rPr>
                <w:sz w:val="20"/>
                <w:szCs w:val="20"/>
                <w:color w:val="auto"/>
              </w:rPr>
            </w:pPr>
            <w:r>
              <w:rPr>
                <w:rFonts w:ascii="Wingdings" w:cs="Wingdings" w:eastAsia="Wingdings" w:hAnsi="Wingdings"/>
                <w:sz w:val="25"/>
                <w:szCs w:val="25"/>
                <w:b w:val="1"/>
                <w:bCs w:val="1"/>
                <w:color w:val="0CD973"/>
                <w:w w:val="96"/>
              </w:rPr>
              <w:t>l</w:t>
            </w:r>
          </w:p>
        </w:tc>
        <w:tc>
          <w:tcPr>
            <w:tcW w:w="920" w:type="dxa"/>
            <w:vAlign w:val="bottom"/>
            <w:tcBorders>
              <w:right w:val="single" w:sz="8" w:color="51555C"/>
            </w:tcBorders>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20" w:type="dxa"/>
            <w:vAlign w:val="bottom"/>
            <w:tcBorders>
              <w:right w:val="single" w:sz="8" w:color="51555C"/>
            </w:tcBorders>
          </w:tcPr>
          <w:p>
            <w:pPr>
              <w:spacing w:after="0"/>
              <w:rPr>
                <w:sz w:val="24"/>
                <w:szCs w:val="24"/>
                <w:color w:val="auto"/>
              </w:rPr>
            </w:pPr>
          </w:p>
        </w:tc>
        <w:tc>
          <w:tcPr>
            <w:tcW w:w="920" w:type="dxa"/>
            <w:vAlign w:val="bottom"/>
            <w:tcBorders>
              <w:right w:val="single" w:sz="8" w:color="51555C"/>
            </w:tcBorders>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00" w:type="dxa"/>
            <w:vAlign w:val="bottom"/>
            <w:tcBorders>
              <w:right w:val="single" w:sz="8" w:color="51555C"/>
            </w:tcBorders>
          </w:tcPr>
          <w:p>
            <w:pPr>
              <w:spacing w:after="0"/>
              <w:rPr>
                <w:sz w:val="24"/>
                <w:szCs w:val="24"/>
                <w:color w:val="auto"/>
              </w:rPr>
            </w:pPr>
          </w:p>
        </w:tc>
        <w:tc>
          <w:tcPr>
            <w:tcW w:w="940" w:type="dxa"/>
            <w:vAlign w:val="bottom"/>
            <w:tcBorders>
              <w:right w:val="single" w:sz="8" w:color="51555C"/>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800" w:type="dxa"/>
            <w:vAlign w:val="bottom"/>
            <w:tcBorders>
              <w:left w:val="single" w:sz="8" w:color="51555C"/>
              <w:bottom w:val="single" w:sz="8" w:color="51555C"/>
              <w:right w:val="single" w:sz="8" w:color="51555C"/>
            </w:tcBorders>
          </w:tcPr>
          <w:p>
            <w:pPr>
              <w:spacing w:after="0"/>
              <w:rPr>
                <w:sz w:val="11"/>
                <w:szCs w:val="11"/>
                <w:color w:val="auto"/>
              </w:rPr>
            </w:pPr>
          </w:p>
        </w:tc>
        <w:tc>
          <w:tcPr>
            <w:tcW w:w="4020" w:type="dxa"/>
            <w:vAlign w:val="bottom"/>
            <w:tcBorders>
              <w:bottom w:val="single" w:sz="8" w:color="51555C"/>
              <w:right w:val="single" w:sz="8" w:color="51555C"/>
            </w:tcBorders>
          </w:tcPr>
          <w:p>
            <w:pPr>
              <w:spacing w:after="0"/>
              <w:rPr>
                <w:sz w:val="11"/>
                <w:szCs w:val="11"/>
                <w:color w:val="auto"/>
              </w:rPr>
            </w:pPr>
          </w:p>
        </w:tc>
        <w:tc>
          <w:tcPr>
            <w:tcW w:w="920" w:type="dxa"/>
            <w:vAlign w:val="bottom"/>
            <w:tcBorders>
              <w:bottom w:val="single" w:sz="8" w:color="51555C"/>
              <w:right w:val="single" w:sz="8" w:color="51555C"/>
            </w:tcBorders>
          </w:tcPr>
          <w:p>
            <w:pPr>
              <w:spacing w:after="0"/>
              <w:rPr>
                <w:sz w:val="11"/>
                <w:szCs w:val="11"/>
                <w:color w:val="auto"/>
              </w:rPr>
            </w:pPr>
          </w:p>
        </w:tc>
        <w:tc>
          <w:tcPr>
            <w:tcW w:w="920" w:type="dxa"/>
            <w:vAlign w:val="bottom"/>
            <w:tcBorders>
              <w:bottom w:val="single" w:sz="8" w:color="51555C"/>
              <w:right w:val="single" w:sz="8" w:color="51555C"/>
            </w:tcBorders>
          </w:tcPr>
          <w:p>
            <w:pPr>
              <w:spacing w:after="0"/>
              <w:rPr>
                <w:sz w:val="11"/>
                <w:szCs w:val="11"/>
                <w:color w:val="auto"/>
              </w:rPr>
            </w:pPr>
          </w:p>
        </w:tc>
        <w:tc>
          <w:tcPr>
            <w:tcW w:w="920" w:type="dxa"/>
            <w:vAlign w:val="bottom"/>
            <w:tcBorders>
              <w:bottom w:val="single" w:sz="8" w:color="51555C"/>
              <w:right w:val="single" w:sz="8" w:color="51555C"/>
            </w:tcBorders>
          </w:tcPr>
          <w:p>
            <w:pPr>
              <w:spacing w:after="0"/>
              <w:rPr>
                <w:sz w:val="11"/>
                <w:szCs w:val="11"/>
                <w:color w:val="auto"/>
              </w:rPr>
            </w:pPr>
          </w:p>
        </w:tc>
        <w:tc>
          <w:tcPr>
            <w:tcW w:w="920" w:type="dxa"/>
            <w:vAlign w:val="bottom"/>
            <w:tcBorders>
              <w:bottom w:val="single" w:sz="8" w:color="51555C"/>
              <w:right w:val="single" w:sz="8" w:color="51555C"/>
            </w:tcBorders>
          </w:tcPr>
          <w:p>
            <w:pPr>
              <w:spacing w:after="0"/>
              <w:rPr>
                <w:sz w:val="11"/>
                <w:szCs w:val="11"/>
                <w:color w:val="auto"/>
              </w:rPr>
            </w:pPr>
          </w:p>
        </w:tc>
        <w:tc>
          <w:tcPr>
            <w:tcW w:w="920" w:type="dxa"/>
            <w:vAlign w:val="bottom"/>
            <w:tcBorders>
              <w:bottom w:val="single" w:sz="8" w:color="51555C"/>
              <w:right w:val="single" w:sz="8" w:color="51555C"/>
            </w:tcBorders>
          </w:tcPr>
          <w:p>
            <w:pPr>
              <w:spacing w:after="0"/>
              <w:rPr>
                <w:sz w:val="11"/>
                <w:szCs w:val="11"/>
                <w:color w:val="auto"/>
              </w:rPr>
            </w:pPr>
          </w:p>
        </w:tc>
        <w:tc>
          <w:tcPr>
            <w:tcW w:w="900" w:type="dxa"/>
            <w:vAlign w:val="bottom"/>
            <w:tcBorders>
              <w:bottom w:val="single" w:sz="8" w:color="51555C"/>
              <w:right w:val="single" w:sz="8" w:color="51555C"/>
            </w:tcBorders>
          </w:tcPr>
          <w:p>
            <w:pPr>
              <w:spacing w:after="0"/>
              <w:rPr>
                <w:sz w:val="11"/>
                <w:szCs w:val="11"/>
                <w:color w:val="auto"/>
              </w:rPr>
            </w:pPr>
          </w:p>
        </w:tc>
        <w:tc>
          <w:tcPr>
            <w:tcW w:w="940" w:type="dxa"/>
            <w:vAlign w:val="bottom"/>
            <w:tcBorders>
              <w:bottom w:val="single" w:sz="8" w:color="51555C"/>
              <w:right w:val="single" w:sz="8" w:color="51555C"/>
            </w:tcBorders>
          </w:tcPr>
          <w:p>
            <w:pPr>
              <w:spacing w:after="0"/>
              <w:rPr>
                <w:sz w:val="11"/>
                <w:szCs w:val="11"/>
                <w:color w:val="auto"/>
              </w:rPr>
            </w:pPr>
          </w:p>
        </w:tc>
        <w:tc>
          <w:tcPr>
            <w:tcW w:w="0" w:type="dxa"/>
            <w:vAlign w:val="bottom"/>
          </w:tcPr>
          <w:p>
            <w:pPr>
              <w:spacing w:after="0"/>
              <w:rPr>
                <w:sz w:val="1"/>
                <w:szCs w:val="1"/>
                <w:color w:val="auto"/>
              </w:rPr>
            </w:pPr>
          </w:p>
        </w:tc>
      </w:tr>
      <w:tr>
        <w:trPr>
          <w:trHeight w:val="410"/>
        </w:trPr>
        <w:tc>
          <w:tcPr>
            <w:tcW w:w="800" w:type="dxa"/>
            <w:vAlign w:val="bottom"/>
            <w:tcBorders>
              <w:left w:val="single" w:sz="8" w:color="51555C"/>
              <w:right w:val="single" w:sz="8" w:color="51555C"/>
            </w:tcBorders>
            <w:shd w:val="clear" w:color="auto" w:fill="EBFBFF"/>
          </w:tcPr>
          <w:p>
            <w:pPr>
              <w:spacing w:after="0"/>
              <w:rPr>
                <w:sz w:val="24"/>
                <w:szCs w:val="24"/>
                <w:color w:val="auto"/>
              </w:rPr>
            </w:pPr>
          </w:p>
        </w:tc>
        <w:tc>
          <w:tcPr>
            <w:tcW w:w="4020" w:type="dxa"/>
            <w:vAlign w:val="bottom"/>
            <w:tcBorders>
              <w:right w:val="single" w:sz="8" w:color="51555C"/>
            </w:tcBorders>
            <w:shd w:val="clear" w:color="auto" w:fill="EBFBFF"/>
          </w:tcPr>
          <w:p>
            <w:pPr>
              <w:spacing w:after="0"/>
              <w:rPr>
                <w:sz w:val="20"/>
                <w:szCs w:val="20"/>
                <w:color w:val="auto"/>
              </w:rPr>
            </w:pPr>
            <w:r>
              <w:rPr>
                <w:rFonts w:ascii="Arial" w:cs="Arial" w:eastAsia="Arial" w:hAnsi="Arial"/>
                <w:sz w:val="18"/>
                <w:szCs w:val="18"/>
                <w:b w:val="1"/>
                <w:bCs w:val="1"/>
                <w:color w:val="51555C"/>
              </w:rPr>
              <w:t>Public Company Board Service</w:t>
            </w:r>
          </w:p>
        </w:tc>
        <w:tc>
          <w:tcPr>
            <w:tcW w:w="920" w:type="dxa"/>
            <w:vAlign w:val="bottom"/>
            <w:tcBorders>
              <w:right w:val="single" w:sz="8" w:color="51555C"/>
            </w:tcBorders>
            <w:shd w:val="clear" w:color="auto" w:fill="EBFBFF"/>
          </w:tcPr>
          <w:p>
            <w:pPr>
              <w:spacing w:after="0"/>
              <w:rPr>
                <w:sz w:val="24"/>
                <w:szCs w:val="24"/>
                <w:color w:val="auto"/>
              </w:rPr>
            </w:pPr>
          </w:p>
        </w:tc>
        <w:tc>
          <w:tcPr>
            <w:tcW w:w="920" w:type="dxa"/>
            <w:vAlign w:val="bottom"/>
            <w:tcBorders>
              <w:right w:val="single" w:sz="8" w:color="51555C"/>
            </w:tcBorders>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w w:val="96"/>
              </w:rPr>
              <w:t>l</w:t>
            </w:r>
          </w:p>
        </w:tc>
        <w:tc>
          <w:tcPr>
            <w:tcW w:w="920" w:type="dxa"/>
            <w:vAlign w:val="bottom"/>
            <w:tcBorders>
              <w:right w:val="single" w:sz="8" w:color="51555C"/>
            </w:tcBorders>
            <w:shd w:val="clear" w:color="auto" w:fill="EBFBFF"/>
          </w:tcPr>
          <w:p>
            <w:pPr>
              <w:spacing w:after="0"/>
              <w:rPr>
                <w:sz w:val="24"/>
                <w:szCs w:val="24"/>
                <w:color w:val="auto"/>
              </w:rPr>
            </w:pPr>
          </w:p>
        </w:tc>
        <w:tc>
          <w:tcPr>
            <w:tcW w:w="920" w:type="dxa"/>
            <w:vAlign w:val="bottom"/>
            <w:tcBorders>
              <w:right w:val="single" w:sz="8" w:color="51555C"/>
            </w:tcBorders>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20" w:type="dxa"/>
            <w:vAlign w:val="bottom"/>
            <w:tcBorders>
              <w:right w:val="single" w:sz="8" w:color="51555C"/>
            </w:tcBorders>
            <w:shd w:val="clear" w:color="auto" w:fill="EBFBFF"/>
          </w:tcPr>
          <w:p>
            <w:pPr>
              <w:spacing w:after="0"/>
              <w:rPr>
                <w:sz w:val="24"/>
                <w:szCs w:val="24"/>
                <w:color w:val="auto"/>
              </w:rPr>
            </w:pPr>
          </w:p>
        </w:tc>
        <w:tc>
          <w:tcPr>
            <w:tcW w:w="900" w:type="dxa"/>
            <w:vAlign w:val="bottom"/>
            <w:tcBorders>
              <w:right w:val="single" w:sz="8" w:color="51555C"/>
            </w:tcBorders>
            <w:shd w:val="clear" w:color="auto" w:fill="EBFBFF"/>
          </w:tcPr>
          <w:p>
            <w:pPr>
              <w:spacing w:after="0"/>
              <w:rPr>
                <w:sz w:val="24"/>
                <w:szCs w:val="24"/>
                <w:color w:val="auto"/>
              </w:rPr>
            </w:pPr>
          </w:p>
        </w:tc>
        <w:tc>
          <w:tcPr>
            <w:tcW w:w="940" w:type="dxa"/>
            <w:vAlign w:val="bottom"/>
            <w:tcBorders>
              <w:right w:val="single" w:sz="8" w:color="51555C"/>
            </w:tcBorders>
            <w:shd w:val="clear" w:color="auto" w:fill="EBFBFF"/>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800" w:type="dxa"/>
            <w:vAlign w:val="bottom"/>
            <w:tcBorders>
              <w:left w:val="single" w:sz="8" w:color="51555C"/>
              <w:bottom w:val="single" w:sz="8" w:color="51555C"/>
              <w:right w:val="single" w:sz="8" w:color="51555C"/>
            </w:tcBorders>
            <w:shd w:val="clear" w:color="auto" w:fill="EBFBFF"/>
          </w:tcPr>
          <w:p>
            <w:pPr>
              <w:spacing w:after="0"/>
              <w:rPr>
                <w:sz w:val="11"/>
                <w:szCs w:val="11"/>
                <w:color w:val="auto"/>
              </w:rPr>
            </w:pPr>
          </w:p>
        </w:tc>
        <w:tc>
          <w:tcPr>
            <w:tcW w:w="4020" w:type="dxa"/>
            <w:vAlign w:val="bottom"/>
            <w:tcBorders>
              <w:bottom w:val="single" w:sz="8" w:color="51555C"/>
              <w:right w:val="single" w:sz="8" w:color="51555C"/>
            </w:tcBorders>
            <w:shd w:val="clear" w:color="auto" w:fill="EBFBFF"/>
          </w:tcPr>
          <w:p>
            <w:pPr>
              <w:spacing w:after="0"/>
              <w:rPr>
                <w:sz w:val="11"/>
                <w:szCs w:val="11"/>
                <w:color w:val="auto"/>
              </w:rPr>
            </w:pPr>
          </w:p>
        </w:tc>
        <w:tc>
          <w:tcPr>
            <w:tcW w:w="920" w:type="dxa"/>
            <w:vAlign w:val="bottom"/>
            <w:tcBorders>
              <w:bottom w:val="single" w:sz="8" w:color="51555C"/>
              <w:right w:val="single" w:sz="8" w:color="51555C"/>
            </w:tcBorders>
            <w:shd w:val="clear" w:color="auto" w:fill="EBFBFF"/>
          </w:tcPr>
          <w:p>
            <w:pPr>
              <w:spacing w:after="0"/>
              <w:rPr>
                <w:sz w:val="11"/>
                <w:szCs w:val="11"/>
                <w:color w:val="auto"/>
              </w:rPr>
            </w:pPr>
          </w:p>
        </w:tc>
        <w:tc>
          <w:tcPr>
            <w:tcW w:w="920" w:type="dxa"/>
            <w:vAlign w:val="bottom"/>
            <w:tcBorders>
              <w:bottom w:val="single" w:sz="8" w:color="51555C"/>
              <w:right w:val="single" w:sz="8" w:color="51555C"/>
            </w:tcBorders>
            <w:shd w:val="clear" w:color="auto" w:fill="EBFBFF"/>
          </w:tcPr>
          <w:p>
            <w:pPr>
              <w:spacing w:after="0"/>
              <w:rPr>
                <w:sz w:val="11"/>
                <w:szCs w:val="11"/>
                <w:color w:val="auto"/>
              </w:rPr>
            </w:pPr>
          </w:p>
        </w:tc>
        <w:tc>
          <w:tcPr>
            <w:tcW w:w="920" w:type="dxa"/>
            <w:vAlign w:val="bottom"/>
            <w:tcBorders>
              <w:bottom w:val="single" w:sz="8" w:color="51555C"/>
              <w:right w:val="single" w:sz="8" w:color="51555C"/>
            </w:tcBorders>
            <w:shd w:val="clear" w:color="auto" w:fill="EBFBFF"/>
          </w:tcPr>
          <w:p>
            <w:pPr>
              <w:spacing w:after="0"/>
              <w:rPr>
                <w:sz w:val="11"/>
                <w:szCs w:val="11"/>
                <w:color w:val="auto"/>
              </w:rPr>
            </w:pPr>
          </w:p>
        </w:tc>
        <w:tc>
          <w:tcPr>
            <w:tcW w:w="920" w:type="dxa"/>
            <w:vAlign w:val="bottom"/>
            <w:tcBorders>
              <w:bottom w:val="single" w:sz="8" w:color="51555C"/>
              <w:right w:val="single" w:sz="8" w:color="51555C"/>
            </w:tcBorders>
            <w:shd w:val="clear" w:color="auto" w:fill="EBFBFF"/>
          </w:tcPr>
          <w:p>
            <w:pPr>
              <w:spacing w:after="0"/>
              <w:rPr>
                <w:sz w:val="11"/>
                <w:szCs w:val="11"/>
                <w:color w:val="auto"/>
              </w:rPr>
            </w:pPr>
          </w:p>
        </w:tc>
        <w:tc>
          <w:tcPr>
            <w:tcW w:w="920" w:type="dxa"/>
            <w:vAlign w:val="bottom"/>
            <w:tcBorders>
              <w:bottom w:val="single" w:sz="8" w:color="51555C"/>
              <w:right w:val="single" w:sz="8" w:color="51555C"/>
            </w:tcBorders>
            <w:shd w:val="clear" w:color="auto" w:fill="EBFBFF"/>
          </w:tcPr>
          <w:p>
            <w:pPr>
              <w:spacing w:after="0"/>
              <w:rPr>
                <w:sz w:val="11"/>
                <w:szCs w:val="11"/>
                <w:color w:val="auto"/>
              </w:rPr>
            </w:pPr>
          </w:p>
        </w:tc>
        <w:tc>
          <w:tcPr>
            <w:tcW w:w="900" w:type="dxa"/>
            <w:vAlign w:val="bottom"/>
            <w:tcBorders>
              <w:bottom w:val="single" w:sz="8" w:color="51555C"/>
              <w:right w:val="single" w:sz="8" w:color="51555C"/>
            </w:tcBorders>
            <w:shd w:val="clear" w:color="auto" w:fill="EBFBFF"/>
          </w:tcPr>
          <w:p>
            <w:pPr>
              <w:spacing w:after="0"/>
              <w:rPr>
                <w:sz w:val="11"/>
                <w:szCs w:val="11"/>
                <w:color w:val="auto"/>
              </w:rPr>
            </w:pPr>
          </w:p>
        </w:tc>
        <w:tc>
          <w:tcPr>
            <w:tcW w:w="940" w:type="dxa"/>
            <w:vAlign w:val="bottom"/>
            <w:tcBorders>
              <w:bottom w:val="single" w:sz="8" w:color="51555C"/>
              <w:right w:val="single" w:sz="8" w:color="51555C"/>
            </w:tcBorders>
            <w:shd w:val="clear" w:color="auto" w:fill="EBFBFF"/>
          </w:tcPr>
          <w:p>
            <w:pPr>
              <w:spacing w:after="0"/>
              <w:rPr>
                <w:sz w:val="11"/>
                <w:szCs w:val="11"/>
                <w:color w:val="auto"/>
              </w:rPr>
            </w:pPr>
          </w:p>
        </w:tc>
        <w:tc>
          <w:tcPr>
            <w:tcW w:w="0" w:type="dxa"/>
            <w:vAlign w:val="bottom"/>
          </w:tcPr>
          <w:p>
            <w:pPr>
              <w:spacing w:after="0"/>
              <w:rPr>
                <w:sz w:val="1"/>
                <w:szCs w:val="1"/>
                <w:color w:val="auto"/>
              </w:rPr>
            </w:pPr>
          </w:p>
        </w:tc>
      </w:tr>
      <w:tr>
        <w:trPr>
          <w:trHeight w:val="410"/>
        </w:trPr>
        <w:tc>
          <w:tcPr>
            <w:tcW w:w="800" w:type="dxa"/>
            <w:vAlign w:val="bottom"/>
            <w:tcBorders>
              <w:left w:val="single" w:sz="8" w:color="51555C"/>
              <w:right w:val="single" w:sz="8" w:color="51555C"/>
            </w:tcBorders>
          </w:tcPr>
          <w:p>
            <w:pPr>
              <w:spacing w:after="0"/>
              <w:rPr>
                <w:sz w:val="24"/>
                <w:szCs w:val="24"/>
                <w:color w:val="auto"/>
              </w:rPr>
            </w:pPr>
          </w:p>
        </w:tc>
        <w:tc>
          <w:tcPr>
            <w:tcW w:w="4020" w:type="dxa"/>
            <w:vAlign w:val="bottom"/>
            <w:tcBorders>
              <w:right w:val="single" w:sz="8" w:color="51555C"/>
            </w:tcBorders>
          </w:tcPr>
          <w:p>
            <w:pPr>
              <w:spacing w:after="0"/>
              <w:rPr>
                <w:sz w:val="20"/>
                <w:szCs w:val="20"/>
                <w:color w:val="auto"/>
              </w:rPr>
            </w:pPr>
            <w:r>
              <w:rPr>
                <w:rFonts w:ascii="Arial" w:cs="Arial" w:eastAsia="Arial" w:hAnsi="Arial"/>
                <w:sz w:val="18"/>
                <w:szCs w:val="18"/>
                <w:b w:val="1"/>
                <w:bCs w:val="1"/>
                <w:color w:val="51555C"/>
              </w:rPr>
              <w:t>Corporate Governance</w:t>
            </w:r>
          </w:p>
        </w:tc>
        <w:tc>
          <w:tcPr>
            <w:tcW w:w="920" w:type="dxa"/>
            <w:vAlign w:val="bottom"/>
            <w:tcBorders>
              <w:right w:val="single" w:sz="8" w:color="51555C"/>
            </w:tcBorders>
          </w:tcPr>
          <w:p>
            <w:pPr>
              <w:jc w:val="center"/>
              <w:spacing w:after="0"/>
              <w:rPr>
                <w:sz w:val="20"/>
                <w:szCs w:val="20"/>
                <w:color w:val="auto"/>
              </w:rPr>
            </w:pPr>
            <w:r>
              <w:rPr>
                <w:rFonts w:ascii="Wingdings" w:cs="Wingdings" w:eastAsia="Wingdings" w:hAnsi="Wingdings"/>
                <w:sz w:val="25"/>
                <w:szCs w:val="25"/>
                <w:b w:val="1"/>
                <w:bCs w:val="1"/>
                <w:color w:val="0CD973"/>
                <w:w w:val="96"/>
              </w:rPr>
              <w:t>l</w:t>
            </w:r>
          </w:p>
        </w:tc>
        <w:tc>
          <w:tcPr>
            <w:tcW w:w="920" w:type="dxa"/>
            <w:vAlign w:val="bottom"/>
            <w:tcBorders>
              <w:right w:val="single" w:sz="8" w:color="51555C"/>
            </w:tcBorders>
          </w:tcPr>
          <w:p>
            <w:pPr>
              <w:jc w:val="center"/>
              <w:spacing w:after="0"/>
              <w:rPr>
                <w:sz w:val="20"/>
                <w:szCs w:val="20"/>
                <w:color w:val="auto"/>
              </w:rPr>
            </w:pPr>
            <w:r>
              <w:rPr>
                <w:rFonts w:ascii="Wingdings" w:cs="Wingdings" w:eastAsia="Wingdings" w:hAnsi="Wingdings"/>
                <w:sz w:val="25"/>
                <w:szCs w:val="25"/>
                <w:b w:val="1"/>
                <w:bCs w:val="1"/>
                <w:color w:val="0CD973"/>
                <w:w w:val="96"/>
              </w:rPr>
              <w:t>l</w:t>
            </w:r>
          </w:p>
        </w:tc>
        <w:tc>
          <w:tcPr>
            <w:tcW w:w="920" w:type="dxa"/>
            <w:vAlign w:val="bottom"/>
            <w:tcBorders>
              <w:right w:val="single" w:sz="8" w:color="51555C"/>
            </w:tcBorders>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20" w:type="dxa"/>
            <w:vAlign w:val="bottom"/>
            <w:tcBorders>
              <w:right w:val="single" w:sz="8" w:color="51555C"/>
            </w:tcBorders>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20" w:type="dxa"/>
            <w:vAlign w:val="bottom"/>
            <w:tcBorders>
              <w:right w:val="single" w:sz="8" w:color="51555C"/>
            </w:tcBorders>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00" w:type="dxa"/>
            <w:vAlign w:val="bottom"/>
            <w:tcBorders>
              <w:right w:val="single" w:sz="8" w:color="51555C"/>
            </w:tcBorders>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40" w:type="dxa"/>
            <w:vAlign w:val="bottom"/>
            <w:tcBorders>
              <w:right w:val="single" w:sz="8" w:color="51555C"/>
            </w:tcBorders>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0" w:type="dxa"/>
            <w:vAlign w:val="bottom"/>
          </w:tcPr>
          <w:p>
            <w:pPr>
              <w:spacing w:after="0"/>
              <w:rPr>
                <w:sz w:val="1"/>
                <w:szCs w:val="1"/>
                <w:color w:val="auto"/>
              </w:rPr>
            </w:pPr>
          </w:p>
        </w:tc>
      </w:tr>
      <w:tr>
        <w:trPr>
          <w:trHeight w:val="136"/>
        </w:trPr>
        <w:tc>
          <w:tcPr>
            <w:tcW w:w="800" w:type="dxa"/>
            <w:vAlign w:val="bottom"/>
            <w:tcBorders>
              <w:left w:val="single" w:sz="8" w:color="51555C"/>
              <w:bottom w:val="single" w:sz="8" w:color="51555C"/>
              <w:right w:val="single" w:sz="8" w:color="51555C"/>
            </w:tcBorders>
          </w:tcPr>
          <w:p>
            <w:pPr>
              <w:spacing w:after="0"/>
              <w:rPr>
                <w:sz w:val="11"/>
                <w:szCs w:val="11"/>
                <w:color w:val="auto"/>
              </w:rPr>
            </w:pPr>
          </w:p>
        </w:tc>
        <w:tc>
          <w:tcPr>
            <w:tcW w:w="4020" w:type="dxa"/>
            <w:vAlign w:val="bottom"/>
            <w:tcBorders>
              <w:bottom w:val="single" w:sz="8" w:color="51555C"/>
              <w:right w:val="single" w:sz="8" w:color="51555C"/>
            </w:tcBorders>
          </w:tcPr>
          <w:p>
            <w:pPr>
              <w:spacing w:after="0"/>
              <w:rPr>
                <w:sz w:val="11"/>
                <w:szCs w:val="11"/>
                <w:color w:val="auto"/>
              </w:rPr>
            </w:pPr>
          </w:p>
        </w:tc>
        <w:tc>
          <w:tcPr>
            <w:tcW w:w="920" w:type="dxa"/>
            <w:vAlign w:val="bottom"/>
            <w:tcBorders>
              <w:bottom w:val="single" w:sz="8" w:color="51555C"/>
              <w:right w:val="single" w:sz="8" w:color="51555C"/>
            </w:tcBorders>
          </w:tcPr>
          <w:p>
            <w:pPr>
              <w:spacing w:after="0"/>
              <w:rPr>
                <w:sz w:val="11"/>
                <w:szCs w:val="11"/>
                <w:color w:val="auto"/>
              </w:rPr>
            </w:pPr>
          </w:p>
        </w:tc>
        <w:tc>
          <w:tcPr>
            <w:tcW w:w="920" w:type="dxa"/>
            <w:vAlign w:val="bottom"/>
            <w:tcBorders>
              <w:bottom w:val="single" w:sz="8" w:color="51555C"/>
              <w:right w:val="single" w:sz="8" w:color="51555C"/>
            </w:tcBorders>
          </w:tcPr>
          <w:p>
            <w:pPr>
              <w:spacing w:after="0"/>
              <w:rPr>
                <w:sz w:val="11"/>
                <w:szCs w:val="11"/>
                <w:color w:val="auto"/>
              </w:rPr>
            </w:pPr>
          </w:p>
        </w:tc>
        <w:tc>
          <w:tcPr>
            <w:tcW w:w="920" w:type="dxa"/>
            <w:vAlign w:val="bottom"/>
            <w:tcBorders>
              <w:bottom w:val="single" w:sz="8" w:color="51555C"/>
              <w:right w:val="single" w:sz="8" w:color="51555C"/>
            </w:tcBorders>
          </w:tcPr>
          <w:p>
            <w:pPr>
              <w:spacing w:after="0"/>
              <w:rPr>
                <w:sz w:val="11"/>
                <w:szCs w:val="11"/>
                <w:color w:val="auto"/>
              </w:rPr>
            </w:pPr>
          </w:p>
        </w:tc>
        <w:tc>
          <w:tcPr>
            <w:tcW w:w="920" w:type="dxa"/>
            <w:vAlign w:val="bottom"/>
            <w:tcBorders>
              <w:bottom w:val="single" w:sz="8" w:color="51555C"/>
              <w:right w:val="single" w:sz="8" w:color="51555C"/>
            </w:tcBorders>
          </w:tcPr>
          <w:p>
            <w:pPr>
              <w:spacing w:after="0"/>
              <w:rPr>
                <w:sz w:val="11"/>
                <w:szCs w:val="11"/>
                <w:color w:val="auto"/>
              </w:rPr>
            </w:pPr>
          </w:p>
        </w:tc>
        <w:tc>
          <w:tcPr>
            <w:tcW w:w="920" w:type="dxa"/>
            <w:vAlign w:val="bottom"/>
            <w:tcBorders>
              <w:bottom w:val="single" w:sz="8" w:color="51555C"/>
              <w:right w:val="single" w:sz="8" w:color="51555C"/>
            </w:tcBorders>
          </w:tcPr>
          <w:p>
            <w:pPr>
              <w:spacing w:after="0"/>
              <w:rPr>
                <w:sz w:val="11"/>
                <w:szCs w:val="11"/>
                <w:color w:val="auto"/>
              </w:rPr>
            </w:pPr>
          </w:p>
        </w:tc>
        <w:tc>
          <w:tcPr>
            <w:tcW w:w="900" w:type="dxa"/>
            <w:vAlign w:val="bottom"/>
            <w:tcBorders>
              <w:bottom w:val="single" w:sz="8" w:color="51555C"/>
              <w:right w:val="single" w:sz="8" w:color="51555C"/>
            </w:tcBorders>
          </w:tcPr>
          <w:p>
            <w:pPr>
              <w:spacing w:after="0"/>
              <w:rPr>
                <w:sz w:val="11"/>
                <w:szCs w:val="11"/>
                <w:color w:val="auto"/>
              </w:rPr>
            </w:pPr>
          </w:p>
        </w:tc>
        <w:tc>
          <w:tcPr>
            <w:tcW w:w="940" w:type="dxa"/>
            <w:vAlign w:val="bottom"/>
            <w:tcBorders>
              <w:bottom w:val="single" w:sz="8" w:color="51555C"/>
              <w:right w:val="single" w:sz="8" w:color="51555C"/>
            </w:tcBorders>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800" w:type="dxa"/>
            <w:vAlign w:val="bottom"/>
            <w:tcBorders>
              <w:left w:val="single" w:sz="8" w:color="51555C"/>
              <w:right w:val="single" w:sz="8" w:color="51555C"/>
            </w:tcBorders>
            <w:shd w:val="clear" w:color="auto" w:fill="EBFBFF"/>
          </w:tcPr>
          <w:p>
            <w:pPr>
              <w:spacing w:after="0"/>
              <w:rPr>
                <w:sz w:val="23"/>
                <w:szCs w:val="23"/>
                <w:color w:val="auto"/>
              </w:rPr>
            </w:pPr>
          </w:p>
        </w:tc>
        <w:tc>
          <w:tcPr>
            <w:tcW w:w="4020" w:type="dxa"/>
            <w:vAlign w:val="bottom"/>
            <w:tcBorders>
              <w:right w:val="single" w:sz="8" w:color="51555C"/>
            </w:tcBorders>
            <w:shd w:val="clear" w:color="auto" w:fill="EBFBFF"/>
          </w:tcPr>
          <w:p>
            <w:pPr>
              <w:spacing w:after="0"/>
              <w:rPr>
                <w:sz w:val="20"/>
                <w:szCs w:val="20"/>
                <w:color w:val="auto"/>
              </w:rPr>
            </w:pPr>
            <w:r>
              <w:rPr>
                <w:rFonts w:ascii="Arial" w:cs="Arial" w:eastAsia="Arial" w:hAnsi="Arial"/>
                <w:sz w:val="18"/>
                <w:szCs w:val="18"/>
                <w:b w:val="1"/>
                <w:bCs w:val="1"/>
                <w:color w:val="51555C"/>
              </w:rPr>
              <w:t>Business Development &amp; Corporate</w:t>
            </w:r>
          </w:p>
        </w:tc>
        <w:tc>
          <w:tcPr>
            <w:tcW w:w="920" w:type="dxa"/>
            <w:vAlign w:val="bottom"/>
            <w:tcBorders>
              <w:right w:val="single" w:sz="8" w:color="51555C"/>
            </w:tcBorders>
            <w:shd w:val="clear" w:color="auto" w:fill="EBFBFF"/>
          </w:tcPr>
          <w:p>
            <w:pPr>
              <w:spacing w:after="0"/>
              <w:rPr>
                <w:sz w:val="23"/>
                <w:szCs w:val="23"/>
                <w:color w:val="auto"/>
              </w:rPr>
            </w:pPr>
          </w:p>
        </w:tc>
        <w:tc>
          <w:tcPr>
            <w:tcW w:w="920" w:type="dxa"/>
            <w:vAlign w:val="bottom"/>
            <w:tcBorders>
              <w:right w:val="single" w:sz="8" w:color="51555C"/>
            </w:tcBorders>
            <w:vMerge w:val="restart"/>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w w:val="96"/>
              </w:rPr>
              <w:t>l</w:t>
            </w:r>
          </w:p>
        </w:tc>
        <w:tc>
          <w:tcPr>
            <w:tcW w:w="920" w:type="dxa"/>
            <w:vAlign w:val="bottom"/>
            <w:tcBorders>
              <w:right w:val="single" w:sz="8" w:color="51555C"/>
            </w:tcBorders>
            <w:vMerge w:val="restart"/>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20" w:type="dxa"/>
            <w:vAlign w:val="bottom"/>
            <w:tcBorders>
              <w:right w:val="single" w:sz="8" w:color="51555C"/>
            </w:tcBorders>
            <w:vMerge w:val="restart"/>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20" w:type="dxa"/>
            <w:vAlign w:val="bottom"/>
            <w:tcBorders>
              <w:right w:val="single" w:sz="8" w:color="51555C"/>
            </w:tcBorders>
            <w:vMerge w:val="restart"/>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00" w:type="dxa"/>
            <w:vAlign w:val="bottom"/>
            <w:tcBorders>
              <w:right w:val="single" w:sz="8" w:color="51555C"/>
            </w:tcBorders>
            <w:shd w:val="clear" w:color="auto" w:fill="EBFBFF"/>
          </w:tcPr>
          <w:p>
            <w:pPr>
              <w:spacing w:after="0"/>
              <w:rPr>
                <w:sz w:val="23"/>
                <w:szCs w:val="23"/>
                <w:color w:val="auto"/>
              </w:rPr>
            </w:pPr>
          </w:p>
        </w:tc>
        <w:tc>
          <w:tcPr>
            <w:tcW w:w="940" w:type="dxa"/>
            <w:vAlign w:val="bottom"/>
            <w:tcBorders>
              <w:right w:val="single" w:sz="8" w:color="51555C"/>
            </w:tcBorders>
            <w:vMerge w:val="restart"/>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0" w:type="dxa"/>
            <w:vAlign w:val="bottom"/>
          </w:tcPr>
          <w:p>
            <w:pPr>
              <w:spacing w:after="0"/>
              <w:rPr>
                <w:sz w:val="1"/>
                <w:szCs w:val="1"/>
                <w:color w:val="auto"/>
              </w:rPr>
            </w:pPr>
          </w:p>
        </w:tc>
      </w:tr>
      <w:tr>
        <w:trPr>
          <w:trHeight w:val="125"/>
        </w:trPr>
        <w:tc>
          <w:tcPr>
            <w:tcW w:w="800" w:type="dxa"/>
            <w:vAlign w:val="bottom"/>
            <w:tcBorders>
              <w:left w:val="single" w:sz="8" w:color="51555C"/>
              <w:right w:val="single" w:sz="8" w:color="51555C"/>
            </w:tcBorders>
            <w:shd w:val="clear" w:color="auto" w:fill="EBFBFF"/>
          </w:tcPr>
          <w:p>
            <w:pPr>
              <w:spacing w:after="0"/>
              <w:rPr>
                <w:sz w:val="10"/>
                <w:szCs w:val="10"/>
                <w:color w:val="auto"/>
              </w:rPr>
            </w:pPr>
          </w:p>
        </w:tc>
        <w:tc>
          <w:tcPr>
            <w:tcW w:w="4020" w:type="dxa"/>
            <w:vAlign w:val="bottom"/>
            <w:tcBorders>
              <w:right w:val="single" w:sz="8" w:color="51555C"/>
            </w:tcBorders>
            <w:vMerge w:val="restart"/>
            <w:shd w:val="clear" w:color="auto" w:fill="EBFBFF"/>
          </w:tcPr>
          <w:p>
            <w:pPr>
              <w:spacing w:after="0"/>
              <w:rPr>
                <w:sz w:val="20"/>
                <w:szCs w:val="20"/>
                <w:color w:val="auto"/>
              </w:rPr>
            </w:pPr>
            <w:r>
              <w:rPr>
                <w:rFonts w:ascii="Arial" w:cs="Arial" w:eastAsia="Arial" w:hAnsi="Arial"/>
                <w:sz w:val="18"/>
                <w:szCs w:val="18"/>
                <w:b w:val="1"/>
                <w:bCs w:val="1"/>
                <w:color w:val="51555C"/>
              </w:rPr>
              <w:t>Transactions</w:t>
            </w:r>
          </w:p>
        </w:tc>
        <w:tc>
          <w:tcPr>
            <w:tcW w:w="920" w:type="dxa"/>
            <w:vAlign w:val="bottom"/>
            <w:tcBorders>
              <w:right w:val="single" w:sz="8" w:color="51555C"/>
            </w:tcBorders>
            <w:shd w:val="clear" w:color="auto" w:fill="EBFBFF"/>
          </w:tcPr>
          <w:p>
            <w:pPr>
              <w:spacing w:after="0"/>
              <w:rPr>
                <w:sz w:val="10"/>
                <w:szCs w:val="10"/>
                <w:color w:val="auto"/>
              </w:rPr>
            </w:pPr>
          </w:p>
        </w:tc>
        <w:tc>
          <w:tcPr>
            <w:tcW w:w="920" w:type="dxa"/>
            <w:vAlign w:val="bottom"/>
            <w:tcBorders>
              <w:right w:val="single" w:sz="8" w:color="51555C"/>
            </w:tcBorders>
            <w:vMerge w:val="continue"/>
            <w:shd w:val="clear" w:color="auto" w:fill="EBFBFF"/>
          </w:tcPr>
          <w:p>
            <w:pPr>
              <w:spacing w:after="0"/>
              <w:rPr>
                <w:sz w:val="10"/>
                <w:szCs w:val="10"/>
                <w:color w:val="auto"/>
              </w:rPr>
            </w:pPr>
          </w:p>
        </w:tc>
        <w:tc>
          <w:tcPr>
            <w:tcW w:w="920" w:type="dxa"/>
            <w:vAlign w:val="bottom"/>
            <w:tcBorders>
              <w:right w:val="single" w:sz="8" w:color="51555C"/>
            </w:tcBorders>
            <w:vMerge w:val="continue"/>
            <w:shd w:val="clear" w:color="auto" w:fill="EBFBFF"/>
          </w:tcPr>
          <w:p>
            <w:pPr>
              <w:spacing w:after="0"/>
              <w:rPr>
                <w:sz w:val="10"/>
                <w:szCs w:val="10"/>
                <w:color w:val="auto"/>
              </w:rPr>
            </w:pPr>
          </w:p>
        </w:tc>
        <w:tc>
          <w:tcPr>
            <w:tcW w:w="920" w:type="dxa"/>
            <w:vAlign w:val="bottom"/>
            <w:tcBorders>
              <w:right w:val="single" w:sz="8" w:color="51555C"/>
            </w:tcBorders>
            <w:vMerge w:val="continue"/>
            <w:shd w:val="clear" w:color="auto" w:fill="EBFBFF"/>
          </w:tcPr>
          <w:p>
            <w:pPr>
              <w:spacing w:after="0"/>
              <w:rPr>
                <w:sz w:val="10"/>
                <w:szCs w:val="10"/>
                <w:color w:val="auto"/>
              </w:rPr>
            </w:pPr>
          </w:p>
        </w:tc>
        <w:tc>
          <w:tcPr>
            <w:tcW w:w="920" w:type="dxa"/>
            <w:vAlign w:val="bottom"/>
            <w:tcBorders>
              <w:right w:val="single" w:sz="8" w:color="51555C"/>
            </w:tcBorders>
            <w:vMerge w:val="continue"/>
            <w:shd w:val="clear" w:color="auto" w:fill="EBFBFF"/>
          </w:tcPr>
          <w:p>
            <w:pPr>
              <w:spacing w:after="0"/>
              <w:rPr>
                <w:sz w:val="10"/>
                <w:szCs w:val="10"/>
                <w:color w:val="auto"/>
              </w:rPr>
            </w:pPr>
          </w:p>
        </w:tc>
        <w:tc>
          <w:tcPr>
            <w:tcW w:w="900" w:type="dxa"/>
            <w:vAlign w:val="bottom"/>
            <w:tcBorders>
              <w:right w:val="single" w:sz="8" w:color="51555C"/>
            </w:tcBorders>
            <w:shd w:val="clear" w:color="auto" w:fill="EBFBFF"/>
          </w:tcPr>
          <w:p>
            <w:pPr>
              <w:spacing w:after="0"/>
              <w:rPr>
                <w:sz w:val="10"/>
                <w:szCs w:val="10"/>
                <w:color w:val="auto"/>
              </w:rPr>
            </w:pPr>
          </w:p>
        </w:tc>
        <w:tc>
          <w:tcPr>
            <w:tcW w:w="940" w:type="dxa"/>
            <w:vAlign w:val="bottom"/>
            <w:tcBorders>
              <w:right w:val="single" w:sz="8" w:color="51555C"/>
            </w:tcBorders>
            <w:vMerge w:val="continue"/>
            <w:shd w:val="clear" w:color="auto" w:fill="EBFBFF"/>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800" w:type="dxa"/>
            <w:vAlign w:val="bottom"/>
            <w:tcBorders>
              <w:left w:val="single" w:sz="8" w:color="51555C"/>
              <w:bottom w:val="single" w:sz="8" w:color="EBFBFF"/>
              <w:right w:val="single" w:sz="8" w:color="51555C"/>
            </w:tcBorders>
            <w:shd w:val="clear" w:color="auto" w:fill="EBFBFF"/>
          </w:tcPr>
          <w:p>
            <w:pPr>
              <w:spacing w:after="0"/>
              <w:rPr>
                <w:sz w:val="13"/>
                <w:szCs w:val="13"/>
                <w:color w:val="auto"/>
              </w:rPr>
            </w:pPr>
          </w:p>
        </w:tc>
        <w:tc>
          <w:tcPr>
            <w:tcW w:w="4020" w:type="dxa"/>
            <w:vAlign w:val="bottom"/>
            <w:tcBorders>
              <w:bottom w:val="single" w:sz="8" w:color="EBFBFF"/>
              <w:right w:val="single" w:sz="8" w:color="51555C"/>
            </w:tcBorders>
            <w:vMerge w:val="continue"/>
            <w:shd w:val="clear" w:color="auto" w:fill="EBFBFF"/>
          </w:tcPr>
          <w:p>
            <w:pPr>
              <w:spacing w:after="0"/>
              <w:rPr>
                <w:sz w:val="13"/>
                <w:szCs w:val="13"/>
                <w:color w:val="auto"/>
              </w:rPr>
            </w:pPr>
          </w:p>
        </w:tc>
        <w:tc>
          <w:tcPr>
            <w:tcW w:w="920" w:type="dxa"/>
            <w:vAlign w:val="bottom"/>
            <w:tcBorders>
              <w:bottom w:val="single" w:sz="8" w:color="EBFBFF"/>
              <w:right w:val="single" w:sz="8" w:color="51555C"/>
            </w:tcBorders>
            <w:shd w:val="clear" w:color="auto" w:fill="EBFBFF"/>
          </w:tcPr>
          <w:p>
            <w:pPr>
              <w:spacing w:after="0"/>
              <w:rPr>
                <w:sz w:val="13"/>
                <w:szCs w:val="13"/>
                <w:color w:val="auto"/>
              </w:rPr>
            </w:pPr>
          </w:p>
        </w:tc>
        <w:tc>
          <w:tcPr>
            <w:tcW w:w="920" w:type="dxa"/>
            <w:vAlign w:val="bottom"/>
            <w:tcBorders>
              <w:bottom w:val="single" w:sz="8" w:color="EBFBFF"/>
              <w:right w:val="single" w:sz="8" w:color="51555C"/>
            </w:tcBorders>
            <w:shd w:val="clear" w:color="auto" w:fill="EBFBFF"/>
          </w:tcPr>
          <w:p>
            <w:pPr>
              <w:spacing w:after="0"/>
              <w:rPr>
                <w:sz w:val="13"/>
                <w:szCs w:val="13"/>
                <w:color w:val="auto"/>
              </w:rPr>
            </w:pPr>
          </w:p>
        </w:tc>
        <w:tc>
          <w:tcPr>
            <w:tcW w:w="920" w:type="dxa"/>
            <w:vAlign w:val="bottom"/>
            <w:tcBorders>
              <w:bottom w:val="single" w:sz="8" w:color="EBFBFF"/>
              <w:right w:val="single" w:sz="8" w:color="51555C"/>
            </w:tcBorders>
            <w:shd w:val="clear" w:color="auto" w:fill="EBFBFF"/>
          </w:tcPr>
          <w:p>
            <w:pPr>
              <w:spacing w:after="0"/>
              <w:rPr>
                <w:sz w:val="13"/>
                <w:szCs w:val="13"/>
                <w:color w:val="auto"/>
              </w:rPr>
            </w:pPr>
          </w:p>
        </w:tc>
        <w:tc>
          <w:tcPr>
            <w:tcW w:w="920" w:type="dxa"/>
            <w:vAlign w:val="bottom"/>
            <w:tcBorders>
              <w:bottom w:val="single" w:sz="8" w:color="EBFBFF"/>
              <w:right w:val="single" w:sz="8" w:color="51555C"/>
            </w:tcBorders>
            <w:shd w:val="clear" w:color="auto" w:fill="EBFBFF"/>
          </w:tcPr>
          <w:p>
            <w:pPr>
              <w:spacing w:after="0"/>
              <w:rPr>
                <w:sz w:val="13"/>
                <w:szCs w:val="13"/>
                <w:color w:val="auto"/>
              </w:rPr>
            </w:pPr>
          </w:p>
        </w:tc>
        <w:tc>
          <w:tcPr>
            <w:tcW w:w="920" w:type="dxa"/>
            <w:vAlign w:val="bottom"/>
            <w:tcBorders>
              <w:bottom w:val="single" w:sz="8" w:color="EBFBFF"/>
              <w:right w:val="single" w:sz="8" w:color="51555C"/>
            </w:tcBorders>
            <w:shd w:val="clear" w:color="auto" w:fill="EBFBFF"/>
          </w:tcPr>
          <w:p>
            <w:pPr>
              <w:spacing w:after="0"/>
              <w:rPr>
                <w:sz w:val="13"/>
                <w:szCs w:val="13"/>
                <w:color w:val="auto"/>
              </w:rPr>
            </w:pPr>
          </w:p>
        </w:tc>
        <w:tc>
          <w:tcPr>
            <w:tcW w:w="900" w:type="dxa"/>
            <w:vAlign w:val="bottom"/>
            <w:tcBorders>
              <w:bottom w:val="single" w:sz="8" w:color="EBFBFF"/>
              <w:right w:val="single" w:sz="8" w:color="51555C"/>
            </w:tcBorders>
            <w:shd w:val="clear" w:color="auto" w:fill="EBFBFF"/>
          </w:tcPr>
          <w:p>
            <w:pPr>
              <w:spacing w:after="0"/>
              <w:rPr>
                <w:sz w:val="13"/>
                <w:szCs w:val="13"/>
                <w:color w:val="auto"/>
              </w:rPr>
            </w:pPr>
          </w:p>
        </w:tc>
        <w:tc>
          <w:tcPr>
            <w:tcW w:w="940" w:type="dxa"/>
            <w:vAlign w:val="bottom"/>
            <w:tcBorders>
              <w:bottom w:val="single" w:sz="8" w:color="EBFBFF"/>
              <w:right w:val="single" w:sz="8" w:color="51555C"/>
            </w:tcBorders>
            <w:shd w:val="clear" w:color="auto" w:fill="EBFBFF"/>
          </w:tcPr>
          <w:p>
            <w:pPr>
              <w:spacing w:after="0"/>
              <w:rPr>
                <w:sz w:val="13"/>
                <w:szCs w:val="13"/>
                <w:color w:val="auto"/>
              </w:rPr>
            </w:pPr>
          </w:p>
        </w:tc>
        <w:tc>
          <w:tcPr>
            <w:tcW w:w="0" w:type="dxa"/>
            <w:vAlign w:val="bottom"/>
          </w:tcPr>
          <w:p>
            <w:pPr>
              <w:spacing w:after="0"/>
              <w:rPr>
                <w:sz w:val="1"/>
                <w:szCs w:val="1"/>
                <w:color w:val="auto"/>
              </w:rPr>
            </w:pPr>
          </w:p>
        </w:tc>
      </w:tr>
      <w:tr>
        <w:trPr>
          <w:trHeight w:val="410"/>
        </w:trPr>
        <w:tc>
          <w:tcPr>
            <w:tcW w:w="800" w:type="dxa"/>
            <w:vAlign w:val="bottom"/>
            <w:tcBorders>
              <w:top w:val="single" w:sz="8" w:color="51555C"/>
              <w:left w:val="single" w:sz="8" w:color="51555C"/>
              <w:right w:val="single" w:sz="8" w:color="51555C"/>
            </w:tcBorders>
          </w:tcPr>
          <w:p>
            <w:pPr>
              <w:spacing w:after="0"/>
              <w:rPr>
                <w:sz w:val="24"/>
                <w:szCs w:val="24"/>
                <w:color w:val="auto"/>
              </w:rPr>
            </w:pPr>
          </w:p>
        </w:tc>
        <w:tc>
          <w:tcPr>
            <w:tcW w:w="4020" w:type="dxa"/>
            <w:vAlign w:val="bottom"/>
            <w:tcBorders>
              <w:top w:val="single" w:sz="8" w:color="51555C"/>
              <w:right w:val="single" w:sz="8" w:color="51555C"/>
            </w:tcBorders>
          </w:tcPr>
          <w:p>
            <w:pPr>
              <w:spacing w:after="0"/>
              <w:rPr>
                <w:sz w:val="20"/>
                <w:szCs w:val="20"/>
                <w:color w:val="auto"/>
              </w:rPr>
            </w:pPr>
            <w:r>
              <w:rPr>
                <w:rFonts w:ascii="Arial" w:cs="Arial" w:eastAsia="Arial" w:hAnsi="Arial"/>
                <w:sz w:val="18"/>
                <w:szCs w:val="18"/>
                <w:b w:val="1"/>
                <w:bCs w:val="1"/>
                <w:color w:val="51555C"/>
              </w:rPr>
              <w:t>Business Operations</w:t>
            </w:r>
          </w:p>
        </w:tc>
        <w:tc>
          <w:tcPr>
            <w:tcW w:w="920" w:type="dxa"/>
            <w:vAlign w:val="bottom"/>
            <w:tcBorders>
              <w:top w:val="single" w:sz="8" w:color="51555C"/>
              <w:right w:val="single" w:sz="8" w:color="51555C"/>
            </w:tcBorders>
          </w:tcPr>
          <w:p>
            <w:pPr>
              <w:jc w:val="center"/>
              <w:spacing w:after="0"/>
              <w:rPr>
                <w:sz w:val="20"/>
                <w:szCs w:val="20"/>
                <w:color w:val="auto"/>
              </w:rPr>
            </w:pPr>
            <w:r>
              <w:rPr>
                <w:rFonts w:ascii="Wingdings" w:cs="Wingdings" w:eastAsia="Wingdings" w:hAnsi="Wingdings"/>
                <w:sz w:val="25"/>
                <w:szCs w:val="25"/>
                <w:b w:val="1"/>
                <w:bCs w:val="1"/>
                <w:color w:val="0CD973"/>
                <w:w w:val="96"/>
              </w:rPr>
              <w:t>l</w:t>
            </w:r>
          </w:p>
        </w:tc>
        <w:tc>
          <w:tcPr>
            <w:tcW w:w="920" w:type="dxa"/>
            <w:vAlign w:val="bottom"/>
            <w:tcBorders>
              <w:top w:val="single" w:sz="8" w:color="51555C"/>
              <w:right w:val="single" w:sz="8" w:color="51555C"/>
            </w:tcBorders>
          </w:tcPr>
          <w:p>
            <w:pPr>
              <w:jc w:val="center"/>
              <w:spacing w:after="0"/>
              <w:rPr>
                <w:sz w:val="20"/>
                <w:szCs w:val="20"/>
                <w:color w:val="auto"/>
              </w:rPr>
            </w:pPr>
            <w:r>
              <w:rPr>
                <w:rFonts w:ascii="Wingdings" w:cs="Wingdings" w:eastAsia="Wingdings" w:hAnsi="Wingdings"/>
                <w:sz w:val="25"/>
                <w:szCs w:val="25"/>
                <w:b w:val="1"/>
                <w:bCs w:val="1"/>
                <w:color w:val="0CD973"/>
                <w:w w:val="96"/>
              </w:rPr>
              <w:t>l</w:t>
            </w:r>
          </w:p>
        </w:tc>
        <w:tc>
          <w:tcPr>
            <w:tcW w:w="920" w:type="dxa"/>
            <w:vAlign w:val="bottom"/>
            <w:tcBorders>
              <w:top w:val="single" w:sz="8" w:color="51555C"/>
              <w:right w:val="single" w:sz="8" w:color="51555C"/>
            </w:tcBorders>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20" w:type="dxa"/>
            <w:vAlign w:val="bottom"/>
            <w:tcBorders>
              <w:top w:val="single" w:sz="8" w:color="51555C"/>
              <w:right w:val="single" w:sz="8" w:color="51555C"/>
            </w:tcBorders>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20" w:type="dxa"/>
            <w:vAlign w:val="bottom"/>
            <w:tcBorders>
              <w:top w:val="single" w:sz="8" w:color="51555C"/>
              <w:right w:val="single" w:sz="8" w:color="51555C"/>
            </w:tcBorders>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00" w:type="dxa"/>
            <w:vAlign w:val="bottom"/>
            <w:tcBorders>
              <w:top w:val="single" w:sz="8" w:color="51555C"/>
              <w:right w:val="single" w:sz="8" w:color="51555C"/>
            </w:tcBorders>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40" w:type="dxa"/>
            <w:vAlign w:val="bottom"/>
            <w:tcBorders>
              <w:top w:val="single" w:sz="8" w:color="51555C"/>
              <w:right w:val="single" w:sz="8" w:color="51555C"/>
            </w:tcBorders>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0" w:type="dxa"/>
            <w:vAlign w:val="bottom"/>
          </w:tcPr>
          <w:p>
            <w:pPr>
              <w:spacing w:after="0"/>
              <w:rPr>
                <w:sz w:val="1"/>
                <w:szCs w:val="1"/>
                <w:color w:val="auto"/>
              </w:rPr>
            </w:pPr>
          </w:p>
        </w:tc>
      </w:tr>
      <w:tr>
        <w:trPr>
          <w:trHeight w:val="137"/>
        </w:trPr>
        <w:tc>
          <w:tcPr>
            <w:tcW w:w="800" w:type="dxa"/>
            <w:vAlign w:val="bottom"/>
            <w:tcBorders>
              <w:left w:val="single" w:sz="8" w:color="51555C"/>
              <w:bottom w:val="single" w:sz="8" w:color="51555C"/>
              <w:right w:val="single" w:sz="8" w:color="51555C"/>
            </w:tcBorders>
          </w:tcPr>
          <w:p>
            <w:pPr>
              <w:spacing w:after="0"/>
              <w:rPr>
                <w:sz w:val="11"/>
                <w:szCs w:val="11"/>
                <w:color w:val="auto"/>
              </w:rPr>
            </w:pPr>
          </w:p>
        </w:tc>
        <w:tc>
          <w:tcPr>
            <w:tcW w:w="4020" w:type="dxa"/>
            <w:vAlign w:val="bottom"/>
            <w:tcBorders>
              <w:bottom w:val="single" w:sz="8" w:color="51555C"/>
              <w:right w:val="single" w:sz="8" w:color="51555C"/>
            </w:tcBorders>
          </w:tcPr>
          <w:p>
            <w:pPr>
              <w:spacing w:after="0"/>
              <w:rPr>
                <w:sz w:val="11"/>
                <w:szCs w:val="11"/>
                <w:color w:val="auto"/>
              </w:rPr>
            </w:pPr>
          </w:p>
        </w:tc>
        <w:tc>
          <w:tcPr>
            <w:tcW w:w="920" w:type="dxa"/>
            <w:vAlign w:val="bottom"/>
            <w:tcBorders>
              <w:bottom w:val="single" w:sz="8" w:color="51555C"/>
              <w:right w:val="single" w:sz="8" w:color="51555C"/>
            </w:tcBorders>
          </w:tcPr>
          <w:p>
            <w:pPr>
              <w:spacing w:after="0"/>
              <w:rPr>
                <w:sz w:val="11"/>
                <w:szCs w:val="11"/>
                <w:color w:val="auto"/>
              </w:rPr>
            </w:pPr>
          </w:p>
        </w:tc>
        <w:tc>
          <w:tcPr>
            <w:tcW w:w="920" w:type="dxa"/>
            <w:vAlign w:val="bottom"/>
            <w:tcBorders>
              <w:bottom w:val="single" w:sz="8" w:color="51555C"/>
              <w:right w:val="single" w:sz="8" w:color="51555C"/>
            </w:tcBorders>
          </w:tcPr>
          <w:p>
            <w:pPr>
              <w:spacing w:after="0"/>
              <w:rPr>
                <w:sz w:val="11"/>
                <w:szCs w:val="11"/>
                <w:color w:val="auto"/>
              </w:rPr>
            </w:pPr>
          </w:p>
        </w:tc>
        <w:tc>
          <w:tcPr>
            <w:tcW w:w="920" w:type="dxa"/>
            <w:vAlign w:val="bottom"/>
            <w:tcBorders>
              <w:bottom w:val="single" w:sz="8" w:color="51555C"/>
              <w:right w:val="single" w:sz="8" w:color="51555C"/>
            </w:tcBorders>
          </w:tcPr>
          <w:p>
            <w:pPr>
              <w:spacing w:after="0"/>
              <w:rPr>
                <w:sz w:val="11"/>
                <w:szCs w:val="11"/>
                <w:color w:val="auto"/>
              </w:rPr>
            </w:pPr>
          </w:p>
        </w:tc>
        <w:tc>
          <w:tcPr>
            <w:tcW w:w="920" w:type="dxa"/>
            <w:vAlign w:val="bottom"/>
            <w:tcBorders>
              <w:bottom w:val="single" w:sz="8" w:color="51555C"/>
              <w:right w:val="single" w:sz="8" w:color="51555C"/>
            </w:tcBorders>
          </w:tcPr>
          <w:p>
            <w:pPr>
              <w:spacing w:after="0"/>
              <w:rPr>
                <w:sz w:val="11"/>
                <w:szCs w:val="11"/>
                <w:color w:val="auto"/>
              </w:rPr>
            </w:pPr>
          </w:p>
        </w:tc>
        <w:tc>
          <w:tcPr>
            <w:tcW w:w="920" w:type="dxa"/>
            <w:vAlign w:val="bottom"/>
            <w:tcBorders>
              <w:bottom w:val="single" w:sz="8" w:color="51555C"/>
              <w:right w:val="single" w:sz="8" w:color="51555C"/>
            </w:tcBorders>
          </w:tcPr>
          <w:p>
            <w:pPr>
              <w:spacing w:after="0"/>
              <w:rPr>
                <w:sz w:val="11"/>
                <w:szCs w:val="11"/>
                <w:color w:val="auto"/>
              </w:rPr>
            </w:pPr>
          </w:p>
        </w:tc>
        <w:tc>
          <w:tcPr>
            <w:tcW w:w="900" w:type="dxa"/>
            <w:vAlign w:val="bottom"/>
            <w:tcBorders>
              <w:bottom w:val="single" w:sz="8" w:color="51555C"/>
              <w:right w:val="single" w:sz="8" w:color="51555C"/>
            </w:tcBorders>
          </w:tcPr>
          <w:p>
            <w:pPr>
              <w:spacing w:after="0"/>
              <w:rPr>
                <w:sz w:val="11"/>
                <w:szCs w:val="11"/>
                <w:color w:val="auto"/>
              </w:rPr>
            </w:pPr>
          </w:p>
        </w:tc>
        <w:tc>
          <w:tcPr>
            <w:tcW w:w="940" w:type="dxa"/>
            <w:vAlign w:val="bottom"/>
            <w:tcBorders>
              <w:bottom w:val="single" w:sz="8" w:color="51555C"/>
              <w:right w:val="single" w:sz="8" w:color="51555C"/>
            </w:tcBorders>
          </w:tcPr>
          <w:p>
            <w:pPr>
              <w:spacing w:after="0"/>
              <w:rPr>
                <w:sz w:val="11"/>
                <w:szCs w:val="11"/>
                <w:color w:val="auto"/>
              </w:rPr>
            </w:pPr>
          </w:p>
        </w:tc>
        <w:tc>
          <w:tcPr>
            <w:tcW w:w="0" w:type="dxa"/>
            <w:vAlign w:val="bottom"/>
          </w:tcPr>
          <w:p>
            <w:pPr>
              <w:spacing w:after="0"/>
              <w:rPr>
                <w:sz w:val="1"/>
                <w:szCs w:val="1"/>
                <w:color w:val="auto"/>
              </w:rPr>
            </w:pPr>
          </w:p>
        </w:tc>
      </w:tr>
      <w:tr>
        <w:trPr>
          <w:trHeight w:val="410"/>
        </w:trPr>
        <w:tc>
          <w:tcPr>
            <w:tcW w:w="800" w:type="dxa"/>
            <w:vAlign w:val="bottom"/>
            <w:tcBorders>
              <w:left w:val="single" w:sz="8" w:color="51555C"/>
              <w:right w:val="single" w:sz="8" w:color="51555C"/>
            </w:tcBorders>
            <w:shd w:val="clear" w:color="auto" w:fill="EBFBFF"/>
          </w:tcPr>
          <w:p>
            <w:pPr>
              <w:spacing w:after="0"/>
              <w:rPr>
                <w:sz w:val="24"/>
                <w:szCs w:val="24"/>
                <w:color w:val="auto"/>
              </w:rPr>
            </w:pPr>
          </w:p>
        </w:tc>
        <w:tc>
          <w:tcPr>
            <w:tcW w:w="4020" w:type="dxa"/>
            <w:vAlign w:val="bottom"/>
            <w:tcBorders>
              <w:right w:val="single" w:sz="8" w:color="51555C"/>
            </w:tcBorders>
            <w:shd w:val="clear" w:color="auto" w:fill="EBFBFF"/>
          </w:tcPr>
          <w:p>
            <w:pPr>
              <w:spacing w:after="0"/>
              <w:rPr>
                <w:sz w:val="20"/>
                <w:szCs w:val="20"/>
                <w:color w:val="auto"/>
              </w:rPr>
            </w:pPr>
            <w:r>
              <w:rPr>
                <w:rFonts w:ascii="Arial" w:cs="Arial" w:eastAsia="Arial" w:hAnsi="Arial"/>
                <w:sz w:val="18"/>
                <w:szCs w:val="18"/>
                <w:b w:val="1"/>
                <w:bCs w:val="1"/>
                <w:color w:val="51555C"/>
              </w:rPr>
              <w:t>ESG</w:t>
            </w:r>
          </w:p>
        </w:tc>
        <w:tc>
          <w:tcPr>
            <w:tcW w:w="920" w:type="dxa"/>
            <w:vAlign w:val="bottom"/>
            <w:tcBorders>
              <w:right w:val="single" w:sz="8" w:color="51555C"/>
            </w:tcBorders>
            <w:shd w:val="clear" w:color="auto" w:fill="EBFBFF"/>
          </w:tcPr>
          <w:p>
            <w:pPr>
              <w:spacing w:after="0"/>
              <w:rPr>
                <w:sz w:val="24"/>
                <w:szCs w:val="24"/>
                <w:color w:val="auto"/>
              </w:rPr>
            </w:pPr>
          </w:p>
        </w:tc>
        <w:tc>
          <w:tcPr>
            <w:tcW w:w="920" w:type="dxa"/>
            <w:vAlign w:val="bottom"/>
            <w:tcBorders>
              <w:right w:val="single" w:sz="8" w:color="51555C"/>
            </w:tcBorders>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w w:val="96"/>
              </w:rPr>
              <w:t>l</w:t>
            </w:r>
          </w:p>
        </w:tc>
        <w:tc>
          <w:tcPr>
            <w:tcW w:w="920" w:type="dxa"/>
            <w:vAlign w:val="bottom"/>
            <w:tcBorders>
              <w:right w:val="single" w:sz="8" w:color="51555C"/>
            </w:tcBorders>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20" w:type="dxa"/>
            <w:vAlign w:val="bottom"/>
            <w:tcBorders>
              <w:right w:val="single" w:sz="8" w:color="51555C"/>
            </w:tcBorders>
            <w:shd w:val="clear" w:color="auto" w:fill="EBFBFF"/>
          </w:tcPr>
          <w:p>
            <w:pPr>
              <w:spacing w:after="0"/>
              <w:rPr>
                <w:sz w:val="24"/>
                <w:szCs w:val="24"/>
                <w:color w:val="auto"/>
              </w:rPr>
            </w:pPr>
          </w:p>
        </w:tc>
        <w:tc>
          <w:tcPr>
            <w:tcW w:w="920" w:type="dxa"/>
            <w:vAlign w:val="bottom"/>
            <w:tcBorders>
              <w:right w:val="single" w:sz="8" w:color="51555C"/>
            </w:tcBorders>
            <w:shd w:val="clear" w:color="auto" w:fill="EBFBFF"/>
          </w:tcPr>
          <w:p>
            <w:pPr>
              <w:spacing w:after="0"/>
              <w:rPr>
                <w:sz w:val="24"/>
                <w:szCs w:val="24"/>
                <w:color w:val="auto"/>
              </w:rPr>
            </w:pPr>
          </w:p>
        </w:tc>
        <w:tc>
          <w:tcPr>
            <w:tcW w:w="900" w:type="dxa"/>
            <w:vAlign w:val="bottom"/>
            <w:tcBorders>
              <w:right w:val="single" w:sz="8" w:color="51555C"/>
            </w:tcBorders>
            <w:shd w:val="clear" w:color="auto" w:fill="EBFBFF"/>
          </w:tcPr>
          <w:p>
            <w:pPr>
              <w:spacing w:after="0"/>
              <w:rPr>
                <w:sz w:val="24"/>
                <w:szCs w:val="24"/>
                <w:color w:val="auto"/>
              </w:rPr>
            </w:pPr>
          </w:p>
        </w:tc>
        <w:tc>
          <w:tcPr>
            <w:tcW w:w="940" w:type="dxa"/>
            <w:vAlign w:val="bottom"/>
            <w:tcBorders>
              <w:right w:val="single" w:sz="8" w:color="51555C"/>
            </w:tcBorders>
            <w:shd w:val="clear" w:color="auto" w:fill="EBFBFF"/>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800" w:type="dxa"/>
            <w:vAlign w:val="bottom"/>
            <w:tcBorders>
              <w:left w:val="single" w:sz="8" w:color="51555C"/>
              <w:bottom w:val="single" w:sz="8" w:color="51555C"/>
              <w:right w:val="single" w:sz="8" w:color="51555C"/>
            </w:tcBorders>
            <w:shd w:val="clear" w:color="auto" w:fill="EBFBFF"/>
          </w:tcPr>
          <w:p>
            <w:pPr>
              <w:spacing w:after="0"/>
              <w:rPr>
                <w:sz w:val="10"/>
                <w:szCs w:val="10"/>
                <w:color w:val="auto"/>
              </w:rPr>
            </w:pPr>
          </w:p>
        </w:tc>
        <w:tc>
          <w:tcPr>
            <w:tcW w:w="4020" w:type="dxa"/>
            <w:vAlign w:val="bottom"/>
            <w:tcBorders>
              <w:bottom w:val="single" w:sz="8" w:color="51555C"/>
              <w:right w:val="single" w:sz="8" w:color="51555C"/>
            </w:tcBorders>
            <w:shd w:val="clear" w:color="auto" w:fill="EBFBFF"/>
          </w:tcPr>
          <w:p>
            <w:pPr>
              <w:spacing w:after="0"/>
              <w:rPr>
                <w:sz w:val="10"/>
                <w:szCs w:val="10"/>
                <w:color w:val="auto"/>
              </w:rPr>
            </w:pPr>
          </w:p>
        </w:tc>
        <w:tc>
          <w:tcPr>
            <w:tcW w:w="920" w:type="dxa"/>
            <w:vAlign w:val="bottom"/>
            <w:tcBorders>
              <w:bottom w:val="single" w:sz="8" w:color="51555C"/>
              <w:right w:val="single" w:sz="8" w:color="51555C"/>
            </w:tcBorders>
            <w:shd w:val="clear" w:color="auto" w:fill="EBFBFF"/>
          </w:tcPr>
          <w:p>
            <w:pPr>
              <w:spacing w:after="0"/>
              <w:rPr>
                <w:sz w:val="10"/>
                <w:szCs w:val="10"/>
                <w:color w:val="auto"/>
              </w:rPr>
            </w:pPr>
          </w:p>
        </w:tc>
        <w:tc>
          <w:tcPr>
            <w:tcW w:w="920" w:type="dxa"/>
            <w:vAlign w:val="bottom"/>
            <w:tcBorders>
              <w:bottom w:val="single" w:sz="8" w:color="51555C"/>
              <w:right w:val="single" w:sz="8" w:color="51555C"/>
            </w:tcBorders>
            <w:shd w:val="clear" w:color="auto" w:fill="EBFBFF"/>
          </w:tcPr>
          <w:p>
            <w:pPr>
              <w:spacing w:after="0"/>
              <w:rPr>
                <w:sz w:val="10"/>
                <w:szCs w:val="10"/>
                <w:color w:val="auto"/>
              </w:rPr>
            </w:pPr>
          </w:p>
        </w:tc>
        <w:tc>
          <w:tcPr>
            <w:tcW w:w="920" w:type="dxa"/>
            <w:vAlign w:val="bottom"/>
            <w:tcBorders>
              <w:bottom w:val="single" w:sz="8" w:color="51555C"/>
              <w:right w:val="single" w:sz="8" w:color="51555C"/>
            </w:tcBorders>
            <w:shd w:val="clear" w:color="auto" w:fill="EBFBFF"/>
          </w:tcPr>
          <w:p>
            <w:pPr>
              <w:spacing w:after="0"/>
              <w:rPr>
                <w:sz w:val="10"/>
                <w:szCs w:val="10"/>
                <w:color w:val="auto"/>
              </w:rPr>
            </w:pPr>
          </w:p>
        </w:tc>
        <w:tc>
          <w:tcPr>
            <w:tcW w:w="920" w:type="dxa"/>
            <w:vAlign w:val="bottom"/>
            <w:tcBorders>
              <w:bottom w:val="single" w:sz="8" w:color="51555C"/>
              <w:right w:val="single" w:sz="8" w:color="51555C"/>
            </w:tcBorders>
            <w:shd w:val="clear" w:color="auto" w:fill="EBFBFF"/>
          </w:tcPr>
          <w:p>
            <w:pPr>
              <w:spacing w:after="0"/>
              <w:rPr>
                <w:sz w:val="10"/>
                <w:szCs w:val="10"/>
                <w:color w:val="auto"/>
              </w:rPr>
            </w:pPr>
          </w:p>
        </w:tc>
        <w:tc>
          <w:tcPr>
            <w:tcW w:w="920" w:type="dxa"/>
            <w:vAlign w:val="bottom"/>
            <w:tcBorders>
              <w:bottom w:val="single" w:sz="8" w:color="51555C"/>
              <w:right w:val="single" w:sz="8" w:color="51555C"/>
            </w:tcBorders>
            <w:shd w:val="clear" w:color="auto" w:fill="EBFBFF"/>
          </w:tcPr>
          <w:p>
            <w:pPr>
              <w:spacing w:after="0"/>
              <w:rPr>
                <w:sz w:val="10"/>
                <w:szCs w:val="10"/>
                <w:color w:val="auto"/>
              </w:rPr>
            </w:pPr>
          </w:p>
        </w:tc>
        <w:tc>
          <w:tcPr>
            <w:tcW w:w="900" w:type="dxa"/>
            <w:vAlign w:val="bottom"/>
            <w:tcBorders>
              <w:bottom w:val="single" w:sz="8" w:color="51555C"/>
              <w:right w:val="single" w:sz="8" w:color="51555C"/>
            </w:tcBorders>
            <w:shd w:val="clear" w:color="auto" w:fill="EBFBFF"/>
          </w:tcPr>
          <w:p>
            <w:pPr>
              <w:spacing w:after="0"/>
              <w:rPr>
                <w:sz w:val="10"/>
                <w:szCs w:val="10"/>
                <w:color w:val="auto"/>
              </w:rPr>
            </w:pPr>
          </w:p>
        </w:tc>
        <w:tc>
          <w:tcPr>
            <w:tcW w:w="940" w:type="dxa"/>
            <w:vAlign w:val="bottom"/>
            <w:tcBorders>
              <w:bottom w:val="single" w:sz="8" w:color="51555C"/>
              <w:right w:val="single" w:sz="8" w:color="51555C"/>
            </w:tcBorders>
            <w:shd w:val="clear" w:color="auto" w:fill="EBFBFF"/>
          </w:tcPr>
          <w:p>
            <w:pPr>
              <w:spacing w:after="0"/>
              <w:rPr>
                <w:sz w:val="10"/>
                <w:szCs w:val="10"/>
                <w:color w:val="auto"/>
              </w:rPr>
            </w:pPr>
          </w:p>
        </w:tc>
        <w:tc>
          <w:tcPr>
            <w:tcW w:w="0" w:type="dxa"/>
            <w:vAlign w:val="bottom"/>
          </w:tcPr>
          <w:p>
            <w:pPr>
              <w:spacing w:after="0"/>
              <w:rPr>
                <w:sz w:val="1"/>
                <w:szCs w:val="1"/>
                <w:color w:val="auto"/>
              </w:rPr>
            </w:pPr>
          </w:p>
        </w:tc>
      </w:tr>
      <w:tr>
        <w:trPr>
          <w:trHeight w:val="410"/>
        </w:trPr>
        <w:tc>
          <w:tcPr>
            <w:tcW w:w="800" w:type="dxa"/>
            <w:vAlign w:val="bottom"/>
            <w:tcBorders>
              <w:left w:val="single" w:sz="8" w:color="51555C"/>
              <w:right w:val="single" w:sz="8" w:color="51555C"/>
            </w:tcBorders>
          </w:tcPr>
          <w:p>
            <w:pPr>
              <w:spacing w:after="0"/>
              <w:rPr>
                <w:sz w:val="24"/>
                <w:szCs w:val="24"/>
                <w:color w:val="auto"/>
              </w:rPr>
            </w:pPr>
          </w:p>
        </w:tc>
        <w:tc>
          <w:tcPr>
            <w:tcW w:w="4020" w:type="dxa"/>
            <w:vAlign w:val="bottom"/>
            <w:tcBorders>
              <w:right w:val="single" w:sz="8" w:color="51555C"/>
            </w:tcBorders>
          </w:tcPr>
          <w:p>
            <w:pPr>
              <w:spacing w:after="0"/>
              <w:rPr>
                <w:sz w:val="20"/>
                <w:szCs w:val="20"/>
                <w:color w:val="auto"/>
              </w:rPr>
            </w:pPr>
            <w:r>
              <w:rPr>
                <w:rFonts w:ascii="Arial" w:cs="Arial" w:eastAsia="Arial" w:hAnsi="Arial"/>
                <w:sz w:val="18"/>
                <w:szCs w:val="18"/>
                <w:b w:val="1"/>
                <w:bCs w:val="1"/>
                <w:color w:val="51555C"/>
              </w:rPr>
              <w:t>AI</w:t>
            </w:r>
          </w:p>
        </w:tc>
        <w:tc>
          <w:tcPr>
            <w:tcW w:w="920" w:type="dxa"/>
            <w:vAlign w:val="bottom"/>
            <w:tcBorders>
              <w:right w:val="single" w:sz="8" w:color="51555C"/>
            </w:tcBorders>
          </w:tcPr>
          <w:p>
            <w:pPr>
              <w:jc w:val="center"/>
              <w:spacing w:after="0"/>
              <w:rPr>
                <w:sz w:val="20"/>
                <w:szCs w:val="20"/>
                <w:color w:val="auto"/>
              </w:rPr>
            </w:pPr>
            <w:r>
              <w:rPr>
                <w:rFonts w:ascii="Wingdings" w:cs="Wingdings" w:eastAsia="Wingdings" w:hAnsi="Wingdings"/>
                <w:sz w:val="25"/>
                <w:szCs w:val="25"/>
                <w:b w:val="1"/>
                <w:bCs w:val="1"/>
                <w:color w:val="0CD973"/>
                <w:w w:val="96"/>
              </w:rPr>
              <w:t>l</w:t>
            </w:r>
          </w:p>
        </w:tc>
        <w:tc>
          <w:tcPr>
            <w:tcW w:w="920" w:type="dxa"/>
            <w:vAlign w:val="bottom"/>
            <w:tcBorders>
              <w:right w:val="single" w:sz="8" w:color="51555C"/>
            </w:tcBorders>
          </w:tcPr>
          <w:p>
            <w:pPr>
              <w:jc w:val="center"/>
              <w:spacing w:after="0"/>
              <w:rPr>
                <w:sz w:val="20"/>
                <w:szCs w:val="20"/>
                <w:color w:val="auto"/>
              </w:rPr>
            </w:pPr>
            <w:r>
              <w:rPr>
                <w:rFonts w:ascii="Wingdings" w:cs="Wingdings" w:eastAsia="Wingdings" w:hAnsi="Wingdings"/>
                <w:sz w:val="25"/>
                <w:szCs w:val="25"/>
                <w:b w:val="1"/>
                <w:bCs w:val="1"/>
                <w:color w:val="0CD973"/>
                <w:w w:val="96"/>
              </w:rPr>
              <w:t>l</w:t>
            </w:r>
          </w:p>
        </w:tc>
        <w:tc>
          <w:tcPr>
            <w:tcW w:w="920" w:type="dxa"/>
            <w:vAlign w:val="bottom"/>
            <w:tcBorders>
              <w:right w:val="single" w:sz="8" w:color="51555C"/>
            </w:tcBorders>
          </w:tcPr>
          <w:p>
            <w:pPr>
              <w:spacing w:after="0"/>
              <w:rPr>
                <w:sz w:val="24"/>
                <w:szCs w:val="24"/>
                <w:color w:val="auto"/>
              </w:rPr>
            </w:pPr>
          </w:p>
        </w:tc>
        <w:tc>
          <w:tcPr>
            <w:tcW w:w="920" w:type="dxa"/>
            <w:vAlign w:val="bottom"/>
            <w:tcBorders>
              <w:right w:val="single" w:sz="8" w:color="51555C"/>
            </w:tcBorders>
          </w:tcPr>
          <w:p>
            <w:pPr>
              <w:spacing w:after="0"/>
              <w:rPr>
                <w:sz w:val="24"/>
                <w:szCs w:val="24"/>
                <w:color w:val="auto"/>
              </w:rPr>
            </w:pPr>
          </w:p>
        </w:tc>
        <w:tc>
          <w:tcPr>
            <w:tcW w:w="920" w:type="dxa"/>
            <w:vAlign w:val="bottom"/>
            <w:tcBorders>
              <w:right w:val="single" w:sz="8" w:color="51555C"/>
            </w:tcBorders>
          </w:tcPr>
          <w:p>
            <w:pPr>
              <w:spacing w:after="0"/>
              <w:rPr>
                <w:sz w:val="24"/>
                <w:szCs w:val="24"/>
                <w:color w:val="auto"/>
              </w:rPr>
            </w:pPr>
          </w:p>
        </w:tc>
        <w:tc>
          <w:tcPr>
            <w:tcW w:w="900" w:type="dxa"/>
            <w:vAlign w:val="bottom"/>
            <w:tcBorders>
              <w:right w:val="single" w:sz="8" w:color="51555C"/>
            </w:tcBorders>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40" w:type="dxa"/>
            <w:vAlign w:val="bottom"/>
            <w:tcBorders>
              <w:right w:val="single" w:sz="8" w:color="51555C"/>
            </w:tcBorders>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0" w:type="dxa"/>
            <w:vAlign w:val="bottom"/>
          </w:tcPr>
          <w:p>
            <w:pPr>
              <w:spacing w:after="0"/>
              <w:rPr>
                <w:sz w:val="1"/>
                <w:szCs w:val="1"/>
                <w:color w:val="auto"/>
              </w:rPr>
            </w:pPr>
          </w:p>
        </w:tc>
      </w:tr>
      <w:tr>
        <w:trPr>
          <w:trHeight w:val="123"/>
        </w:trPr>
        <w:tc>
          <w:tcPr>
            <w:tcW w:w="800" w:type="dxa"/>
            <w:vAlign w:val="bottom"/>
            <w:tcBorders>
              <w:left w:val="single" w:sz="8" w:color="51555C"/>
              <w:bottom w:val="single" w:sz="8" w:color="51555C"/>
              <w:right w:val="single" w:sz="8" w:color="51555C"/>
            </w:tcBorders>
          </w:tcPr>
          <w:p>
            <w:pPr>
              <w:spacing w:after="0"/>
              <w:rPr>
                <w:sz w:val="10"/>
                <w:szCs w:val="10"/>
                <w:color w:val="auto"/>
              </w:rPr>
            </w:pPr>
          </w:p>
        </w:tc>
        <w:tc>
          <w:tcPr>
            <w:tcW w:w="4020" w:type="dxa"/>
            <w:vAlign w:val="bottom"/>
            <w:tcBorders>
              <w:bottom w:val="single" w:sz="8" w:color="51555C"/>
              <w:right w:val="single" w:sz="8" w:color="51555C"/>
            </w:tcBorders>
          </w:tcPr>
          <w:p>
            <w:pPr>
              <w:spacing w:after="0"/>
              <w:rPr>
                <w:sz w:val="10"/>
                <w:szCs w:val="10"/>
                <w:color w:val="auto"/>
              </w:rPr>
            </w:pPr>
          </w:p>
        </w:tc>
        <w:tc>
          <w:tcPr>
            <w:tcW w:w="920" w:type="dxa"/>
            <w:vAlign w:val="bottom"/>
            <w:tcBorders>
              <w:bottom w:val="single" w:sz="8" w:color="51555C"/>
              <w:right w:val="single" w:sz="8" w:color="51555C"/>
            </w:tcBorders>
          </w:tcPr>
          <w:p>
            <w:pPr>
              <w:spacing w:after="0"/>
              <w:rPr>
                <w:sz w:val="10"/>
                <w:szCs w:val="10"/>
                <w:color w:val="auto"/>
              </w:rPr>
            </w:pPr>
          </w:p>
        </w:tc>
        <w:tc>
          <w:tcPr>
            <w:tcW w:w="920" w:type="dxa"/>
            <w:vAlign w:val="bottom"/>
            <w:tcBorders>
              <w:bottom w:val="single" w:sz="8" w:color="51555C"/>
              <w:right w:val="single" w:sz="8" w:color="51555C"/>
            </w:tcBorders>
          </w:tcPr>
          <w:p>
            <w:pPr>
              <w:spacing w:after="0"/>
              <w:rPr>
                <w:sz w:val="10"/>
                <w:szCs w:val="10"/>
                <w:color w:val="auto"/>
              </w:rPr>
            </w:pPr>
          </w:p>
        </w:tc>
        <w:tc>
          <w:tcPr>
            <w:tcW w:w="920" w:type="dxa"/>
            <w:vAlign w:val="bottom"/>
            <w:tcBorders>
              <w:bottom w:val="single" w:sz="8" w:color="51555C"/>
              <w:right w:val="single" w:sz="8" w:color="51555C"/>
            </w:tcBorders>
          </w:tcPr>
          <w:p>
            <w:pPr>
              <w:spacing w:after="0"/>
              <w:rPr>
                <w:sz w:val="10"/>
                <w:szCs w:val="10"/>
                <w:color w:val="auto"/>
              </w:rPr>
            </w:pPr>
          </w:p>
        </w:tc>
        <w:tc>
          <w:tcPr>
            <w:tcW w:w="920" w:type="dxa"/>
            <w:vAlign w:val="bottom"/>
            <w:tcBorders>
              <w:bottom w:val="single" w:sz="8" w:color="51555C"/>
              <w:right w:val="single" w:sz="8" w:color="51555C"/>
            </w:tcBorders>
          </w:tcPr>
          <w:p>
            <w:pPr>
              <w:spacing w:after="0"/>
              <w:rPr>
                <w:sz w:val="10"/>
                <w:szCs w:val="10"/>
                <w:color w:val="auto"/>
              </w:rPr>
            </w:pPr>
          </w:p>
        </w:tc>
        <w:tc>
          <w:tcPr>
            <w:tcW w:w="920" w:type="dxa"/>
            <w:vAlign w:val="bottom"/>
            <w:tcBorders>
              <w:bottom w:val="single" w:sz="8" w:color="51555C"/>
              <w:right w:val="single" w:sz="8" w:color="51555C"/>
            </w:tcBorders>
          </w:tcPr>
          <w:p>
            <w:pPr>
              <w:spacing w:after="0"/>
              <w:rPr>
                <w:sz w:val="10"/>
                <w:szCs w:val="10"/>
                <w:color w:val="auto"/>
              </w:rPr>
            </w:pPr>
          </w:p>
        </w:tc>
        <w:tc>
          <w:tcPr>
            <w:tcW w:w="900" w:type="dxa"/>
            <w:vAlign w:val="bottom"/>
            <w:tcBorders>
              <w:bottom w:val="single" w:sz="8" w:color="51555C"/>
              <w:right w:val="single" w:sz="8" w:color="51555C"/>
            </w:tcBorders>
          </w:tcPr>
          <w:p>
            <w:pPr>
              <w:spacing w:after="0"/>
              <w:rPr>
                <w:sz w:val="10"/>
                <w:szCs w:val="10"/>
                <w:color w:val="auto"/>
              </w:rPr>
            </w:pPr>
          </w:p>
        </w:tc>
        <w:tc>
          <w:tcPr>
            <w:tcW w:w="940" w:type="dxa"/>
            <w:vAlign w:val="bottom"/>
            <w:tcBorders>
              <w:bottom w:val="single" w:sz="8" w:color="51555C"/>
              <w:right w:val="single" w:sz="8" w:color="51555C"/>
            </w:tcBorders>
          </w:tcPr>
          <w:p>
            <w:pPr>
              <w:spacing w:after="0"/>
              <w:rPr>
                <w:sz w:val="10"/>
                <w:szCs w:val="10"/>
                <w:color w:val="auto"/>
              </w:rPr>
            </w:pPr>
          </w:p>
        </w:tc>
        <w:tc>
          <w:tcPr>
            <w:tcW w:w="0" w:type="dxa"/>
            <w:vAlign w:val="bottom"/>
          </w:tcPr>
          <w:p>
            <w:pPr>
              <w:spacing w:after="0"/>
              <w:rPr>
                <w:sz w:val="1"/>
                <w:szCs w:val="1"/>
                <w:color w:val="auto"/>
              </w:rPr>
            </w:pPr>
          </w:p>
        </w:tc>
      </w:tr>
      <w:tr>
        <w:trPr>
          <w:trHeight w:val="410"/>
        </w:trPr>
        <w:tc>
          <w:tcPr>
            <w:tcW w:w="800" w:type="dxa"/>
            <w:vAlign w:val="bottom"/>
            <w:tcBorders>
              <w:left w:val="single" w:sz="8" w:color="51555C"/>
              <w:right w:val="single" w:sz="8" w:color="51555C"/>
            </w:tcBorders>
            <w:shd w:val="clear" w:color="auto" w:fill="EBFBFF"/>
          </w:tcPr>
          <w:p>
            <w:pPr>
              <w:spacing w:after="0"/>
              <w:rPr>
                <w:sz w:val="24"/>
                <w:szCs w:val="24"/>
                <w:color w:val="auto"/>
              </w:rPr>
            </w:pPr>
          </w:p>
        </w:tc>
        <w:tc>
          <w:tcPr>
            <w:tcW w:w="4020" w:type="dxa"/>
            <w:vAlign w:val="bottom"/>
            <w:tcBorders>
              <w:right w:val="single" w:sz="8" w:color="51555C"/>
            </w:tcBorders>
            <w:shd w:val="clear" w:color="auto" w:fill="EBFBFF"/>
          </w:tcPr>
          <w:p>
            <w:pPr>
              <w:spacing w:after="0"/>
              <w:rPr>
                <w:sz w:val="20"/>
                <w:szCs w:val="20"/>
                <w:color w:val="auto"/>
              </w:rPr>
            </w:pPr>
            <w:r>
              <w:rPr>
                <w:rFonts w:ascii="Arial" w:cs="Arial" w:eastAsia="Arial" w:hAnsi="Arial"/>
                <w:sz w:val="18"/>
                <w:szCs w:val="18"/>
                <w:b w:val="1"/>
                <w:bCs w:val="1"/>
                <w:color w:val="51555C"/>
              </w:rPr>
              <w:t>Cybersecurity</w:t>
            </w:r>
          </w:p>
        </w:tc>
        <w:tc>
          <w:tcPr>
            <w:tcW w:w="920" w:type="dxa"/>
            <w:vAlign w:val="bottom"/>
            <w:tcBorders>
              <w:right w:val="single" w:sz="8" w:color="51555C"/>
            </w:tcBorders>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w w:val="96"/>
              </w:rPr>
              <w:t>l</w:t>
            </w:r>
          </w:p>
        </w:tc>
        <w:tc>
          <w:tcPr>
            <w:tcW w:w="920" w:type="dxa"/>
            <w:vAlign w:val="bottom"/>
            <w:tcBorders>
              <w:right w:val="single" w:sz="8" w:color="51555C"/>
            </w:tcBorders>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w w:val="96"/>
              </w:rPr>
              <w:t>l</w:t>
            </w:r>
          </w:p>
        </w:tc>
        <w:tc>
          <w:tcPr>
            <w:tcW w:w="920" w:type="dxa"/>
            <w:vAlign w:val="bottom"/>
            <w:tcBorders>
              <w:right w:val="single" w:sz="8" w:color="51555C"/>
            </w:tcBorders>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20" w:type="dxa"/>
            <w:vAlign w:val="bottom"/>
            <w:tcBorders>
              <w:right w:val="single" w:sz="8" w:color="51555C"/>
            </w:tcBorders>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20" w:type="dxa"/>
            <w:vAlign w:val="bottom"/>
            <w:tcBorders>
              <w:right w:val="single" w:sz="8" w:color="51555C"/>
            </w:tcBorders>
            <w:shd w:val="clear" w:color="auto" w:fill="EBFBFF"/>
          </w:tcPr>
          <w:p>
            <w:pPr>
              <w:spacing w:after="0"/>
              <w:rPr>
                <w:sz w:val="24"/>
                <w:szCs w:val="24"/>
                <w:color w:val="auto"/>
              </w:rPr>
            </w:pPr>
          </w:p>
        </w:tc>
        <w:tc>
          <w:tcPr>
            <w:tcW w:w="900" w:type="dxa"/>
            <w:vAlign w:val="bottom"/>
            <w:tcBorders>
              <w:right w:val="single" w:sz="8" w:color="51555C"/>
            </w:tcBorders>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940" w:type="dxa"/>
            <w:vAlign w:val="bottom"/>
            <w:tcBorders>
              <w:right w:val="single" w:sz="8" w:color="51555C"/>
            </w:tcBorders>
            <w:shd w:val="clear" w:color="auto" w:fill="EBFBFF"/>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800" w:type="dxa"/>
            <w:vAlign w:val="bottom"/>
            <w:tcBorders>
              <w:left w:val="single" w:sz="8" w:color="51555C"/>
              <w:bottom w:val="single" w:sz="8" w:color="0CD973"/>
              <w:right w:val="single" w:sz="8" w:color="51555C"/>
            </w:tcBorders>
            <w:shd w:val="clear" w:color="auto" w:fill="EBFBFF"/>
          </w:tcPr>
          <w:p>
            <w:pPr>
              <w:spacing w:after="0"/>
              <w:rPr>
                <w:sz w:val="10"/>
                <w:szCs w:val="10"/>
                <w:color w:val="auto"/>
              </w:rPr>
            </w:pPr>
          </w:p>
        </w:tc>
        <w:tc>
          <w:tcPr>
            <w:tcW w:w="4020" w:type="dxa"/>
            <w:vAlign w:val="bottom"/>
            <w:tcBorders>
              <w:bottom w:val="single" w:sz="8" w:color="0CD973"/>
              <w:right w:val="single" w:sz="8" w:color="51555C"/>
            </w:tcBorders>
            <w:shd w:val="clear" w:color="auto" w:fill="EBFBFF"/>
          </w:tcPr>
          <w:p>
            <w:pPr>
              <w:spacing w:after="0"/>
              <w:rPr>
                <w:sz w:val="10"/>
                <w:szCs w:val="10"/>
                <w:color w:val="auto"/>
              </w:rPr>
            </w:pPr>
          </w:p>
        </w:tc>
        <w:tc>
          <w:tcPr>
            <w:tcW w:w="920" w:type="dxa"/>
            <w:vAlign w:val="bottom"/>
            <w:tcBorders>
              <w:bottom w:val="single" w:sz="8" w:color="0CD973"/>
              <w:right w:val="single" w:sz="8" w:color="51555C"/>
            </w:tcBorders>
            <w:shd w:val="clear" w:color="auto" w:fill="EBFBFF"/>
          </w:tcPr>
          <w:p>
            <w:pPr>
              <w:spacing w:after="0"/>
              <w:rPr>
                <w:sz w:val="10"/>
                <w:szCs w:val="10"/>
                <w:color w:val="auto"/>
              </w:rPr>
            </w:pPr>
          </w:p>
        </w:tc>
        <w:tc>
          <w:tcPr>
            <w:tcW w:w="920" w:type="dxa"/>
            <w:vAlign w:val="bottom"/>
            <w:tcBorders>
              <w:bottom w:val="single" w:sz="8" w:color="0CD973"/>
              <w:right w:val="single" w:sz="8" w:color="51555C"/>
            </w:tcBorders>
            <w:shd w:val="clear" w:color="auto" w:fill="EBFBFF"/>
          </w:tcPr>
          <w:p>
            <w:pPr>
              <w:spacing w:after="0"/>
              <w:rPr>
                <w:sz w:val="10"/>
                <w:szCs w:val="10"/>
                <w:color w:val="auto"/>
              </w:rPr>
            </w:pPr>
          </w:p>
        </w:tc>
        <w:tc>
          <w:tcPr>
            <w:tcW w:w="920" w:type="dxa"/>
            <w:vAlign w:val="bottom"/>
            <w:tcBorders>
              <w:bottom w:val="single" w:sz="8" w:color="0CD973"/>
              <w:right w:val="single" w:sz="8" w:color="51555C"/>
            </w:tcBorders>
            <w:shd w:val="clear" w:color="auto" w:fill="EBFBFF"/>
          </w:tcPr>
          <w:p>
            <w:pPr>
              <w:spacing w:after="0"/>
              <w:rPr>
                <w:sz w:val="10"/>
                <w:szCs w:val="10"/>
                <w:color w:val="auto"/>
              </w:rPr>
            </w:pPr>
          </w:p>
        </w:tc>
        <w:tc>
          <w:tcPr>
            <w:tcW w:w="920" w:type="dxa"/>
            <w:vAlign w:val="bottom"/>
            <w:tcBorders>
              <w:bottom w:val="single" w:sz="8" w:color="0CD973"/>
              <w:right w:val="single" w:sz="8" w:color="51555C"/>
            </w:tcBorders>
            <w:shd w:val="clear" w:color="auto" w:fill="EBFBFF"/>
          </w:tcPr>
          <w:p>
            <w:pPr>
              <w:spacing w:after="0"/>
              <w:rPr>
                <w:sz w:val="10"/>
                <w:szCs w:val="10"/>
                <w:color w:val="auto"/>
              </w:rPr>
            </w:pPr>
          </w:p>
        </w:tc>
        <w:tc>
          <w:tcPr>
            <w:tcW w:w="920" w:type="dxa"/>
            <w:vAlign w:val="bottom"/>
            <w:tcBorders>
              <w:bottom w:val="single" w:sz="8" w:color="0CD973"/>
              <w:right w:val="single" w:sz="8" w:color="51555C"/>
            </w:tcBorders>
            <w:shd w:val="clear" w:color="auto" w:fill="EBFBFF"/>
          </w:tcPr>
          <w:p>
            <w:pPr>
              <w:spacing w:after="0"/>
              <w:rPr>
                <w:sz w:val="10"/>
                <w:szCs w:val="10"/>
                <w:color w:val="auto"/>
              </w:rPr>
            </w:pPr>
          </w:p>
        </w:tc>
        <w:tc>
          <w:tcPr>
            <w:tcW w:w="900" w:type="dxa"/>
            <w:vAlign w:val="bottom"/>
            <w:tcBorders>
              <w:bottom w:val="single" w:sz="8" w:color="0CD973"/>
              <w:right w:val="single" w:sz="8" w:color="51555C"/>
            </w:tcBorders>
            <w:shd w:val="clear" w:color="auto" w:fill="EBFBFF"/>
          </w:tcPr>
          <w:p>
            <w:pPr>
              <w:spacing w:after="0"/>
              <w:rPr>
                <w:sz w:val="10"/>
                <w:szCs w:val="10"/>
                <w:color w:val="auto"/>
              </w:rPr>
            </w:pPr>
          </w:p>
        </w:tc>
        <w:tc>
          <w:tcPr>
            <w:tcW w:w="940" w:type="dxa"/>
            <w:vAlign w:val="bottom"/>
            <w:tcBorders>
              <w:bottom w:val="single" w:sz="8" w:color="0CD973"/>
              <w:right w:val="single" w:sz="8" w:color="51555C"/>
            </w:tcBorders>
            <w:shd w:val="clear" w:color="auto" w:fill="EBFBFF"/>
          </w:tcPr>
          <w:p>
            <w:pPr>
              <w:spacing w:after="0"/>
              <w:rPr>
                <w:sz w:val="10"/>
                <w:szCs w:val="10"/>
                <w:color w:val="auto"/>
              </w:rPr>
            </w:pPr>
          </w:p>
        </w:tc>
        <w:tc>
          <w:tcPr>
            <w:tcW w:w="0" w:type="dxa"/>
            <w:vAlign w:val="bottom"/>
          </w:tcPr>
          <w:p>
            <w:pPr>
              <w:spacing w:after="0"/>
              <w:rPr>
                <w:sz w:val="1"/>
                <w:szCs w:val="1"/>
                <w:color w:val="auto"/>
              </w:rPr>
            </w:pPr>
          </w:p>
        </w:tc>
      </w:tr>
      <w:tr>
        <w:trPr>
          <w:trHeight w:val="647"/>
        </w:trPr>
        <w:tc>
          <w:tcPr>
            <w:tcW w:w="800" w:type="dxa"/>
            <w:vAlign w:val="bottom"/>
          </w:tcPr>
          <w:p>
            <w:pPr>
              <w:jc w:val="right"/>
              <w:ind w:right="428"/>
              <w:spacing w:after="0"/>
              <w:rPr>
                <w:sz w:val="20"/>
                <w:szCs w:val="20"/>
                <w:color w:val="auto"/>
              </w:rPr>
            </w:pPr>
            <w:r>
              <w:rPr>
                <w:rFonts w:ascii="Arial" w:cs="Arial" w:eastAsia="Arial" w:hAnsi="Arial"/>
                <w:sz w:val="14"/>
                <w:szCs w:val="14"/>
                <w:color w:val="51555C"/>
              </w:rPr>
              <w:t>12</w:t>
            </w:r>
          </w:p>
        </w:tc>
        <w:tc>
          <w:tcPr>
            <w:tcW w:w="4020" w:type="dxa"/>
            <w:vAlign w:val="bottom"/>
          </w:tcPr>
          <w:p>
            <w:pPr>
              <w:ind w:left="980"/>
              <w:spacing w:after="0"/>
              <w:rPr>
                <w:sz w:val="20"/>
                <w:szCs w:val="20"/>
                <w:color w:val="auto"/>
              </w:rPr>
            </w:pPr>
            <w:r>
              <w:rPr>
                <w:rFonts w:ascii="Arial" w:cs="Arial" w:eastAsia="Arial" w:hAnsi="Arial"/>
                <w:sz w:val="14"/>
                <w:szCs w:val="14"/>
                <w:color w:val="51555C"/>
              </w:rPr>
              <w:t>2026 Proxy Statement</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800" w:type="dxa"/>
            <w:vAlign w:val="bottom"/>
            <w:tcBorders>
              <w:bottom w:val="single" w:sz="8" w:color="9A9A9A"/>
            </w:tcBorders>
          </w:tcPr>
          <w:p>
            <w:pPr>
              <w:spacing w:after="0"/>
              <w:rPr>
                <w:sz w:val="23"/>
                <w:szCs w:val="23"/>
                <w:color w:val="auto"/>
              </w:rPr>
            </w:pPr>
          </w:p>
        </w:tc>
        <w:tc>
          <w:tcPr>
            <w:tcW w:w="402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-4500245</wp:posOffset>
            </wp:positionV>
            <wp:extent cx="257175" cy="2571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-4140200</wp:posOffset>
            </wp:positionV>
            <wp:extent cx="257175" cy="2571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-3780155</wp:posOffset>
            </wp:positionV>
            <wp:extent cx="257175" cy="2571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-3420110</wp:posOffset>
            </wp:positionV>
            <wp:extent cx="257175" cy="2571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-3060065</wp:posOffset>
            </wp:positionV>
            <wp:extent cx="257175" cy="2571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-2700020</wp:posOffset>
            </wp:positionV>
            <wp:extent cx="257175" cy="2571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-2339975</wp:posOffset>
            </wp:positionV>
            <wp:extent cx="257175" cy="2571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-1979930</wp:posOffset>
            </wp:positionV>
            <wp:extent cx="257175" cy="2571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-1619885</wp:posOffset>
            </wp:positionV>
            <wp:extent cx="257175" cy="2489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7175" cy="24892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-1268095</wp:posOffset>
            </wp:positionV>
            <wp:extent cx="248285" cy="2482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8285" cy="24828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-916940</wp:posOffset>
            </wp:positionV>
            <wp:extent cx="248285" cy="2489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8285" cy="24892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-307975</wp:posOffset>
            </wp:positionV>
            <wp:extent cx="702945" cy="1111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bookmarkStart w:id="14" w:name="page15"/>
    <w:bookmarkEnd w:id="14"/>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Biographies of Our Directors Not Up For Re-election At This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tbl>
      <w:tblPr>
        <w:tblLayout w:type="fixed"/>
        <w:tblInd w:w="2160" w:type="dxa"/>
        <w:tblCellMar>
          <w:top w:w="0" w:type="dxa"/>
          <w:left w:w="0" w:type="dxa"/>
          <w:bottom w:w="0" w:type="dxa"/>
          <w:right w:w="0" w:type="dxa"/>
        </w:tblCellMar>
      </w:tblPr>
      <w:tr>
        <w:trPr>
          <w:trHeight w:val="358"/>
        </w:trPr>
        <w:tc>
          <w:tcPr>
            <w:tcW w:w="3660" w:type="dxa"/>
            <w:vAlign w:val="bottom"/>
            <w:tcBorders>
              <w:bottom w:val="single" w:sz="8" w:color="0CD973"/>
            </w:tcBorders>
            <w:shd w:val="clear" w:color="auto" w:fill="EBFBFF"/>
          </w:tcPr>
          <w:p>
            <w:pPr>
              <w:ind w:left="20"/>
              <w:spacing w:after="0"/>
              <w:rPr>
                <w:sz w:val="20"/>
                <w:szCs w:val="20"/>
                <w:color w:val="auto"/>
              </w:rPr>
            </w:pPr>
            <w:r>
              <w:rPr>
                <w:rFonts w:ascii="Arial" w:cs="Arial" w:eastAsia="Arial" w:hAnsi="Arial"/>
                <w:sz w:val="18"/>
                <w:szCs w:val="18"/>
                <w:b w:val="1"/>
                <w:bCs w:val="1"/>
                <w:color w:val="006880"/>
              </w:rPr>
              <w:t>DENEEN M. DEFIORE</w:t>
            </w:r>
          </w:p>
        </w:tc>
        <w:tc>
          <w:tcPr>
            <w:tcW w:w="5420" w:type="dxa"/>
            <w:vAlign w:val="bottom"/>
            <w:tcBorders>
              <w:bottom w:val="single" w:sz="8" w:color="0CD973"/>
            </w:tcBorders>
            <w:shd w:val="clear" w:color="auto" w:fill="EBFBFF"/>
          </w:tcPr>
          <w:p>
            <w:pPr>
              <w:ind w:left="700"/>
              <w:spacing w:after="0"/>
              <w:rPr>
                <w:sz w:val="20"/>
                <w:szCs w:val="20"/>
                <w:color w:val="auto"/>
              </w:rPr>
            </w:pPr>
            <w:r>
              <w:rPr>
                <w:rFonts w:ascii="Arial" w:cs="Arial" w:eastAsia="Arial" w:hAnsi="Arial"/>
                <w:sz w:val="18"/>
                <w:szCs w:val="18"/>
                <w:b w:val="1"/>
                <w:bCs w:val="1"/>
                <w:color w:val="006880"/>
              </w:rPr>
              <w:t xml:space="preserve">Age  </w:t>
            </w:r>
            <w:r>
              <w:rPr>
                <w:rFonts w:ascii="Arial" w:cs="Arial" w:eastAsia="Arial" w:hAnsi="Arial"/>
                <w:sz w:val="18"/>
                <w:szCs w:val="18"/>
                <w:color w:val="51555C"/>
              </w:rPr>
              <w:t>52</w:t>
            </w:r>
            <w:r>
              <w:rPr>
                <w:rFonts w:ascii="Arial" w:cs="Arial" w:eastAsia="Arial" w:hAnsi="Arial"/>
                <w:sz w:val="18"/>
                <w:szCs w:val="18"/>
                <w:b w:val="1"/>
                <w:bCs w:val="1"/>
                <w:color w:val="006880"/>
              </w:rPr>
              <w:t xml:space="preserve">  Director since </w:t>
            </w:r>
            <w:r>
              <w:rPr>
                <w:rFonts w:ascii="Arial" w:cs="Arial" w:eastAsia="Arial" w:hAnsi="Arial"/>
                <w:sz w:val="18"/>
                <w:szCs w:val="18"/>
                <w:color w:val="51555C"/>
              </w:rPr>
              <w:t>July 2022</w:t>
            </w:r>
          </w:p>
        </w:tc>
      </w:tr>
      <w:tr>
        <w:trPr>
          <w:trHeight w:val="396"/>
        </w:trPr>
        <w:tc>
          <w:tcPr>
            <w:tcW w:w="9080" w:type="dxa"/>
            <w:vAlign w:val="bottom"/>
            <w:gridSpan w:val="2"/>
          </w:tcPr>
          <w:p>
            <w:pPr>
              <w:ind w:left="20"/>
              <w:spacing w:after="0"/>
              <w:rPr>
                <w:sz w:val="20"/>
                <w:szCs w:val="20"/>
                <w:color w:val="auto"/>
              </w:rPr>
            </w:pPr>
            <w:r>
              <w:rPr>
                <w:rFonts w:ascii="Arial" w:cs="Arial" w:eastAsia="Arial" w:hAnsi="Arial"/>
                <w:sz w:val="18"/>
                <w:szCs w:val="18"/>
                <w:color w:val="51555C"/>
              </w:rPr>
              <w:t>Vice President and Global Chief Information Security Officer of United Airlines, Inc.</w:t>
            </w:r>
          </w:p>
        </w:tc>
      </w:tr>
      <w:tr>
        <w:trPr>
          <w:trHeight w:val="399"/>
        </w:trPr>
        <w:tc>
          <w:tcPr>
            <w:tcW w:w="3660" w:type="dxa"/>
            <w:vAlign w:val="bottom"/>
          </w:tcPr>
          <w:p>
            <w:pPr>
              <w:ind w:left="20"/>
              <w:spacing w:after="0"/>
              <w:rPr>
                <w:sz w:val="20"/>
                <w:szCs w:val="20"/>
                <w:color w:val="auto"/>
              </w:rPr>
            </w:pPr>
            <w:r>
              <w:rPr>
                <w:rFonts w:ascii="Arial" w:cs="Arial" w:eastAsia="Arial" w:hAnsi="Arial"/>
                <w:sz w:val="18"/>
                <w:szCs w:val="18"/>
                <w:b w:val="1"/>
                <w:bCs w:val="1"/>
                <w:color w:val="006880"/>
              </w:rPr>
              <w:t xml:space="preserve">INDEPENDENT DIRECTOR </w:t>
            </w:r>
            <w:r>
              <w:rPr>
                <w:rFonts w:ascii="Arial" w:cs="Arial" w:eastAsia="Arial" w:hAnsi="Arial"/>
                <w:sz w:val="18"/>
                <w:szCs w:val="18"/>
                <w:color w:val="51555C"/>
              </w:rPr>
              <w:t>Class B</w:t>
            </w:r>
          </w:p>
        </w:tc>
        <w:tc>
          <w:tcPr>
            <w:tcW w:w="5420" w:type="dxa"/>
            <w:vAlign w:val="bottom"/>
          </w:tcPr>
          <w:p>
            <w:pPr>
              <w:ind w:left="700"/>
              <w:spacing w:after="0"/>
              <w:rPr>
                <w:sz w:val="20"/>
                <w:szCs w:val="20"/>
                <w:color w:val="auto"/>
              </w:rPr>
            </w:pPr>
            <w:r>
              <w:rPr>
                <w:rFonts w:ascii="Arial" w:cs="Arial" w:eastAsia="Arial" w:hAnsi="Arial"/>
                <w:sz w:val="18"/>
                <w:szCs w:val="18"/>
                <w:b w:val="1"/>
                <w:bCs w:val="1"/>
                <w:color w:val="006880"/>
              </w:rPr>
              <w:t xml:space="preserve">Current Term Expires </w:t>
            </w:r>
            <w:r>
              <w:rPr>
                <w:rFonts w:ascii="Arial" w:cs="Arial" w:eastAsia="Arial" w:hAnsi="Arial"/>
                <w:sz w:val="18"/>
                <w:szCs w:val="18"/>
                <w:color w:val="51555C"/>
              </w:rPr>
              <w:t>2027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-709930</wp:posOffset>
            </wp:positionV>
            <wp:extent cx="1285875" cy="1157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5875" cy="1157605"/>
                    </a:xfrm>
                    <a:prstGeom prst="rect">
                      <a:avLst/>
                    </a:prstGeom>
                    <a:noFill/>
                  </pic:spPr>
                </pic:pic>
              </a:graphicData>
            </a:graphic>
          </wp:anchor>
        </w:drawing>
      </w:r>
    </w:p>
    <w:p>
      <w:pPr>
        <w:spacing w:after="0" w:line="125" w:lineRule="exact"/>
        <w:rPr>
          <w:sz w:val="20"/>
          <w:szCs w:val="20"/>
          <w:color w:val="auto"/>
        </w:rPr>
      </w:pPr>
    </w:p>
    <w:p>
      <w:pPr>
        <w:ind w:left="2180" w:right="2500"/>
        <w:spacing w:after="0" w:line="287" w:lineRule="auto"/>
        <w:rPr>
          <w:sz w:val="20"/>
          <w:szCs w:val="20"/>
          <w:color w:val="auto"/>
        </w:rPr>
      </w:pPr>
      <w:r>
        <w:rPr>
          <w:rFonts w:ascii="Arial" w:cs="Arial" w:eastAsia="Arial" w:hAnsi="Arial"/>
          <w:sz w:val="18"/>
          <w:szCs w:val="18"/>
          <w:b w:val="1"/>
          <w:bCs w:val="1"/>
          <w:color w:val="006880"/>
        </w:rPr>
        <w:t xml:space="preserve">Blackbaud Board Committees </w:t>
      </w:r>
      <w:r>
        <w:rPr>
          <w:rFonts w:ascii="Arial" w:cs="Arial" w:eastAsia="Arial" w:hAnsi="Arial"/>
          <w:sz w:val="18"/>
          <w:szCs w:val="18"/>
          <w:color w:val="51555C"/>
        </w:rPr>
        <w:t>Cyber Risk Oversight</w:t>
      </w:r>
      <w:r>
        <w:rPr>
          <w:rFonts w:ascii="Arial" w:cs="Arial" w:eastAsia="Arial" w:hAnsi="Arial"/>
          <w:sz w:val="18"/>
          <w:szCs w:val="18"/>
          <w:b w:val="1"/>
          <w:bCs w:val="1"/>
          <w:color w:val="006880"/>
        </w:rPr>
        <w:t xml:space="preserve"> Other Public Boards </w:t>
      </w:r>
      <w:r>
        <w:rPr>
          <w:rFonts w:ascii="Arial" w:cs="Arial" w:eastAsia="Arial" w:hAnsi="Arial"/>
          <w:sz w:val="18"/>
          <w:szCs w:val="18"/>
          <w:color w:val="51555C"/>
        </w:rPr>
        <w:t>None</w:t>
      </w:r>
      <w:r>
        <w:rPr>
          <w:rFonts w:ascii="Arial" w:cs="Arial" w:eastAsia="Arial" w:hAnsi="Arial"/>
          <w:sz w:val="18"/>
          <w:szCs w:val="18"/>
          <w:b w:val="1"/>
          <w:bCs w:val="1"/>
          <w:color w:val="006880"/>
        </w:rPr>
        <w:t xml:space="preserve"> </w:t>
      </w:r>
      <w:r>
        <w:rPr>
          <w:rFonts w:ascii="Arial" w:cs="Arial" w:eastAsia="Arial" w:hAnsi="Arial"/>
          <w:sz w:val="18"/>
          <w:szCs w:val="18"/>
          <w:color w:val="51555C"/>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212090</wp:posOffset>
            </wp:positionV>
            <wp:extent cx="17145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212090</wp:posOffset>
            </wp:positionV>
            <wp:extent cx="17145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212090</wp:posOffset>
            </wp:positionV>
            <wp:extent cx="17145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1450" cy="16319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212090</wp:posOffset>
            </wp:positionV>
            <wp:extent cx="17145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212090</wp:posOffset>
            </wp:positionV>
            <wp:extent cx="17145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212090</wp:posOffset>
            </wp:positionV>
            <wp:extent cx="17145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212090</wp:posOffset>
            </wp:positionV>
            <wp:extent cx="17145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212090</wp:posOffset>
            </wp:positionV>
            <wp:extent cx="17145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212090</wp:posOffset>
            </wp:positionV>
            <wp:extent cx="17145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0" cy="1631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212090</wp:posOffset>
            </wp:positionV>
            <wp:extent cx="17145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212090</wp:posOffset>
            </wp:positionV>
            <wp:extent cx="17145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Arial" w:cs="Arial" w:eastAsia="Arial" w:hAnsi="Arial"/>
          <w:sz w:val="12"/>
          <w:szCs w:val="12"/>
          <w:color w:val="006880"/>
        </w:rPr>
        <w:t>Leadership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2"/>
          <w:szCs w:val="12"/>
          <w:color w:val="B6B6B6"/>
        </w:rPr>
        <w:t>Accounting &amp;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2"/>
          <w:szCs w:val="12"/>
          <w:color w:val="006880"/>
        </w:rPr>
        <w:t>Technology &amp;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740" w:val="left"/>
          <w:tab w:leader="none" w:pos="1900" w:val="left"/>
          <w:tab w:leader="none" w:pos="2720" w:val="left"/>
          <w:tab w:leader="none" w:pos="4400" w:val="left"/>
        </w:tabs>
        <w:rPr>
          <w:sz w:val="20"/>
          <w:szCs w:val="20"/>
          <w:color w:val="auto"/>
        </w:rPr>
      </w:pPr>
      <w:r>
        <w:rPr>
          <w:rFonts w:ascii="Arial" w:cs="Arial" w:eastAsia="Arial" w:hAnsi="Arial"/>
          <w:sz w:val="13"/>
          <w:szCs w:val="13"/>
          <w:color w:val="B6B6B6"/>
        </w:rPr>
        <w:t>Nonprofit</w:t>
      </w:r>
      <w:r>
        <w:rPr>
          <w:sz w:val="20"/>
          <w:szCs w:val="20"/>
          <w:color w:val="auto"/>
        </w:rPr>
        <w:tab/>
      </w:r>
      <w:r>
        <w:rPr>
          <w:rFonts w:ascii="Arial" w:cs="Arial" w:eastAsia="Arial" w:hAnsi="Arial"/>
          <w:sz w:val="13"/>
          <w:szCs w:val="13"/>
          <w:color w:val="B6B6B6"/>
        </w:rPr>
        <w:t>Public Company</w:t>
      </w:r>
      <w:r>
        <w:rPr>
          <w:sz w:val="20"/>
          <w:szCs w:val="20"/>
          <w:color w:val="auto"/>
        </w:rPr>
        <w:tab/>
      </w:r>
      <w:r>
        <w:rPr>
          <w:rFonts w:ascii="Arial" w:cs="Arial" w:eastAsia="Arial" w:hAnsi="Arial"/>
          <w:sz w:val="13"/>
          <w:szCs w:val="13"/>
          <w:color w:val="006880"/>
        </w:rPr>
        <w:t>Corporate</w:t>
      </w:r>
      <w:r>
        <w:rPr>
          <w:sz w:val="20"/>
          <w:szCs w:val="20"/>
          <w:color w:val="auto"/>
        </w:rPr>
        <w:tab/>
      </w:r>
      <w:r>
        <w:rPr>
          <w:rFonts w:ascii="Arial" w:cs="Arial" w:eastAsia="Arial" w:hAnsi="Arial"/>
          <w:sz w:val="13"/>
          <w:szCs w:val="13"/>
          <w:color w:val="B6B6B6"/>
        </w:rPr>
        <w:t>Business Development &amp;</w:t>
      </w:r>
      <w:r>
        <w:rPr>
          <w:sz w:val="20"/>
          <w:szCs w:val="20"/>
          <w:color w:val="auto"/>
        </w:rPr>
        <w:tab/>
      </w:r>
      <w:r>
        <w:rPr>
          <w:rFonts w:ascii="Arial" w:cs="Arial" w:eastAsia="Arial" w:hAnsi="Arial"/>
          <w:sz w:val="12"/>
          <w:szCs w:val="12"/>
          <w:color w:val="006880"/>
        </w:rPr>
        <w:t>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2"/>
          <w:szCs w:val="12"/>
          <w:color w:val="B6B6B6"/>
        </w:rPr>
        <w:t>ESG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2"/>
          <w:szCs w:val="12"/>
          <w:color w:val="006880"/>
        </w:rPr>
        <w:t>AI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2"/>
          <w:szCs w:val="12"/>
          <w:color w:val="006880"/>
        </w:rPr>
        <w:t>Cybersecurity</w:t>
      </w:r>
    </w:p>
    <w:p>
      <w:pPr>
        <w:spacing w:after="0" w:line="27" w:lineRule="exact"/>
        <w:rPr>
          <w:sz w:val="20"/>
          <w:szCs w:val="20"/>
          <w:color w:val="auto"/>
        </w:rPr>
      </w:pPr>
    </w:p>
    <w:p>
      <w:pPr>
        <w:sectPr>
          <w:pgSz w:w="11900" w:h="16838" w:orient="portrait"/>
          <w:cols w:equalWidth="0" w:num="7">
            <w:col w:w="800" w:space="260"/>
            <w:col w:w="740" w:space="220"/>
            <w:col w:w="760" w:space="320"/>
            <w:col w:w="4940" w:space="580"/>
            <w:col w:w="320" w:space="720"/>
            <w:col w:w="120" w:space="560"/>
            <w:col w:w="900"/>
          </w:cols>
          <w:pgMar w:left="320" w:top="338" w:right="339" w:bottom="1440" w:gutter="0" w:footer="0" w:header="0"/>
          <w:type w:val="continuous"/>
        </w:sectPr>
      </w:pPr>
    </w:p>
    <w:p>
      <w:pPr>
        <w:ind w:left="1200"/>
        <w:spacing w:after="0"/>
        <w:rPr>
          <w:sz w:val="20"/>
          <w:szCs w:val="20"/>
          <w:color w:val="auto"/>
        </w:rPr>
      </w:pPr>
      <w:r>
        <w:rPr>
          <w:rFonts w:ascii="Arial" w:cs="Arial" w:eastAsia="Arial" w:hAnsi="Arial"/>
          <w:sz w:val="12"/>
          <w:szCs w:val="12"/>
          <w:color w:val="B6B6B6"/>
        </w:rPr>
        <w:t>Finance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color w:val="006880"/>
        </w:rPr>
        <w:t>Software</w:t>
      </w:r>
    </w:p>
    <w:p>
      <w:pPr>
        <w:spacing w:after="0" w:line="20" w:lineRule="exact"/>
        <w:rPr>
          <w:sz w:val="20"/>
          <w:szCs w:val="20"/>
          <w:color w:val="auto"/>
        </w:rPr>
      </w:pPr>
      <w:r>
        <w:rPr>
          <w:sz w:val="20"/>
          <w:szCs w:val="20"/>
          <w:color w:val="auto"/>
        </w:rPr>
        <w:br w:type="column"/>
      </w:r>
    </w:p>
    <w:p>
      <w:pPr>
        <w:spacing w:after="0"/>
        <w:tabs>
          <w:tab w:leader="none" w:pos="780" w:val="left"/>
          <w:tab w:leader="none" w:pos="1800" w:val="left"/>
          <w:tab w:leader="none" w:pos="2720" w:val="left"/>
          <w:tab w:leader="none" w:pos="4320" w:val="left"/>
        </w:tabs>
        <w:rPr>
          <w:sz w:val="20"/>
          <w:szCs w:val="20"/>
          <w:color w:val="auto"/>
        </w:rPr>
      </w:pPr>
      <w:r>
        <w:rPr>
          <w:rFonts w:ascii="Arial" w:cs="Arial" w:eastAsia="Arial" w:hAnsi="Arial"/>
          <w:sz w:val="13"/>
          <w:szCs w:val="13"/>
          <w:color w:val="B6B6B6"/>
        </w:rPr>
        <w:t>Industry</w:t>
      </w:r>
      <w:r>
        <w:rPr>
          <w:sz w:val="20"/>
          <w:szCs w:val="20"/>
          <w:color w:val="auto"/>
        </w:rPr>
        <w:tab/>
      </w:r>
      <w:r>
        <w:rPr>
          <w:rFonts w:ascii="Arial" w:cs="Arial" w:eastAsia="Arial" w:hAnsi="Arial"/>
          <w:sz w:val="13"/>
          <w:szCs w:val="13"/>
          <w:color w:val="B6B6B6"/>
        </w:rPr>
        <w:t>Board Service</w:t>
      </w:r>
      <w:r>
        <w:rPr>
          <w:sz w:val="20"/>
          <w:szCs w:val="20"/>
          <w:color w:val="auto"/>
        </w:rPr>
        <w:tab/>
      </w:r>
      <w:r>
        <w:rPr>
          <w:rFonts w:ascii="Arial" w:cs="Arial" w:eastAsia="Arial" w:hAnsi="Arial"/>
          <w:sz w:val="13"/>
          <w:szCs w:val="13"/>
          <w:color w:val="006880"/>
        </w:rPr>
        <w:t>Governance</w:t>
      </w:r>
      <w:r>
        <w:rPr>
          <w:sz w:val="20"/>
          <w:szCs w:val="20"/>
          <w:color w:val="auto"/>
        </w:rPr>
        <w:tab/>
      </w:r>
      <w:r>
        <w:rPr>
          <w:rFonts w:ascii="Arial" w:cs="Arial" w:eastAsia="Arial" w:hAnsi="Arial"/>
          <w:sz w:val="13"/>
          <w:szCs w:val="13"/>
          <w:color w:val="B6B6B6"/>
        </w:rPr>
        <w:t>Corporate Transactions</w:t>
      </w:r>
      <w:r>
        <w:rPr>
          <w:sz w:val="20"/>
          <w:szCs w:val="20"/>
          <w:color w:val="auto"/>
        </w:rPr>
        <w:tab/>
      </w:r>
      <w:r>
        <w:rPr>
          <w:rFonts w:ascii="Arial" w:cs="Arial" w:eastAsia="Arial" w:hAnsi="Arial"/>
          <w:sz w:val="12"/>
          <w:szCs w:val="12"/>
          <w:color w:val="006880"/>
        </w:rPr>
        <w:t>Operations</w:t>
      </w:r>
    </w:p>
    <w:p>
      <w:pPr>
        <w:spacing w:after="0" w:line="13" w:lineRule="exact"/>
        <w:rPr>
          <w:sz w:val="20"/>
          <w:szCs w:val="20"/>
          <w:color w:val="auto"/>
        </w:rPr>
      </w:pPr>
    </w:p>
    <w:p>
      <w:pPr>
        <w:sectPr>
          <w:pgSz w:w="11900" w:h="16838" w:orient="portrait"/>
          <w:cols w:equalWidth="0" w:num="3">
            <w:col w:w="1660" w:space="480"/>
            <w:col w:w="500" w:space="500"/>
            <w:col w:w="8100"/>
          </w:cols>
          <w:pgMar w:left="320" w:top="338" w:right="339" w:bottom="1440" w:gutter="0" w:footer="0" w:header="0"/>
          <w:type w:val="continuous"/>
        </w:sectPr>
      </w:pPr>
    </w:p>
    <w:p>
      <w:pPr>
        <w:ind w:left="2120"/>
        <w:spacing w:after="0"/>
        <w:rPr>
          <w:sz w:val="20"/>
          <w:szCs w:val="20"/>
          <w:color w:val="auto"/>
        </w:rPr>
      </w:pPr>
      <w:r>
        <w:rPr>
          <w:rFonts w:ascii="Arial" w:cs="Arial" w:eastAsia="Arial" w:hAnsi="Arial"/>
          <w:sz w:val="12"/>
          <w:szCs w:val="12"/>
          <w:color w:val="006880"/>
        </w:rPr>
        <w:t>Industries</w:t>
      </w:r>
    </w:p>
    <w:p>
      <w:pPr>
        <w:sectPr>
          <w:pgSz w:w="11900" w:h="16838" w:orient="portrait"/>
          <w:cols w:equalWidth="0" w:num="1">
            <w:col w:w="11240"/>
          </w:cols>
          <w:pgMar w:left="320" w:top="338" w:right="339" w:bottom="1440" w:gutter="0" w:footer="0" w:header="0"/>
          <w:type w:val="continuous"/>
        </w:sect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Biography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Ms. DeFiore joined the Board of Directors in July 2022. She has served as Vice President and Chief Information Security Officer of United Airlines, Inc., a commercial airline company, since January 2020. Prior to United Airlines, Ms. DeFiore served as Senior Vice President and Global Chief Information &amp; Product Security Officer of GE Aviation, an aerospace company, from February 2017 through December 2019, as Senior Vice President and Global Chief Technology &amp; Risk Officer of GE Aviation from August 2015 to January 2017 and held various leadership roles across GE Corporate, GE Aviation and GE Power from April 2001 through July 2015. Ms. DeFiore serves as an Independent Director of the Western Electricity Coordinating Council and on the board of the Aviation Information Sharing and Analysis Center. In 2022, she was appointed to the President’s National Infrastructure Advisory Council. She has received numerous industry awards and honors, including induction into the CSO Hall of Fame. Ms. DeFiore holds a BS in Biology from Kent State University.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Experience, Skills and Qualifications of Particular Relevance to Blackbaud</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Among other experience, qualifications, attributes and skills, Ms. DeFiore brings extensive expertise in cybersecurity, technology and enterprise risk oversight as a senior executive within notable public companies and industry organizations. She has led risk governance programs in highly regulated and safety critical environments and has advanced board level oversight frameworks addressing cybersecurity, artificial intelligence and other emerging technology risks. She recently completed her credential for AI TRUST and Governance. Her background provides the Board with perspective on digital resilience, regulatory and compliance oversight, third-party and supply chain risk, and incident preparedness. Based on this experience and leadership, the Nominating and Corporate Governance Committee and the full Board have concluded that Ms. DeFiore is well qualified to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479425</wp:posOffset>
            </wp:positionV>
            <wp:extent cx="702945" cy="1111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13</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15" w:name="page16"/>
    <w:bookmarkEnd w:id="15"/>
    <w:p>
      <w:pPr>
        <w:ind w:left="10160"/>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358"/>
        </w:trPr>
        <w:tc>
          <w:tcPr>
            <w:tcW w:w="2580" w:type="dxa"/>
            <w:vAlign w:val="bottom"/>
          </w:tcPr>
          <w:p>
            <w:pPr>
              <w:spacing w:after="0"/>
              <w:rPr>
                <w:sz w:val="24"/>
                <w:szCs w:val="24"/>
                <w:color w:val="auto"/>
              </w:rPr>
            </w:pPr>
          </w:p>
        </w:tc>
        <w:tc>
          <w:tcPr>
            <w:tcW w:w="3800" w:type="dxa"/>
            <w:vAlign w:val="bottom"/>
            <w:tcBorders>
              <w:bottom w:val="single" w:sz="8" w:color="0CD973"/>
            </w:tcBorders>
            <w:shd w:val="clear" w:color="auto" w:fill="EBFBFF"/>
          </w:tcPr>
          <w:p>
            <w:pPr>
              <w:ind w:left="20"/>
              <w:spacing w:after="0"/>
              <w:rPr>
                <w:sz w:val="20"/>
                <w:szCs w:val="20"/>
                <w:color w:val="auto"/>
              </w:rPr>
            </w:pPr>
            <w:r>
              <w:rPr>
                <w:rFonts w:ascii="Arial" w:cs="Arial" w:eastAsia="Arial" w:hAnsi="Arial"/>
                <w:sz w:val="18"/>
                <w:szCs w:val="18"/>
                <w:b w:val="1"/>
                <w:bCs w:val="1"/>
                <w:color w:val="006880"/>
              </w:rPr>
              <w:t>MICHAEL P. GIANONI</w:t>
            </w:r>
          </w:p>
        </w:tc>
        <w:tc>
          <w:tcPr>
            <w:tcW w:w="4860" w:type="dxa"/>
            <w:vAlign w:val="bottom"/>
            <w:tcBorders>
              <w:bottom w:val="single" w:sz="8" w:color="0CD973"/>
            </w:tcBorders>
            <w:shd w:val="clear" w:color="auto" w:fill="EBFBFF"/>
          </w:tcPr>
          <w:p>
            <w:pPr>
              <w:ind w:left="360"/>
              <w:spacing w:after="0"/>
              <w:rPr>
                <w:sz w:val="20"/>
                <w:szCs w:val="20"/>
                <w:color w:val="auto"/>
              </w:rPr>
            </w:pPr>
            <w:r>
              <w:rPr>
                <w:rFonts w:ascii="Arial" w:cs="Arial" w:eastAsia="Arial" w:hAnsi="Arial"/>
                <w:sz w:val="18"/>
                <w:szCs w:val="18"/>
                <w:b w:val="1"/>
                <w:bCs w:val="1"/>
                <w:color w:val="006880"/>
              </w:rPr>
              <w:t xml:space="preserve">Age  </w:t>
            </w:r>
            <w:r>
              <w:rPr>
                <w:rFonts w:ascii="Arial" w:cs="Arial" w:eastAsia="Arial" w:hAnsi="Arial"/>
                <w:sz w:val="18"/>
                <w:szCs w:val="18"/>
                <w:color w:val="51555C"/>
              </w:rPr>
              <w:t>65</w:t>
            </w:r>
            <w:r>
              <w:rPr>
                <w:rFonts w:ascii="Arial" w:cs="Arial" w:eastAsia="Arial" w:hAnsi="Arial"/>
                <w:sz w:val="18"/>
                <w:szCs w:val="18"/>
                <w:b w:val="1"/>
                <w:bCs w:val="1"/>
                <w:color w:val="006880"/>
              </w:rPr>
              <w:t xml:space="preserve">  Director since </w:t>
            </w:r>
            <w:r>
              <w:rPr>
                <w:rFonts w:ascii="Arial" w:cs="Arial" w:eastAsia="Arial" w:hAnsi="Arial"/>
                <w:sz w:val="18"/>
                <w:szCs w:val="18"/>
                <w:color w:val="51555C"/>
              </w:rPr>
              <w:t>January 2014</w:t>
            </w:r>
          </w:p>
        </w:tc>
      </w:tr>
      <w:tr>
        <w:trPr>
          <w:trHeight w:val="396"/>
        </w:trPr>
        <w:tc>
          <w:tcPr>
            <w:tcW w:w="2580" w:type="dxa"/>
            <w:vAlign w:val="bottom"/>
          </w:tcPr>
          <w:p>
            <w:pPr>
              <w:spacing w:after="0"/>
              <w:rPr>
                <w:sz w:val="24"/>
                <w:szCs w:val="24"/>
                <w:color w:val="auto"/>
              </w:rPr>
            </w:pPr>
          </w:p>
        </w:tc>
        <w:tc>
          <w:tcPr>
            <w:tcW w:w="8660" w:type="dxa"/>
            <w:vAlign w:val="bottom"/>
            <w:gridSpan w:val="2"/>
          </w:tcPr>
          <w:p>
            <w:pPr>
              <w:ind w:left="20"/>
              <w:spacing w:after="0"/>
              <w:rPr>
                <w:sz w:val="20"/>
                <w:szCs w:val="20"/>
                <w:color w:val="auto"/>
              </w:rPr>
            </w:pPr>
            <w:r>
              <w:rPr>
                <w:rFonts w:ascii="Arial" w:cs="Arial" w:eastAsia="Arial" w:hAnsi="Arial"/>
                <w:sz w:val="18"/>
                <w:szCs w:val="18"/>
                <w:color w:val="51555C"/>
              </w:rPr>
              <w:t>Chief Executive Officer, President and Vice Chairman of the Board of Blackbaud, Inc.</w:t>
            </w:r>
          </w:p>
        </w:tc>
      </w:tr>
      <w:tr>
        <w:trPr>
          <w:trHeight w:val="386"/>
        </w:trPr>
        <w:tc>
          <w:tcPr>
            <w:tcW w:w="258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Arial" w:cs="Arial" w:eastAsia="Arial" w:hAnsi="Arial"/>
                <w:sz w:val="18"/>
                <w:szCs w:val="18"/>
                <w:b w:val="1"/>
                <w:bCs w:val="1"/>
                <w:color w:val="006880"/>
              </w:rPr>
              <w:t xml:space="preserve">NON-INDEPENDENT DIRECTOR </w:t>
            </w:r>
            <w:r>
              <w:rPr>
                <w:rFonts w:ascii="Arial" w:cs="Arial" w:eastAsia="Arial" w:hAnsi="Arial"/>
                <w:sz w:val="18"/>
                <w:szCs w:val="18"/>
                <w:color w:val="51555C"/>
              </w:rPr>
              <w:t>Class C</w:t>
            </w:r>
          </w:p>
        </w:tc>
        <w:tc>
          <w:tcPr>
            <w:tcW w:w="4860" w:type="dxa"/>
            <w:vAlign w:val="bottom"/>
          </w:tcPr>
          <w:p>
            <w:pPr>
              <w:ind w:left="360"/>
              <w:spacing w:after="0"/>
              <w:rPr>
                <w:sz w:val="20"/>
                <w:szCs w:val="20"/>
                <w:color w:val="auto"/>
              </w:rPr>
            </w:pPr>
            <w:r>
              <w:rPr>
                <w:rFonts w:ascii="Arial" w:cs="Arial" w:eastAsia="Arial" w:hAnsi="Arial"/>
                <w:sz w:val="18"/>
                <w:szCs w:val="18"/>
                <w:b w:val="1"/>
                <w:bCs w:val="1"/>
                <w:color w:val="006880"/>
              </w:rPr>
              <w:t xml:space="preserve">Current Term Expires </w:t>
            </w:r>
            <w:r>
              <w:rPr>
                <w:rFonts w:ascii="Arial" w:cs="Arial" w:eastAsia="Arial" w:hAnsi="Arial"/>
                <w:sz w:val="18"/>
                <w:szCs w:val="18"/>
                <w:color w:val="51555C"/>
              </w:rPr>
              <w:t>2028</w:t>
            </w:r>
          </w:p>
        </w:tc>
      </w:tr>
      <w:tr>
        <w:trPr>
          <w:trHeight w:val="378"/>
        </w:trPr>
        <w:tc>
          <w:tcPr>
            <w:tcW w:w="258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Arial" w:cs="Arial" w:eastAsia="Arial" w:hAnsi="Arial"/>
                <w:sz w:val="18"/>
                <w:szCs w:val="18"/>
                <w:b w:val="1"/>
                <w:bCs w:val="1"/>
                <w:color w:val="006880"/>
              </w:rPr>
              <w:t xml:space="preserve">Blackbaud Board Committees </w:t>
            </w:r>
            <w:r>
              <w:rPr>
                <w:rFonts w:ascii="Arial" w:cs="Arial" w:eastAsia="Arial" w:hAnsi="Arial"/>
                <w:sz w:val="18"/>
                <w:szCs w:val="18"/>
                <w:color w:val="51555C"/>
              </w:rPr>
              <w:t>None</w:t>
            </w:r>
          </w:p>
        </w:tc>
        <w:tc>
          <w:tcPr>
            <w:tcW w:w="4860" w:type="dxa"/>
            <w:vAlign w:val="bottom"/>
          </w:tcPr>
          <w:p>
            <w:pPr>
              <w:ind w:left="360"/>
              <w:spacing w:after="0"/>
              <w:rPr>
                <w:sz w:val="20"/>
                <w:szCs w:val="20"/>
                <w:color w:val="auto"/>
              </w:rPr>
            </w:pPr>
            <w:r>
              <w:rPr>
                <w:rFonts w:ascii="Arial" w:cs="Arial" w:eastAsia="Arial" w:hAnsi="Arial"/>
                <w:sz w:val="18"/>
                <w:szCs w:val="18"/>
                <w:b w:val="1"/>
                <w:bCs w:val="1"/>
                <w:color w:val="006880"/>
              </w:rPr>
              <w:t xml:space="preserve">Other Public Boards </w:t>
            </w:r>
            <w:r>
              <w:rPr>
                <w:rFonts w:ascii="Arial" w:cs="Arial" w:eastAsia="Arial" w:hAnsi="Arial"/>
                <w:sz w:val="18"/>
                <w:szCs w:val="18"/>
                <w:color w:val="51555C"/>
              </w:rPr>
              <w:t>Teradata Corporation</w:t>
            </w:r>
          </w:p>
        </w:tc>
      </w:tr>
      <w:tr>
        <w:trPr>
          <w:trHeight w:val="379"/>
        </w:trPr>
        <w:tc>
          <w:tcPr>
            <w:tcW w:w="2580" w:type="dxa"/>
            <w:vAlign w:val="bottom"/>
            <w:tcBorders>
              <w:bottom w:val="single" w:sz="8" w:color="0CD973"/>
            </w:tcBorders>
          </w:tcPr>
          <w:p>
            <w:pPr>
              <w:spacing w:after="0"/>
              <w:rPr>
                <w:sz w:val="24"/>
                <w:szCs w:val="24"/>
                <w:color w:val="auto"/>
              </w:rPr>
            </w:pPr>
          </w:p>
        </w:tc>
        <w:tc>
          <w:tcPr>
            <w:tcW w:w="3800" w:type="dxa"/>
            <w:vAlign w:val="bottom"/>
            <w:tcBorders>
              <w:bottom w:val="single" w:sz="8" w:color="0CD973"/>
            </w:tcBorders>
          </w:tcPr>
          <w:p>
            <w:pPr>
              <w:spacing w:after="0"/>
              <w:rPr>
                <w:sz w:val="24"/>
                <w:szCs w:val="24"/>
                <w:color w:val="auto"/>
              </w:rPr>
            </w:pPr>
          </w:p>
        </w:tc>
        <w:tc>
          <w:tcPr>
            <w:tcW w:w="4860" w:type="dxa"/>
            <w:vAlign w:val="bottom"/>
            <w:tcBorders>
              <w:bottom w:val="single" w:sz="8" w:color="0CD973"/>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-1191260</wp:posOffset>
            </wp:positionV>
            <wp:extent cx="1560195" cy="11226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60195" cy="112268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111125</wp:posOffset>
            </wp:positionV>
            <wp:extent cx="17145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111125</wp:posOffset>
            </wp:positionV>
            <wp:extent cx="17145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111125</wp:posOffset>
            </wp:positionV>
            <wp:extent cx="17145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111125</wp:posOffset>
            </wp:positionV>
            <wp:extent cx="17145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111125</wp:posOffset>
            </wp:positionV>
            <wp:extent cx="17145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111125</wp:posOffset>
            </wp:positionV>
            <wp:extent cx="17145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111125</wp:posOffset>
            </wp:positionV>
            <wp:extent cx="17145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111125</wp:posOffset>
            </wp:positionV>
            <wp:extent cx="17145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111125</wp:posOffset>
            </wp:positionV>
            <wp:extent cx="17145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111125</wp:posOffset>
            </wp:positionV>
            <wp:extent cx="17145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111125</wp:posOffset>
            </wp:positionV>
            <wp:extent cx="171450"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1450" cy="16319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2"/>
          <w:szCs w:val="12"/>
          <w:color w:val="006880"/>
        </w:rPr>
        <w:t>Leadership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B6B6B6"/>
        </w:rPr>
        <w:t>Accounting &amp;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006880"/>
        </w:rPr>
        <w:t>Technology &amp;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tabs>
          <w:tab w:leader="none" w:pos="740" w:val="left"/>
          <w:tab w:leader="none" w:pos="1900" w:val="left"/>
        </w:tabs>
        <w:rPr>
          <w:sz w:val="20"/>
          <w:szCs w:val="20"/>
          <w:color w:val="auto"/>
        </w:rPr>
      </w:pPr>
      <w:r>
        <w:rPr>
          <w:rFonts w:ascii="Arial" w:cs="Arial" w:eastAsia="Arial" w:hAnsi="Arial"/>
          <w:sz w:val="13"/>
          <w:szCs w:val="13"/>
          <w:color w:val="006880"/>
        </w:rPr>
        <w:t>Nonprofit</w:t>
      </w:r>
      <w:r>
        <w:rPr>
          <w:sz w:val="20"/>
          <w:szCs w:val="20"/>
          <w:color w:val="auto"/>
        </w:rPr>
        <w:tab/>
      </w:r>
      <w:r>
        <w:rPr>
          <w:rFonts w:ascii="Arial" w:cs="Arial" w:eastAsia="Arial" w:hAnsi="Arial"/>
          <w:sz w:val="13"/>
          <w:szCs w:val="13"/>
          <w:color w:val="006880"/>
        </w:rPr>
        <w:t>Public Company</w:t>
      </w:r>
      <w:r>
        <w:rPr>
          <w:sz w:val="20"/>
          <w:szCs w:val="20"/>
          <w:color w:val="auto"/>
        </w:rPr>
        <w:tab/>
      </w:r>
      <w:r>
        <w:rPr>
          <w:rFonts w:ascii="Arial" w:cs="Arial" w:eastAsia="Arial" w:hAnsi="Arial"/>
          <w:sz w:val="12"/>
          <w:szCs w:val="12"/>
          <w:color w:val="006880"/>
        </w:rPr>
        <w:t>Corporate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tabs>
          <w:tab w:leader="none" w:pos="1660" w:val="left"/>
        </w:tabs>
        <w:rPr>
          <w:sz w:val="20"/>
          <w:szCs w:val="20"/>
          <w:color w:val="auto"/>
        </w:rPr>
      </w:pPr>
      <w:r>
        <w:rPr>
          <w:rFonts w:ascii="Arial" w:cs="Arial" w:eastAsia="Arial" w:hAnsi="Arial"/>
          <w:sz w:val="13"/>
          <w:szCs w:val="13"/>
          <w:color w:val="006880"/>
        </w:rPr>
        <w:t>Business Development &amp;</w:t>
      </w:r>
      <w:r>
        <w:rPr>
          <w:sz w:val="20"/>
          <w:szCs w:val="20"/>
          <w:color w:val="auto"/>
        </w:rPr>
        <w:tab/>
      </w:r>
      <w:r>
        <w:rPr>
          <w:rFonts w:ascii="Arial" w:cs="Arial" w:eastAsia="Arial" w:hAnsi="Arial"/>
          <w:sz w:val="12"/>
          <w:szCs w:val="12"/>
          <w:color w:val="006880"/>
        </w:rPr>
        <w:t>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006880"/>
        </w:rPr>
        <w:t>ESG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006880"/>
        </w:rPr>
        <w:t>AI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006880"/>
        </w:rPr>
        <w:t>Cybersecurity</w:t>
      </w:r>
    </w:p>
    <w:p>
      <w:pPr>
        <w:spacing w:after="0" w:line="27" w:lineRule="exact"/>
        <w:rPr>
          <w:sz w:val="20"/>
          <w:szCs w:val="20"/>
          <w:color w:val="auto"/>
        </w:rPr>
      </w:pPr>
    </w:p>
    <w:p>
      <w:pPr>
        <w:sectPr>
          <w:pgSz w:w="11900" w:h="16838" w:orient="portrait"/>
          <w:cols w:equalWidth="0" w:num="8">
            <w:col w:w="800" w:space="260"/>
            <w:col w:w="740" w:space="220"/>
            <w:col w:w="760" w:space="320"/>
            <w:col w:w="2480" w:space="260"/>
            <w:col w:w="2200" w:space="580"/>
            <w:col w:w="320" w:space="720"/>
            <w:col w:w="120" w:space="560"/>
            <w:col w:w="900"/>
          </w:cols>
          <w:pgMar w:left="320" w:top="338" w:right="339" w:bottom="1440" w:gutter="0" w:footer="0" w:header="0"/>
          <w:type w:val="continuous"/>
        </w:sectPr>
      </w:pPr>
    </w:p>
    <w:p>
      <w:pPr>
        <w:ind w:left="1200"/>
        <w:spacing w:after="0"/>
        <w:rPr>
          <w:sz w:val="20"/>
          <w:szCs w:val="20"/>
          <w:color w:val="auto"/>
        </w:rPr>
      </w:pPr>
      <w:r>
        <w:rPr>
          <w:rFonts w:ascii="Arial" w:cs="Arial" w:eastAsia="Arial" w:hAnsi="Arial"/>
          <w:sz w:val="12"/>
          <w:szCs w:val="12"/>
          <w:color w:val="B6B6B6"/>
        </w:rPr>
        <w:t>Finance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color w:val="006880"/>
        </w:rPr>
        <w:t>Software</w:t>
      </w:r>
    </w:p>
    <w:p>
      <w:pPr>
        <w:spacing w:after="0" w:line="20" w:lineRule="exact"/>
        <w:rPr>
          <w:sz w:val="20"/>
          <w:szCs w:val="20"/>
          <w:color w:val="auto"/>
        </w:rPr>
      </w:pPr>
      <w:r>
        <w:rPr>
          <w:sz w:val="20"/>
          <w:szCs w:val="20"/>
          <w:color w:val="auto"/>
        </w:rPr>
        <w:br w:type="column"/>
      </w:r>
    </w:p>
    <w:p>
      <w:pPr>
        <w:spacing w:after="0"/>
        <w:tabs>
          <w:tab w:leader="none" w:pos="780" w:val="left"/>
          <w:tab w:leader="none" w:pos="1800" w:val="left"/>
        </w:tabs>
        <w:rPr>
          <w:sz w:val="20"/>
          <w:szCs w:val="20"/>
          <w:color w:val="auto"/>
        </w:rPr>
      </w:pPr>
      <w:r>
        <w:rPr>
          <w:rFonts w:ascii="Arial" w:cs="Arial" w:eastAsia="Arial" w:hAnsi="Arial"/>
          <w:sz w:val="13"/>
          <w:szCs w:val="13"/>
          <w:color w:val="006880"/>
        </w:rPr>
        <w:t>Industry</w:t>
      </w:r>
      <w:r>
        <w:rPr>
          <w:sz w:val="20"/>
          <w:szCs w:val="20"/>
          <w:color w:val="auto"/>
        </w:rPr>
        <w:tab/>
      </w:r>
      <w:r>
        <w:rPr>
          <w:rFonts w:ascii="Arial" w:cs="Arial" w:eastAsia="Arial" w:hAnsi="Arial"/>
          <w:sz w:val="13"/>
          <w:szCs w:val="13"/>
          <w:color w:val="006880"/>
        </w:rPr>
        <w:t>Board Service</w:t>
      </w:r>
      <w:r>
        <w:rPr>
          <w:sz w:val="20"/>
          <w:szCs w:val="20"/>
          <w:color w:val="auto"/>
        </w:rPr>
        <w:tab/>
      </w:r>
      <w:r>
        <w:rPr>
          <w:rFonts w:ascii="Arial" w:cs="Arial" w:eastAsia="Arial" w:hAnsi="Arial"/>
          <w:sz w:val="12"/>
          <w:szCs w:val="12"/>
          <w:color w:val="006880"/>
        </w:rPr>
        <w:t>Governance</w:t>
      </w:r>
    </w:p>
    <w:p>
      <w:pPr>
        <w:spacing w:after="0" w:line="20" w:lineRule="exact"/>
        <w:rPr>
          <w:sz w:val="20"/>
          <w:szCs w:val="20"/>
          <w:color w:val="auto"/>
        </w:rPr>
      </w:pPr>
      <w:r>
        <w:rPr>
          <w:sz w:val="20"/>
          <w:szCs w:val="20"/>
          <w:color w:val="auto"/>
        </w:rPr>
        <w:br w:type="column"/>
      </w:r>
    </w:p>
    <w:p>
      <w:pPr>
        <w:spacing w:after="0"/>
        <w:tabs>
          <w:tab w:leader="none" w:pos="1580" w:val="left"/>
        </w:tabs>
        <w:rPr>
          <w:sz w:val="20"/>
          <w:szCs w:val="20"/>
          <w:color w:val="auto"/>
        </w:rPr>
      </w:pPr>
      <w:r>
        <w:rPr>
          <w:rFonts w:ascii="Arial" w:cs="Arial" w:eastAsia="Arial" w:hAnsi="Arial"/>
          <w:sz w:val="13"/>
          <w:szCs w:val="13"/>
          <w:color w:val="006880"/>
        </w:rPr>
        <w:t>Corporate Transactions</w:t>
      </w:r>
      <w:r>
        <w:rPr>
          <w:sz w:val="20"/>
          <w:szCs w:val="20"/>
          <w:color w:val="auto"/>
        </w:rPr>
        <w:tab/>
      </w:r>
      <w:r>
        <w:rPr>
          <w:rFonts w:ascii="Arial" w:cs="Arial" w:eastAsia="Arial" w:hAnsi="Arial"/>
          <w:sz w:val="12"/>
          <w:szCs w:val="12"/>
          <w:color w:val="006880"/>
        </w:rPr>
        <w:t>Operations</w:t>
      </w:r>
    </w:p>
    <w:p>
      <w:pPr>
        <w:spacing w:after="0" w:line="1" w:lineRule="exact"/>
        <w:rPr>
          <w:sz w:val="20"/>
          <w:szCs w:val="20"/>
          <w:color w:val="auto"/>
        </w:rPr>
      </w:pPr>
    </w:p>
    <w:p>
      <w:pPr>
        <w:sectPr>
          <w:pgSz w:w="11900" w:h="16838" w:orient="portrait"/>
          <w:cols w:equalWidth="0" w:num="4">
            <w:col w:w="1660" w:space="480"/>
            <w:col w:w="500" w:space="500"/>
            <w:col w:w="2500" w:space="240"/>
            <w:col w:w="5360"/>
          </w:cols>
          <w:pgMar w:left="320" w:top="338" w:right="339" w:bottom="1440" w:gutter="0" w:footer="0" w:header="0"/>
          <w:type w:val="continuous"/>
        </w:sectPr>
      </w:pPr>
    </w:p>
    <w:p>
      <w:pPr>
        <w:ind w:left="2120"/>
        <w:spacing w:after="0"/>
        <w:rPr>
          <w:sz w:val="20"/>
          <w:szCs w:val="20"/>
          <w:color w:val="auto"/>
        </w:rPr>
      </w:pPr>
      <w:r>
        <w:rPr>
          <w:rFonts w:ascii="Arial" w:cs="Arial" w:eastAsia="Arial" w:hAnsi="Arial"/>
          <w:sz w:val="12"/>
          <w:szCs w:val="12"/>
          <w:color w:val="006880"/>
        </w:rPr>
        <w:t>Industries</w:t>
      </w:r>
    </w:p>
    <w:p>
      <w:pPr>
        <w:sectPr>
          <w:pgSz w:w="11900" w:h="16838" w:orient="portrait"/>
          <w:cols w:equalWidth="0" w:num="1">
            <w:col w:w="11240"/>
          </w:cols>
          <w:pgMar w:left="320" w:top="338" w:right="339" w:bottom="1440" w:gutter="0" w:footer="0" w:header="0"/>
          <w:type w:val="continuous"/>
        </w:sect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Biography</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Mr. Gianoni joined us as Chief Executive Officer and President in January 2014 and was appointed Vice Chairman of the Board in January 2024. Prior to joining us, he served as Executive Vice President and Group President, Financial Institutions at Fiserv, Inc., a global technology provider serving the financial services industry, from January 2010 to December 2013. He joined Fiserv as President of its Investment Services division in December 2007. Mr. Gianoni was Executive Vice President and General Manager of CheckFree Investment Services, which provided investment management solutions to financial services organizations, from June 2006 until December 2007 when CheckFree was acquired by Fiserv. From May 1994 to November 2005, he served as Senior Vice President of DST Systems Inc., a global provider of technology-based service solutions. Mr. Gianoni is a member of the Board of Directors of Teradata Corporation, a publicly traded global big data analytics company, and has been Chairman of the Board since February 2020. Mr. Gianoni has served on several nonprofit boards across several segments, including relief organizations, hospitals and higher education and he currently is a member of the President's Advisory Group at the Medical University of South Carolina. Mr. Gianoni has a high focus on the advancement of artificial intelligence and has recently completed an AI-Leadership Strategy course at the Stanford Engineering school. He also has expertise in the leadership of cybersecurity programs. He holds an AS in electrical engineering from Waterbury State Technical College, a BS with a business concentration from Charter Oak State College, and an MBA and an honorary Doctorate from the University of New Haven.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Experience, Skills and Qualifications of Particular Relevance to Blackbaud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Among other experience, qualifications, attributes and skills, Mr. Gianoni's unique knowledge and experience in the technology industry and his experience with nonprofit organizations, as well as his leadership as our CEO and President since January 2014, led to the conclusion of our Nominating and Corporate Governance Committee, and of our full Board, that he is well qualified to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14</w:t>
      </w:r>
      <w:r>
        <w:rPr>
          <w:sz w:val="20"/>
          <w:szCs w:val="20"/>
          <w:color w:val="auto"/>
        </w:rPr>
        <w:tab/>
      </w:r>
      <w:r>
        <w:rPr>
          <w:sz w:val="1"/>
          <w:szCs w:val="1"/>
          <w:color w:val="auto"/>
        </w:rPr>
        <w:drawing>
          <wp:inline distT="0" distB="0" distL="0" distR="0">
            <wp:extent cx="702945" cy="11112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155575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16" w:name="page17"/>
    <w:bookmarkEnd w:id="16"/>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358"/>
        </w:trPr>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tcBorders>
              <w:bottom w:val="single" w:sz="8" w:color="0CD973"/>
            </w:tcBorders>
            <w:gridSpan w:val="3"/>
            <w:shd w:val="clear" w:color="auto" w:fill="EBFBFF"/>
          </w:tcPr>
          <w:p>
            <w:pPr>
              <w:ind w:left="20"/>
              <w:spacing w:after="0"/>
              <w:rPr>
                <w:sz w:val="20"/>
                <w:szCs w:val="20"/>
                <w:color w:val="auto"/>
              </w:rPr>
            </w:pPr>
            <w:r>
              <w:rPr>
                <w:rFonts w:ascii="Arial" w:cs="Arial" w:eastAsia="Arial" w:hAnsi="Arial"/>
                <w:sz w:val="18"/>
                <w:szCs w:val="18"/>
                <w:b w:val="1"/>
                <w:bCs w:val="1"/>
                <w:color w:val="006880"/>
              </w:rPr>
              <w:t>RUPAL S. HOLLENBECK</w:t>
            </w:r>
          </w:p>
        </w:tc>
        <w:tc>
          <w:tcPr>
            <w:tcW w:w="860" w:type="dxa"/>
            <w:vAlign w:val="bottom"/>
            <w:tcBorders>
              <w:bottom w:val="single" w:sz="8" w:color="0CD973"/>
            </w:tcBorders>
            <w:shd w:val="clear" w:color="auto" w:fill="EBFBFF"/>
          </w:tcPr>
          <w:p>
            <w:pPr>
              <w:spacing w:after="0"/>
              <w:rPr>
                <w:sz w:val="24"/>
                <w:szCs w:val="24"/>
                <w:color w:val="auto"/>
              </w:rPr>
            </w:pPr>
          </w:p>
        </w:tc>
        <w:tc>
          <w:tcPr>
            <w:tcW w:w="760" w:type="dxa"/>
            <w:vAlign w:val="bottom"/>
            <w:tcBorders>
              <w:bottom w:val="single" w:sz="8" w:color="0CD973"/>
            </w:tcBorders>
            <w:shd w:val="clear" w:color="auto" w:fill="EBFBFF"/>
          </w:tcPr>
          <w:p>
            <w:pPr>
              <w:spacing w:after="0"/>
              <w:rPr>
                <w:sz w:val="24"/>
                <w:szCs w:val="24"/>
                <w:color w:val="auto"/>
              </w:rPr>
            </w:pPr>
          </w:p>
        </w:tc>
        <w:tc>
          <w:tcPr>
            <w:tcW w:w="840" w:type="dxa"/>
            <w:vAlign w:val="bottom"/>
            <w:tcBorders>
              <w:bottom w:val="single" w:sz="8" w:color="0CD973"/>
            </w:tcBorders>
            <w:shd w:val="clear" w:color="auto" w:fill="EBFBFF"/>
          </w:tcPr>
          <w:p>
            <w:pPr>
              <w:ind w:left="20"/>
              <w:spacing w:after="0"/>
              <w:rPr>
                <w:sz w:val="20"/>
                <w:szCs w:val="20"/>
                <w:color w:val="auto"/>
              </w:rPr>
            </w:pPr>
            <w:r>
              <w:rPr>
                <w:rFonts w:ascii="Arial" w:cs="Arial" w:eastAsia="Arial" w:hAnsi="Arial"/>
                <w:sz w:val="18"/>
                <w:szCs w:val="18"/>
                <w:b w:val="1"/>
                <w:bCs w:val="1"/>
                <w:color w:val="006880"/>
              </w:rPr>
              <w:t xml:space="preserve">Age  </w:t>
            </w:r>
            <w:r>
              <w:rPr>
                <w:rFonts w:ascii="Arial" w:cs="Arial" w:eastAsia="Arial" w:hAnsi="Arial"/>
                <w:sz w:val="18"/>
                <w:szCs w:val="18"/>
                <w:color w:val="51555C"/>
              </w:rPr>
              <w:t>54</w:t>
            </w:r>
          </w:p>
        </w:tc>
        <w:tc>
          <w:tcPr>
            <w:tcW w:w="2820" w:type="dxa"/>
            <w:vAlign w:val="bottom"/>
            <w:tcBorders>
              <w:bottom w:val="single" w:sz="8" w:color="0CD973"/>
            </w:tcBorders>
            <w:gridSpan w:val="3"/>
            <w:shd w:val="clear" w:color="auto" w:fill="EBFBFF"/>
          </w:tcPr>
          <w:p>
            <w:pPr>
              <w:ind w:left="100"/>
              <w:spacing w:after="0"/>
              <w:rPr>
                <w:sz w:val="20"/>
                <w:szCs w:val="20"/>
                <w:color w:val="auto"/>
              </w:rPr>
            </w:pPr>
            <w:r>
              <w:rPr>
                <w:rFonts w:ascii="Arial" w:cs="Arial" w:eastAsia="Arial" w:hAnsi="Arial"/>
                <w:sz w:val="18"/>
                <w:szCs w:val="18"/>
                <w:b w:val="1"/>
                <w:bCs w:val="1"/>
                <w:color w:val="006880"/>
              </w:rPr>
              <w:t xml:space="preserve">Director since </w:t>
            </w:r>
            <w:r>
              <w:rPr>
                <w:rFonts w:ascii="Arial" w:cs="Arial" w:eastAsia="Arial" w:hAnsi="Arial"/>
                <w:sz w:val="18"/>
                <w:szCs w:val="18"/>
                <w:color w:val="51555C"/>
              </w:rPr>
              <w:t>December 2022</w:t>
            </w:r>
          </w:p>
        </w:tc>
        <w:tc>
          <w:tcPr>
            <w:tcW w:w="1080" w:type="dxa"/>
            <w:vAlign w:val="bottom"/>
            <w:tcBorders>
              <w:bottom w:val="single" w:sz="8" w:color="0CD973"/>
            </w:tcBorders>
            <w:shd w:val="clear" w:color="auto" w:fill="EBFBFF"/>
          </w:tcPr>
          <w:p>
            <w:pPr>
              <w:spacing w:after="0"/>
              <w:rPr>
                <w:sz w:val="24"/>
                <w:szCs w:val="24"/>
                <w:color w:val="auto"/>
              </w:rPr>
            </w:pPr>
          </w:p>
        </w:tc>
      </w:tr>
      <w:tr>
        <w:trPr>
          <w:trHeight w:val="396"/>
        </w:trPr>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gridSpan w:val="5"/>
          </w:tcPr>
          <w:p>
            <w:pPr>
              <w:ind w:left="20"/>
              <w:spacing w:after="0"/>
              <w:rPr>
                <w:sz w:val="20"/>
                <w:szCs w:val="20"/>
                <w:color w:val="auto"/>
              </w:rPr>
            </w:pPr>
            <w:r>
              <w:rPr>
                <w:rFonts w:ascii="Arial" w:cs="Arial" w:eastAsia="Arial" w:hAnsi="Arial"/>
                <w:sz w:val="18"/>
                <w:szCs w:val="18"/>
                <w:color w:val="51555C"/>
                <w:w w:val="99"/>
              </w:rPr>
              <w:t>Chair of the Board of Directors of LayerX Security Ltd.</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86"/>
        </w:trPr>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80" w:type="dxa"/>
            <w:vAlign w:val="bottom"/>
            <w:gridSpan w:val="4"/>
          </w:tcPr>
          <w:p>
            <w:pPr>
              <w:ind w:left="20"/>
              <w:spacing w:after="0"/>
              <w:rPr>
                <w:sz w:val="20"/>
                <w:szCs w:val="20"/>
                <w:color w:val="auto"/>
              </w:rPr>
            </w:pPr>
            <w:r>
              <w:rPr>
                <w:rFonts w:ascii="Arial" w:cs="Arial" w:eastAsia="Arial" w:hAnsi="Arial"/>
                <w:sz w:val="18"/>
                <w:szCs w:val="18"/>
                <w:b w:val="1"/>
                <w:bCs w:val="1"/>
                <w:color w:val="006880"/>
              </w:rPr>
              <w:t xml:space="preserve">INDEPENDENT DIRECTOR </w:t>
            </w:r>
            <w:r>
              <w:rPr>
                <w:rFonts w:ascii="Arial" w:cs="Arial" w:eastAsia="Arial" w:hAnsi="Arial"/>
                <w:sz w:val="18"/>
                <w:szCs w:val="18"/>
                <w:color w:val="51555C"/>
              </w:rPr>
              <w:t>Class A</w:t>
            </w:r>
          </w:p>
        </w:tc>
        <w:tc>
          <w:tcPr>
            <w:tcW w:w="760" w:type="dxa"/>
            <w:vAlign w:val="bottom"/>
          </w:tcPr>
          <w:p>
            <w:pPr>
              <w:spacing w:after="0"/>
              <w:rPr>
                <w:sz w:val="24"/>
                <w:szCs w:val="24"/>
                <w:color w:val="auto"/>
              </w:rPr>
            </w:pPr>
          </w:p>
        </w:tc>
        <w:tc>
          <w:tcPr>
            <w:tcW w:w="2780" w:type="dxa"/>
            <w:vAlign w:val="bottom"/>
            <w:gridSpan w:val="3"/>
          </w:tcPr>
          <w:p>
            <w:pPr>
              <w:ind w:left="20"/>
              <w:spacing w:after="0"/>
              <w:rPr>
                <w:sz w:val="20"/>
                <w:szCs w:val="20"/>
                <w:color w:val="auto"/>
              </w:rPr>
            </w:pPr>
            <w:r>
              <w:rPr>
                <w:rFonts w:ascii="Arial" w:cs="Arial" w:eastAsia="Arial" w:hAnsi="Arial"/>
                <w:sz w:val="18"/>
                <w:szCs w:val="18"/>
                <w:b w:val="1"/>
                <w:bCs w:val="1"/>
                <w:color w:val="006880"/>
              </w:rPr>
              <w:t xml:space="preserve">Current Term Expires </w:t>
            </w:r>
            <w:r>
              <w:rPr>
                <w:rFonts w:ascii="Arial" w:cs="Arial" w:eastAsia="Arial" w:hAnsi="Arial"/>
                <w:sz w:val="18"/>
                <w:szCs w:val="18"/>
                <w:color w:val="51555C"/>
              </w:rPr>
              <w:t>2026</w:t>
            </w: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7"/>
        </w:trPr>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gridSpan w:val="5"/>
          </w:tcPr>
          <w:p>
            <w:pPr>
              <w:ind w:left="20"/>
              <w:spacing w:after="0"/>
              <w:rPr>
                <w:sz w:val="20"/>
                <w:szCs w:val="20"/>
                <w:color w:val="auto"/>
              </w:rPr>
            </w:pPr>
            <w:r>
              <w:rPr>
                <w:rFonts w:ascii="Arial" w:cs="Arial" w:eastAsia="Arial" w:hAnsi="Arial"/>
                <w:sz w:val="18"/>
                <w:szCs w:val="18"/>
                <w:b w:val="1"/>
                <w:bCs w:val="1"/>
                <w:color w:val="006880"/>
              </w:rPr>
              <w:t xml:space="preserve">Blackbaud Board Committees </w:t>
            </w:r>
            <w:r>
              <w:rPr>
                <w:rFonts w:ascii="Arial" w:cs="Arial" w:eastAsia="Arial" w:hAnsi="Arial"/>
                <w:sz w:val="18"/>
                <w:szCs w:val="18"/>
                <w:color w:val="51555C"/>
              </w:rPr>
              <w:t>Nominating and</w:t>
            </w:r>
          </w:p>
        </w:tc>
        <w:tc>
          <w:tcPr>
            <w:tcW w:w="2780" w:type="dxa"/>
            <w:vAlign w:val="bottom"/>
            <w:gridSpan w:val="3"/>
          </w:tcPr>
          <w:p>
            <w:pPr>
              <w:ind w:left="20"/>
              <w:spacing w:after="0"/>
              <w:rPr>
                <w:sz w:val="20"/>
                <w:szCs w:val="20"/>
                <w:color w:val="auto"/>
              </w:rPr>
            </w:pPr>
            <w:r>
              <w:rPr>
                <w:rFonts w:ascii="Arial" w:cs="Arial" w:eastAsia="Arial" w:hAnsi="Arial"/>
                <w:sz w:val="18"/>
                <w:szCs w:val="18"/>
                <w:b w:val="1"/>
                <w:bCs w:val="1"/>
                <w:color w:val="006880"/>
              </w:rPr>
              <w:t xml:space="preserve">Other Public Boards </w:t>
            </w:r>
            <w:r>
              <w:rPr>
                <w:rFonts w:ascii="Arial" w:cs="Arial" w:eastAsia="Arial" w:hAnsi="Arial"/>
                <w:sz w:val="18"/>
                <w:szCs w:val="18"/>
                <w:color w:val="51555C"/>
              </w:rPr>
              <w:t>None</w:t>
            </w: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9"/>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gridSpan w:val="3"/>
          </w:tcPr>
          <w:p>
            <w:pPr>
              <w:ind w:left="20"/>
              <w:spacing w:after="0"/>
              <w:rPr>
                <w:sz w:val="20"/>
                <w:szCs w:val="20"/>
                <w:color w:val="auto"/>
              </w:rPr>
            </w:pPr>
            <w:r>
              <w:rPr>
                <w:rFonts w:ascii="Arial" w:cs="Arial" w:eastAsia="Arial" w:hAnsi="Arial"/>
                <w:sz w:val="18"/>
                <w:szCs w:val="18"/>
                <w:color w:val="51555C"/>
              </w:rPr>
              <w:t>Corporate Governance</w:t>
            </w: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44"/>
        </w:trPr>
        <w:tc>
          <w:tcPr>
            <w:tcW w:w="1920" w:type="dxa"/>
            <w:vAlign w:val="bottom"/>
            <w:tcBorders>
              <w:bottom w:val="single" w:sz="8" w:color="0CD973"/>
            </w:tcBorders>
          </w:tcPr>
          <w:p>
            <w:pPr>
              <w:spacing w:after="0"/>
              <w:rPr>
                <w:sz w:val="12"/>
                <w:szCs w:val="12"/>
                <w:color w:val="auto"/>
              </w:rPr>
            </w:pPr>
          </w:p>
        </w:tc>
        <w:tc>
          <w:tcPr>
            <w:tcW w:w="1020" w:type="dxa"/>
            <w:vAlign w:val="bottom"/>
            <w:tcBorders>
              <w:bottom w:val="single" w:sz="8" w:color="0CD973"/>
            </w:tcBorders>
            <w:gridSpan w:val="2"/>
          </w:tcPr>
          <w:p>
            <w:pPr>
              <w:spacing w:after="0"/>
              <w:rPr>
                <w:sz w:val="12"/>
                <w:szCs w:val="12"/>
                <w:color w:val="auto"/>
              </w:rPr>
            </w:pPr>
          </w:p>
        </w:tc>
        <w:tc>
          <w:tcPr>
            <w:tcW w:w="800" w:type="dxa"/>
            <w:vAlign w:val="bottom"/>
            <w:tcBorders>
              <w:bottom w:val="single" w:sz="8" w:color="0CD973"/>
            </w:tcBorders>
          </w:tcPr>
          <w:p>
            <w:pPr>
              <w:spacing w:after="0"/>
              <w:rPr>
                <w:sz w:val="12"/>
                <w:szCs w:val="12"/>
                <w:color w:val="auto"/>
              </w:rPr>
            </w:pPr>
          </w:p>
        </w:tc>
        <w:tc>
          <w:tcPr>
            <w:tcW w:w="1140" w:type="dxa"/>
            <w:vAlign w:val="bottom"/>
            <w:tcBorders>
              <w:bottom w:val="single" w:sz="8" w:color="0CD973"/>
            </w:tcBorders>
          </w:tcPr>
          <w:p>
            <w:pPr>
              <w:spacing w:after="0"/>
              <w:rPr>
                <w:sz w:val="12"/>
                <w:szCs w:val="12"/>
                <w:color w:val="auto"/>
              </w:rPr>
            </w:pPr>
          </w:p>
        </w:tc>
        <w:tc>
          <w:tcPr>
            <w:tcW w:w="860" w:type="dxa"/>
            <w:vAlign w:val="bottom"/>
            <w:tcBorders>
              <w:bottom w:val="single" w:sz="8" w:color="0CD973"/>
            </w:tcBorders>
          </w:tcPr>
          <w:p>
            <w:pPr>
              <w:spacing w:after="0"/>
              <w:rPr>
                <w:sz w:val="12"/>
                <w:szCs w:val="12"/>
                <w:color w:val="auto"/>
              </w:rPr>
            </w:pPr>
          </w:p>
        </w:tc>
        <w:tc>
          <w:tcPr>
            <w:tcW w:w="1600" w:type="dxa"/>
            <w:vAlign w:val="bottom"/>
            <w:tcBorders>
              <w:bottom w:val="single" w:sz="8" w:color="0CD973"/>
            </w:tcBorders>
            <w:gridSpan w:val="2"/>
          </w:tcPr>
          <w:p>
            <w:pPr>
              <w:spacing w:after="0"/>
              <w:rPr>
                <w:sz w:val="12"/>
                <w:szCs w:val="12"/>
                <w:color w:val="auto"/>
              </w:rPr>
            </w:pPr>
          </w:p>
        </w:tc>
        <w:tc>
          <w:tcPr>
            <w:tcW w:w="1020" w:type="dxa"/>
            <w:vAlign w:val="bottom"/>
            <w:tcBorders>
              <w:bottom w:val="single" w:sz="8" w:color="0CD973"/>
            </w:tcBorders>
          </w:tcPr>
          <w:p>
            <w:pPr>
              <w:spacing w:after="0"/>
              <w:rPr>
                <w:sz w:val="12"/>
                <w:szCs w:val="12"/>
                <w:color w:val="auto"/>
              </w:rPr>
            </w:pPr>
          </w:p>
        </w:tc>
        <w:tc>
          <w:tcPr>
            <w:tcW w:w="920" w:type="dxa"/>
            <w:vAlign w:val="bottom"/>
            <w:tcBorders>
              <w:bottom w:val="single" w:sz="8" w:color="0CD973"/>
            </w:tcBorders>
          </w:tcPr>
          <w:p>
            <w:pPr>
              <w:spacing w:after="0"/>
              <w:rPr>
                <w:sz w:val="12"/>
                <w:szCs w:val="12"/>
                <w:color w:val="auto"/>
              </w:rPr>
            </w:pPr>
          </w:p>
        </w:tc>
        <w:tc>
          <w:tcPr>
            <w:tcW w:w="880" w:type="dxa"/>
            <w:vAlign w:val="bottom"/>
            <w:tcBorders>
              <w:bottom w:val="single" w:sz="8" w:color="0CD973"/>
            </w:tcBorders>
          </w:tcPr>
          <w:p>
            <w:pPr>
              <w:spacing w:after="0"/>
              <w:rPr>
                <w:sz w:val="12"/>
                <w:szCs w:val="12"/>
                <w:color w:val="auto"/>
              </w:rPr>
            </w:pPr>
          </w:p>
        </w:tc>
        <w:tc>
          <w:tcPr>
            <w:tcW w:w="1080" w:type="dxa"/>
            <w:vAlign w:val="bottom"/>
            <w:tcBorders>
              <w:bottom w:val="single" w:sz="8" w:color="0CD973"/>
            </w:tcBorders>
          </w:tcPr>
          <w:p>
            <w:pPr>
              <w:spacing w:after="0"/>
              <w:rPr>
                <w:sz w:val="12"/>
                <w:szCs w:val="12"/>
                <w:color w:val="auto"/>
              </w:rPr>
            </w:pPr>
          </w:p>
        </w:tc>
      </w:tr>
      <w:tr>
        <w:trPr>
          <w:trHeight w:val="691"/>
        </w:trPr>
        <w:tc>
          <w:tcPr>
            <w:tcW w:w="1920" w:type="dxa"/>
            <w:vAlign w:val="bottom"/>
          </w:tcPr>
          <w:p>
            <w:pPr>
              <w:ind w:left="160"/>
              <w:spacing w:after="0"/>
              <w:rPr>
                <w:sz w:val="20"/>
                <w:szCs w:val="20"/>
                <w:color w:val="auto"/>
              </w:rPr>
            </w:pPr>
            <w:r>
              <w:rPr>
                <w:rFonts w:ascii="Arial" w:cs="Arial" w:eastAsia="Arial" w:hAnsi="Arial"/>
                <w:sz w:val="13"/>
                <w:szCs w:val="13"/>
                <w:color w:val="006880"/>
                <w:w w:val="96"/>
              </w:rPr>
              <w:t>Leadership</w:t>
            </w:r>
            <w:r>
              <w:rPr>
                <w:rFonts w:ascii="Arial" w:cs="Arial" w:eastAsia="Arial" w:hAnsi="Arial"/>
                <w:sz w:val="13"/>
                <w:szCs w:val="13"/>
                <w:color w:val="B6B6B6"/>
                <w:w w:val="96"/>
              </w:rPr>
              <w:t>Accounting &amp;</w:t>
            </w:r>
          </w:p>
        </w:tc>
        <w:tc>
          <w:tcPr>
            <w:tcW w:w="1020" w:type="dxa"/>
            <w:vAlign w:val="bottom"/>
            <w:gridSpan w:val="2"/>
          </w:tcPr>
          <w:p>
            <w:pPr>
              <w:ind w:left="100"/>
              <w:spacing w:after="0"/>
              <w:rPr>
                <w:sz w:val="20"/>
                <w:szCs w:val="20"/>
                <w:color w:val="auto"/>
              </w:rPr>
            </w:pPr>
            <w:r>
              <w:rPr>
                <w:rFonts w:ascii="Arial" w:cs="Arial" w:eastAsia="Arial" w:hAnsi="Arial"/>
                <w:sz w:val="13"/>
                <w:szCs w:val="13"/>
                <w:color w:val="006880"/>
              </w:rPr>
              <w:t>Technology &amp;</w:t>
            </w:r>
          </w:p>
        </w:tc>
        <w:tc>
          <w:tcPr>
            <w:tcW w:w="800" w:type="dxa"/>
            <w:vAlign w:val="bottom"/>
          </w:tcPr>
          <w:p>
            <w:pPr>
              <w:jc w:val="center"/>
              <w:spacing w:after="0"/>
              <w:rPr>
                <w:sz w:val="20"/>
                <w:szCs w:val="20"/>
                <w:color w:val="auto"/>
              </w:rPr>
            </w:pPr>
            <w:r>
              <w:rPr>
                <w:rFonts w:ascii="Arial" w:cs="Arial" w:eastAsia="Arial" w:hAnsi="Arial"/>
                <w:sz w:val="13"/>
                <w:szCs w:val="13"/>
                <w:color w:val="006880"/>
                <w:w w:val="98"/>
              </w:rPr>
              <w:t>Nonprofit</w:t>
            </w:r>
          </w:p>
        </w:tc>
        <w:tc>
          <w:tcPr>
            <w:tcW w:w="1140" w:type="dxa"/>
            <w:vAlign w:val="bottom"/>
          </w:tcPr>
          <w:p>
            <w:pPr>
              <w:jc w:val="center"/>
              <w:spacing w:after="0"/>
              <w:rPr>
                <w:sz w:val="20"/>
                <w:szCs w:val="20"/>
                <w:color w:val="auto"/>
              </w:rPr>
            </w:pPr>
            <w:r>
              <w:rPr>
                <w:rFonts w:ascii="Arial" w:cs="Arial" w:eastAsia="Arial" w:hAnsi="Arial"/>
                <w:sz w:val="13"/>
                <w:szCs w:val="13"/>
                <w:color w:val="B6B6B6"/>
                <w:w w:val="97"/>
              </w:rPr>
              <w:t>Public Company</w:t>
            </w:r>
          </w:p>
        </w:tc>
        <w:tc>
          <w:tcPr>
            <w:tcW w:w="860" w:type="dxa"/>
            <w:vAlign w:val="bottom"/>
          </w:tcPr>
          <w:p>
            <w:pPr>
              <w:jc w:val="center"/>
              <w:spacing w:after="0"/>
              <w:rPr>
                <w:sz w:val="20"/>
                <w:szCs w:val="20"/>
                <w:color w:val="auto"/>
              </w:rPr>
            </w:pPr>
            <w:r>
              <w:rPr>
                <w:rFonts w:ascii="Arial" w:cs="Arial" w:eastAsia="Arial" w:hAnsi="Arial"/>
                <w:sz w:val="13"/>
                <w:szCs w:val="13"/>
                <w:color w:val="006880"/>
                <w:w w:val="96"/>
              </w:rPr>
              <w:t>Corporate</w:t>
            </w:r>
          </w:p>
        </w:tc>
        <w:tc>
          <w:tcPr>
            <w:tcW w:w="1600" w:type="dxa"/>
            <w:vAlign w:val="bottom"/>
            <w:gridSpan w:val="2"/>
          </w:tcPr>
          <w:p>
            <w:pPr>
              <w:jc w:val="center"/>
              <w:spacing w:after="0"/>
              <w:rPr>
                <w:sz w:val="20"/>
                <w:szCs w:val="20"/>
                <w:color w:val="auto"/>
              </w:rPr>
            </w:pPr>
            <w:r>
              <w:rPr>
                <w:rFonts w:ascii="Arial" w:cs="Arial" w:eastAsia="Arial" w:hAnsi="Arial"/>
                <w:sz w:val="13"/>
                <w:szCs w:val="13"/>
                <w:color w:val="006880"/>
                <w:w w:val="96"/>
              </w:rPr>
              <w:t>Business Development &amp;</w:t>
            </w:r>
          </w:p>
        </w:tc>
        <w:tc>
          <w:tcPr>
            <w:tcW w:w="1020" w:type="dxa"/>
            <w:vAlign w:val="bottom"/>
          </w:tcPr>
          <w:p>
            <w:pPr>
              <w:jc w:val="center"/>
              <w:ind w:right="68"/>
              <w:spacing w:after="0"/>
              <w:rPr>
                <w:sz w:val="20"/>
                <w:szCs w:val="20"/>
                <w:color w:val="auto"/>
              </w:rPr>
            </w:pPr>
            <w:r>
              <w:rPr>
                <w:rFonts w:ascii="Arial" w:cs="Arial" w:eastAsia="Arial" w:hAnsi="Arial"/>
                <w:sz w:val="13"/>
                <w:szCs w:val="13"/>
                <w:color w:val="006880"/>
                <w:w w:val="98"/>
              </w:rPr>
              <w:t>Business</w:t>
            </w:r>
          </w:p>
        </w:tc>
        <w:tc>
          <w:tcPr>
            <w:tcW w:w="920" w:type="dxa"/>
            <w:vAlign w:val="bottom"/>
          </w:tcPr>
          <w:p>
            <w:pPr>
              <w:ind w:left="260"/>
              <w:spacing w:after="0"/>
              <w:rPr>
                <w:sz w:val="20"/>
                <w:szCs w:val="20"/>
                <w:color w:val="auto"/>
              </w:rPr>
            </w:pPr>
            <w:r>
              <w:rPr>
                <w:rFonts w:ascii="Arial" w:cs="Arial" w:eastAsia="Arial" w:hAnsi="Arial"/>
                <w:sz w:val="13"/>
                <w:szCs w:val="13"/>
                <w:color w:val="006880"/>
              </w:rPr>
              <w:t>ESG</w:t>
            </w:r>
          </w:p>
        </w:tc>
        <w:tc>
          <w:tcPr>
            <w:tcW w:w="880" w:type="dxa"/>
            <w:vAlign w:val="bottom"/>
          </w:tcPr>
          <w:p>
            <w:pPr>
              <w:ind w:left="380"/>
              <w:spacing w:after="0"/>
              <w:rPr>
                <w:sz w:val="20"/>
                <w:szCs w:val="20"/>
                <w:color w:val="auto"/>
              </w:rPr>
            </w:pPr>
            <w:r>
              <w:rPr>
                <w:rFonts w:ascii="Arial" w:cs="Arial" w:eastAsia="Arial" w:hAnsi="Arial"/>
                <w:sz w:val="13"/>
                <w:szCs w:val="13"/>
                <w:color w:val="B6B6B6"/>
              </w:rPr>
              <w:t>AI</w:t>
            </w:r>
          </w:p>
        </w:tc>
        <w:tc>
          <w:tcPr>
            <w:tcW w:w="1080" w:type="dxa"/>
            <w:vAlign w:val="bottom"/>
          </w:tcPr>
          <w:p>
            <w:pPr>
              <w:ind w:left="180"/>
              <w:spacing w:after="0"/>
              <w:rPr>
                <w:sz w:val="20"/>
                <w:szCs w:val="20"/>
                <w:color w:val="auto"/>
              </w:rPr>
            </w:pPr>
            <w:r>
              <w:rPr>
                <w:rFonts w:ascii="Arial" w:cs="Arial" w:eastAsia="Arial" w:hAnsi="Arial"/>
                <w:sz w:val="13"/>
                <w:szCs w:val="13"/>
                <w:color w:val="006880"/>
              </w:rPr>
              <w:t>Cybersecurity</w:t>
            </w:r>
          </w:p>
        </w:tc>
      </w:tr>
      <w:tr>
        <w:trPr>
          <w:trHeight w:val="148"/>
        </w:trPr>
        <w:tc>
          <w:tcPr>
            <w:tcW w:w="1920" w:type="dxa"/>
            <w:vAlign w:val="bottom"/>
          </w:tcPr>
          <w:p>
            <w:pPr>
              <w:ind w:left="1200"/>
              <w:spacing w:after="0"/>
              <w:rPr>
                <w:sz w:val="20"/>
                <w:szCs w:val="20"/>
                <w:color w:val="auto"/>
              </w:rPr>
            </w:pPr>
            <w:r>
              <w:rPr>
                <w:rFonts w:ascii="Arial" w:cs="Arial" w:eastAsia="Arial" w:hAnsi="Arial"/>
                <w:sz w:val="13"/>
                <w:szCs w:val="13"/>
                <w:color w:val="B6B6B6"/>
              </w:rPr>
              <w:t>Finance</w:t>
            </w:r>
          </w:p>
        </w:tc>
        <w:tc>
          <w:tcPr>
            <w:tcW w:w="1020" w:type="dxa"/>
            <w:vAlign w:val="bottom"/>
            <w:gridSpan w:val="2"/>
          </w:tcPr>
          <w:p>
            <w:pPr>
              <w:ind w:left="220"/>
              <w:spacing w:after="0"/>
              <w:rPr>
                <w:sz w:val="20"/>
                <w:szCs w:val="20"/>
                <w:color w:val="auto"/>
              </w:rPr>
            </w:pPr>
            <w:r>
              <w:rPr>
                <w:rFonts w:ascii="Arial" w:cs="Arial" w:eastAsia="Arial" w:hAnsi="Arial"/>
                <w:sz w:val="13"/>
                <w:szCs w:val="13"/>
                <w:color w:val="006880"/>
              </w:rPr>
              <w:t>Software</w:t>
            </w:r>
          </w:p>
        </w:tc>
        <w:tc>
          <w:tcPr>
            <w:tcW w:w="800" w:type="dxa"/>
            <w:vAlign w:val="bottom"/>
          </w:tcPr>
          <w:p>
            <w:pPr>
              <w:jc w:val="center"/>
              <w:spacing w:after="0"/>
              <w:rPr>
                <w:sz w:val="20"/>
                <w:szCs w:val="20"/>
                <w:color w:val="auto"/>
              </w:rPr>
            </w:pPr>
            <w:r>
              <w:rPr>
                <w:rFonts w:ascii="Arial" w:cs="Arial" w:eastAsia="Arial" w:hAnsi="Arial"/>
                <w:sz w:val="13"/>
                <w:szCs w:val="13"/>
                <w:color w:val="006880"/>
                <w:w w:val="95"/>
              </w:rPr>
              <w:t>Industry</w:t>
            </w:r>
          </w:p>
        </w:tc>
        <w:tc>
          <w:tcPr>
            <w:tcW w:w="1140" w:type="dxa"/>
            <w:vAlign w:val="bottom"/>
          </w:tcPr>
          <w:p>
            <w:pPr>
              <w:jc w:val="center"/>
              <w:spacing w:after="0"/>
              <w:rPr>
                <w:sz w:val="20"/>
                <w:szCs w:val="20"/>
                <w:color w:val="auto"/>
              </w:rPr>
            </w:pPr>
            <w:r>
              <w:rPr>
                <w:rFonts w:ascii="Arial" w:cs="Arial" w:eastAsia="Arial" w:hAnsi="Arial"/>
                <w:sz w:val="13"/>
                <w:szCs w:val="13"/>
                <w:color w:val="B6B6B6"/>
                <w:w w:val="95"/>
              </w:rPr>
              <w:t>Board Service</w:t>
            </w:r>
          </w:p>
        </w:tc>
        <w:tc>
          <w:tcPr>
            <w:tcW w:w="860" w:type="dxa"/>
            <w:vAlign w:val="bottom"/>
          </w:tcPr>
          <w:p>
            <w:pPr>
              <w:jc w:val="center"/>
              <w:spacing w:after="0"/>
              <w:rPr>
                <w:sz w:val="20"/>
                <w:szCs w:val="20"/>
                <w:color w:val="auto"/>
              </w:rPr>
            </w:pPr>
            <w:r>
              <w:rPr>
                <w:rFonts w:ascii="Arial" w:cs="Arial" w:eastAsia="Arial" w:hAnsi="Arial"/>
                <w:sz w:val="13"/>
                <w:szCs w:val="13"/>
                <w:color w:val="006880"/>
                <w:w w:val="95"/>
              </w:rPr>
              <w:t>Governance</w:t>
            </w:r>
          </w:p>
        </w:tc>
        <w:tc>
          <w:tcPr>
            <w:tcW w:w="1600" w:type="dxa"/>
            <w:vAlign w:val="bottom"/>
            <w:gridSpan w:val="2"/>
          </w:tcPr>
          <w:p>
            <w:pPr>
              <w:jc w:val="center"/>
              <w:spacing w:after="0"/>
              <w:rPr>
                <w:sz w:val="20"/>
                <w:szCs w:val="20"/>
                <w:color w:val="auto"/>
              </w:rPr>
            </w:pPr>
            <w:r>
              <w:rPr>
                <w:rFonts w:ascii="Arial" w:cs="Arial" w:eastAsia="Arial" w:hAnsi="Arial"/>
                <w:sz w:val="13"/>
                <w:szCs w:val="13"/>
                <w:color w:val="006880"/>
                <w:w w:val="97"/>
              </w:rPr>
              <w:t>Corporate Transactions</w:t>
            </w:r>
          </w:p>
        </w:tc>
        <w:tc>
          <w:tcPr>
            <w:tcW w:w="1020" w:type="dxa"/>
            <w:vAlign w:val="bottom"/>
          </w:tcPr>
          <w:p>
            <w:pPr>
              <w:jc w:val="center"/>
              <w:ind w:right="48"/>
              <w:spacing w:after="0"/>
              <w:rPr>
                <w:sz w:val="20"/>
                <w:szCs w:val="20"/>
                <w:color w:val="auto"/>
              </w:rPr>
            </w:pPr>
            <w:r>
              <w:rPr>
                <w:rFonts w:ascii="Arial" w:cs="Arial" w:eastAsia="Arial" w:hAnsi="Arial"/>
                <w:sz w:val="13"/>
                <w:szCs w:val="13"/>
                <w:color w:val="006880"/>
                <w:w w:val="97"/>
              </w:rPr>
              <w:t>Operations</w:t>
            </w: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66"/>
        </w:trPr>
        <w:tc>
          <w:tcPr>
            <w:tcW w:w="1920" w:type="dxa"/>
            <w:vAlign w:val="bottom"/>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3"/>
                <w:szCs w:val="13"/>
                <w:color w:val="006880"/>
              </w:rPr>
              <w:t>Industries</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-1816100</wp:posOffset>
            </wp:positionV>
            <wp:extent cx="1285875" cy="11055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85875" cy="110553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-530860</wp:posOffset>
            </wp:positionV>
            <wp:extent cx="17145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-530860</wp:posOffset>
            </wp:positionV>
            <wp:extent cx="17145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-530860</wp:posOffset>
            </wp:positionV>
            <wp:extent cx="17145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-530860</wp:posOffset>
            </wp:positionV>
            <wp:extent cx="17145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-530860</wp:posOffset>
            </wp:positionV>
            <wp:extent cx="17145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-530860</wp:posOffset>
            </wp:positionV>
            <wp:extent cx="17145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-530860</wp:posOffset>
            </wp:positionV>
            <wp:extent cx="17145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-530860</wp:posOffset>
            </wp:positionV>
            <wp:extent cx="17145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-530860</wp:posOffset>
            </wp:positionV>
            <wp:extent cx="17145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-530860</wp:posOffset>
            </wp:positionV>
            <wp:extent cx="17145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-530860</wp:posOffset>
            </wp:positionV>
            <wp:extent cx="171450"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1450" cy="16319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Biography</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Ms. Hollenbeck joined the Board of Directors in December 2022. Ms. Hollenbeck was appointed Chair of the Board of Directors of LayerX Security Ltd., a global provider of AI security technologies, in February 2026. Prior to this, Ms. Hollenbeck was a member of the board of directors and then President of Check Point Software Technologies, Inc., a provider of cybersecurity solutions, from December 2020 to June 2025. She previously served as Vice President and Chief Marketing Officer at Cerebras Systems, Inc., an artificial intelligence hardware start-up in Silicon Valley, from March 2021 to March 2022. Prior to that, Ms. Hollenbeck served as Senior Vice President &amp; Chief Marketing Officer at Oracle Corporation, an American multinational computer technology corporation, from September 2018 to January 2020. Prior to joining Oracle, she was with Intel Corporation for over 23 years and held many senior leadership positions including Corporate Vice President and General Manager of Global Data Center Sales and Vice President and General Manager of Intel China. Ms. Hollenbeck is a founding member of Neythri, a non-profit organization dedicated to the professional advancement of South Asian women and is a founding limited partner in the venture capital firm Neythri Futures Fund. She serves on the Board of Directors of The Asian Pacific Fund, a non-profit organization in San Francisco. She holds a BS in Finance and International Studies from Boston College and an MBA in International Management from the Thunderbird School of Global Management at Arizona State University.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Experience, Skills and Qualifications of Particular Relevance to Blackbaud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Among other experience, qualifications, attributes and skills, Ms. Hollenbeck's expertise in cybersecurity solutions, artificial intelligence hardware and global enterprises, as well as her passion for inclusive organizations and women’s development led to the conclusion of our Nominating and Corporate Governance Committee, and of our full Board, that she is well qualified to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480060</wp:posOffset>
            </wp:positionV>
            <wp:extent cx="702945" cy="1117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2945"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15</w:t>
            </w:r>
          </w:p>
        </w:tc>
      </w:tr>
      <w:tr>
        <w:trPr>
          <w:trHeight w:val="272"/>
        </w:trPr>
        <w:tc>
          <w:tcPr>
            <w:tcW w:w="1020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7" w:name="page18"/>
    <w:bookmarkEnd w:id="17"/>
    <w:p>
      <w:pPr>
        <w:ind w:left="10160"/>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358"/>
        </w:trPr>
        <w:tc>
          <w:tcPr>
            <w:tcW w:w="1920" w:type="dxa"/>
            <w:vAlign w:val="bottom"/>
          </w:tcPr>
          <w:p>
            <w:pPr>
              <w:spacing w:after="0"/>
              <w:rPr>
                <w:sz w:val="24"/>
                <w:szCs w:val="24"/>
                <w:color w:val="auto"/>
              </w:rPr>
            </w:pPr>
          </w:p>
        </w:tc>
        <w:tc>
          <w:tcPr>
            <w:tcW w:w="1860" w:type="dxa"/>
            <w:vAlign w:val="bottom"/>
            <w:tcBorders>
              <w:bottom w:val="single" w:sz="8" w:color="0CD973"/>
            </w:tcBorders>
            <w:gridSpan w:val="2"/>
            <w:shd w:val="clear" w:color="auto" w:fill="EBFBFF"/>
          </w:tcPr>
          <w:p>
            <w:pPr>
              <w:spacing w:after="0"/>
              <w:rPr>
                <w:sz w:val="20"/>
                <w:szCs w:val="20"/>
                <w:color w:val="auto"/>
              </w:rPr>
            </w:pPr>
            <w:r>
              <w:rPr>
                <w:rFonts w:ascii="Arial" w:cs="Arial" w:eastAsia="Arial" w:hAnsi="Arial"/>
                <w:sz w:val="18"/>
                <w:szCs w:val="18"/>
                <w:b w:val="1"/>
                <w:bCs w:val="1"/>
                <w:color w:val="006880"/>
              </w:rPr>
              <w:t>ANDREW M. LEITCH</w:t>
            </w:r>
          </w:p>
        </w:tc>
        <w:tc>
          <w:tcPr>
            <w:tcW w:w="1140" w:type="dxa"/>
            <w:vAlign w:val="bottom"/>
            <w:tcBorders>
              <w:bottom w:val="single" w:sz="8" w:color="0CD973"/>
            </w:tcBorders>
            <w:shd w:val="clear" w:color="auto" w:fill="EBFBFF"/>
          </w:tcPr>
          <w:p>
            <w:pPr>
              <w:spacing w:after="0"/>
              <w:rPr>
                <w:sz w:val="24"/>
                <w:szCs w:val="24"/>
                <w:color w:val="auto"/>
              </w:rPr>
            </w:pPr>
          </w:p>
        </w:tc>
        <w:tc>
          <w:tcPr>
            <w:tcW w:w="900" w:type="dxa"/>
            <w:vAlign w:val="bottom"/>
            <w:tcBorders>
              <w:bottom w:val="single" w:sz="8" w:color="0CD973"/>
            </w:tcBorders>
            <w:shd w:val="clear" w:color="auto" w:fill="EBFBFF"/>
          </w:tcPr>
          <w:p>
            <w:pPr>
              <w:spacing w:after="0"/>
              <w:rPr>
                <w:sz w:val="24"/>
                <w:szCs w:val="24"/>
                <w:color w:val="auto"/>
              </w:rPr>
            </w:pPr>
          </w:p>
        </w:tc>
        <w:tc>
          <w:tcPr>
            <w:tcW w:w="1460" w:type="dxa"/>
            <w:vAlign w:val="bottom"/>
            <w:tcBorders>
              <w:bottom w:val="single" w:sz="8" w:color="0CD973"/>
            </w:tcBorders>
            <w:shd w:val="clear" w:color="auto" w:fill="EBFBFF"/>
          </w:tcPr>
          <w:p>
            <w:pPr>
              <w:ind w:left="580"/>
              <w:spacing w:after="0"/>
              <w:rPr>
                <w:sz w:val="20"/>
                <w:szCs w:val="20"/>
                <w:color w:val="auto"/>
              </w:rPr>
            </w:pPr>
            <w:r>
              <w:rPr>
                <w:rFonts w:ascii="Arial" w:cs="Arial" w:eastAsia="Arial" w:hAnsi="Arial"/>
                <w:sz w:val="18"/>
                <w:szCs w:val="18"/>
                <w:b w:val="1"/>
                <w:bCs w:val="1"/>
                <w:color w:val="006880"/>
              </w:rPr>
              <w:t xml:space="preserve">Age  </w:t>
            </w:r>
            <w:r>
              <w:rPr>
                <w:rFonts w:ascii="Arial" w:cs="Arial" w:eastAsia="Arial" w:hAnsi="Arial"/>
                <w:sz w:val="18"/>
                <w:szCs w:val="18"/>
                <w:color w:val="51555C"/>
              </w:rPr>
              <w:t>82</w:t>
            </w:r>
          </w:p>
        </w:tc>
        <w:tc>
          <w:tcPr>
            <w:tcW w:w="2880" w:type="dxa"/>
            <w:vAlign w:val="bottom"/>
            <w:tcBorders>
              <w:bottom w:val="single" w:sz="8" w:color="0CD973"/>
            </w:tcBorders>
            <w:gridSpan w:val="3"/>
            <w:shd w:val="clear" w:color="auto" w:fill="EBFBFF"/>
          </w:tcPr>
          <w:p>
            <w:pPr>
              <w:ind w:left="40"/>
              <w:spacing w:after="0"/>
              <w:rPr>
                <w:sz w:val="20"/>
                <w:szCs w:val="20"/>
                <w:color w:val="auto"/>
              </w:rPr>
            </w:pPr>
            <w:r>
              <w:rPr>
                <w:rFonts w:ascii="Arial" w:cs="Arial" w:eastAsia="Arial" w:hAnsi="Arial"/>
                <w:sz w:val="18"/>
                <w:szCs w:val="18"/>
                <w:b w:val="1"/>
                <w:bCs w:val="1"/>
                <w:color w:val="006880"/>
              </w:rPr>
              <w:t xml:space="preserve">Director since </w:t>
            </w:r>
            <w:r>
              <w:rPr>
                <w:rFonts w:ascii="Arial" w:cs="Arial" w:eastAsia="Arial" w:hAnsi="Arial"/>
                <w:sz w:val="18"/>
                <w:szCs w:val="18"/>
                <w:color w:val="51555C"/>
              </w:rPr>
              <w:t>February 2004</w:t>
            </w:r>
          </w:p>
        </w:tc>
        <w:tc>
          <w:tcPr>
            <w:tcW w:w="1080" w:type="dxa"/>
            <w:vAlign w:val="bottom"/>
            <w:tcBorders>
              <w:bottom w:val="single" w:sz="8" w:color="0CD973"/>
            </w:tcBorders>
            <w:shd w:val="clear" w:color="auto" w:fill="EBFBFF"/>
          </w:tcPr>
          <w:p>
            <w:pPr>
              <w:spacing w:after="0"/>
              <w:rPr>
                <w:sz w:val="24"/>
                <w:szCs w:val="24"/>
                <w:color w:val="auto"/>
              </w:rPr>
            </w:pPr>
          </w:p>
        </w:tc>
      </w:tr>
      <w:tr>
        <w:trPr>
          <w:trHeight w:val="396"/>
        </w:trPr>
        <w:tc>
          <w:tcPr>
            <w:tcW w:w="1920" w:type="dxa"/>
            <w:vAlign w:val="bottom"/>
          </w:tcPr>
          <w:p>
            <w:pPr>
              <w:spacing w:after="0"/>
              <w:rPr>
                <w:sz w:val="24"/>
                <w:szCs w:val="24"/>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51555C"/>
              </w:rPr>
              <w:t>Chairman of the Board of Blackbaud, Inc., Regional Partner - Asia of Deloitte &amp; Touche LLP (Retired)</w:t>
            </w:r>
          </w:p>
        </w:tc>
        <w:tc>
          <w:tcPr>
            <w:tcW w:w="1080" w:type="dxa"/>
            <w:vAlign w:val="bottom"/>
          </w:tcPr>
          <w:p>
            <w:pPr>
              <w:spacing w:after="0"/>
              <w:rPr>
                <w:sz w:val="24"/>
                <w:szCs w:val="24"/>
                <w:color w:val="auto"/>
              </w:rPr>
            </w:pPr>
          </w:p>
        </w:tc>
      </w:tr>
      <w:tr>
        <w:trPr>
          <w:trHeight w:val="386"/>
        </w:trPr>
        <w:tc>
          <w:tcPr>
            <w:tcW w:w="1920" w:type="dxa"/>
            <w:vAlign w:val="bottom"/>
          </w:tcPr>
          <w:p>
            <w:pPr>
              <w:spacing w:after="0"/>
              <w:rPr>
                <w:sz w:val="24"/>
                <w:szCs w:val="24"/>
                <w:color w:val="auto"/>
              </w:rPr>
            </w:pPr>
          </w:p>
        </w:tc>
        <w:tc>
          <w:tcPr>
            <w:tcW w:w="3000" w:type="dxa"/>
            <w:vAlign w:val="bottom"/>
            <w:gridSpan w:val="3"/>
          </w:tcPr>
          <w:p>
            <w:pPr>
              <w:spacing w:after="0"/>
              <w:rPr>
                <w:sz w:val="20"/>
                <w:szCs w:val="20"/>
                <w:color w:val="auto"/>
              </w:rPr>
            </w:pPr>
            <w:r>
              <w:rPr>
                <w:rFonts w:ascii="Arial" w:cs="Arial" w:eastAsia="Arial" w:hAnsi="Arial"/>
                <w:sz w:val="18"/>
                <w:szCs w:val="18"/>
                <w:b w:val="1"/>
                <w:bCs w:val="1"/>
                <w:color w:val="006880"/>
              </w:rPr>
              <w:t xml:space="preserve">INDEPENDENT DIRECTOR </w:t>
            </w:r>
            <w:r>
              <w:rPr>
                <w:rFonts w:ascii="Arial" w:cs="Arial" w:eastAsia="Arial" w:hAnsi="Arial"/>
                <w:sz w:val="18"/>
                <w:szCs w:val="18"/>
                <w:color w:val="51555C"/>
              </w:rPr>
              <w:t>Class B</w:t>
            </w:r>
          </w:p>
        </w:tc>
        <w:tc>
          <w:tcPr>
            <w:tcW w:w="900" w:type="dxa"/>
            <w:vAlign w:val="bottom"/>
          </w:tcPr>
          <w:p>
            <w:pPr>
              <w:spacing w:after="0"/>
              <w:rPr>
                <w:sz w:val="24"/>
                <w:szCs w:val="24"/>
                <w:color w:val="auto"/>
              </w:rPr>
            </w:pPr>
          </w:p>
        </w:tc>
        <w:tc>
          <w:tcPr>
            <w:tcW w:w="3460" w:type="dxa"/>
            <w:vAlign w:val="bottom"/>
            <w:gridSpan w:val="3"/>
          </w:tcPr>
          <w:p>
            <w:pPr>
              <w:ind w:left="580"/>
              <w:spacing w:after="0"/>
              <w:rPr>
                <w:sz w:val="20"/>
                <w:szCs w:val="20"/>
                <w:color w:val="auto"/>
              </w:rPr>
            </w:pPr>
            <w:r>
              <w:rPr>
                <w:rFonts w:ascii="Arial" w:cs="Arial" w:eastAsia="Arial" w:hAnsi="Arial"/>
                <w:sz w:val="18"/>
                <w:szCs w:val="18"/>
                <w:b w:val="1"/>
                <w:bCs w:val="1"/>
                <w:color w:val="006880"/>
              </w:rPr>
              <w:t xml:space="preserve">Current Term Expires </w:t>
            </w:r>
            <w:r>
              <w:rPr>
                <w:rFonts w:ascii="Arial" w:cs="Arial" w:eastAsia="Arial" w:hAnsi="Arial"/>
                <w:sz w:val="18"/>
                <w:szCs w:val="18"/>
                <w:color w:val="51555C"/>
              </w:rPr>
              <w:t>2027</w:t>
            </w: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7"/>
        </w:trPr>
        <w:tc>
          <w:tcPr>
            <w:tcW w:w="192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Arial" w:cs="Arial" w:eastAsia="Arial" w:hAnsi="Arial"/>
                <w:sz w:val="18"/>
                <w:szCs w:val="18"/>
                <w:b w:val="1"/>
                <w:bCs w:val="1"/>
                <w:color w:val="006880"/>
              </w:rPr>
              <w:t xml:space="preserve">Blackbaud Board Committees </w:t>
            </w:r>
            <w:r>
              <w:rPr>
                <w:rFonts w:ascii="Arial" w:cs="Arial" w:eastAsia="Arial" w:hAnsi="Arial"/>
                <w:sz w:val="18"/>
                <w:szCs w:val="18"/>
                <w:color w:val="51555C"/>
              </w:rPr>
              <w:t>Nominating and</w:t>
            </w:r>
          </w:p>
        </w:tc>
        <w:tc>
          <w:tcPr>
            <w:tcW w:w="2800" w:type="dxa"/>
            <w:vAlign w:val="bottom"/>
            <w:gridSpan w:val="2"/>
          </w:tcPr>
          <w:p>
            <w:pPr>
              <w:ind w:left="580"/>
              <w:spacing w:after="0"/>
              <w:rPr>
                <w:sz w:val="20"/>
                <w:szCs w:val="20"/>
                <w:color w:val="auto"/>
              </w:rPr>
            </w:pPr>
            <w:r>
              <w:rPr>
                <w:rFonts w:ascii="Arial" w:cs="Arial" w:eastAsia="Arial" w:hAnsi="Arial"/>
                <w:sz w:val="18"/>
                <w:szCs w:val="18"/>
                <w:b w:val="1"/>
                <w:bCs w:val="1"/>
                <w:color w:val="006880"/>
                <w:w w:val="99"/>
              </w:rPr>
              <w:t xml:space="preserve">Other Public Boards </w:t>
            </w:r>
            <w:r>
              <w:rPr>
                <w:rFonts w:ascii="Arial" w:cs="Arial" w:eastAsia="Arial" w:hAnsi="Arial"/>
                <w:sz w:val="18"/>
                <w:szCs w:val="18"/>
                <w:color w:val="51555C"/>
                <w:w w:val="99"/>
              </w:rPr>
              <w:t>None</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920" w:type="dxa"/>
            <w:vAlign w:val="bottom"/>
          </w:tcPr>
          <w:p>
            <w:pPr>
              <w:spacing w:after="0"/>
              <w:rPr>
                <w:sz w:val="18"/>
                <w:szCs w:val="18"/>
                <w:color w:val="auto"/>
              </w:rPr>
            </w:pPr>
          </w:p>
        </w:tc>
        <w:tc>
          <w:tcPr>
            <w:tcW w:w="5360" w:type="dxa"/>
            <w:vAlign w:val="bottom"/>
            <w:gridSpan w:val="5"/>
          </w:tcPr>
          <w:p>
            <w:pPr>
              <w:spacing w:after="0"/>
              <w:rPr>
                <w:sz w:val="20"/>
                <w:szCs w:val="20"/>
                <w:color w:val="auto"/>
              </w:rPr>
            </w:pPr>
            <w:r>
              <w:rPr>
                <w:rFonts w:ascii="Arial" w:cs="Arial" w:eastAsia="Arial" w:hAnsi="Arial"/>
                <w:sz w:val="18"/>
                <w:szCs w:val="18"/>
                <w:color w:val="51555C"/>
              </w:rPr>
              <w:t>Corporate Governance (Chair), Audit, Compensation,</w:t>
            </w: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9"/>
        </w:trPr>
        <w:tc>
          <w:tcPr>
            <w:tcW w:w="1920" w:type="dxa"/>
            <w:vAlign w:val="bottom"/>
          </w:tcPr>
          <w:p>
            <w:pPr>
              <w:spacing w:after="0"/>
              <w:rPr>
                <w:sz w:val="20"/>
                <w:szCs w:val="20"/>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51555C"/>
              </w:rPr>
              <w:t>Cyber Risk Oversight</w:t>
            </w: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77"/>
        </w:trPr>
        <w:tc>
          <w:tcPr>
            <w:tcW w:w="1920" w:type="dxa"/>
            <w:vAlign w:val="bottom"/>
            <w:tcBorders>
              <w:bottom w:val="single" w:sz="8" w:color="0CD973"/>
            </w:tcBorders>
          </w:tcPr>
          <w:p>
            <w:pPr>
              <w:spacing w:after="0"/>
              <w:rPr>
                <w:sz w:val="6"/>
                <w:szCs w:val="6"/>
                <w:color w:val="auto"/>
              </w:rPr>
            </w:pPr>
          </w:p>
        </w:tc>
        <w:tc>
          <w:tcPr>
            <w:tcW w:w="1020" w:type="dxa"/>
            <w:vAlign w:val="bottom"/>
            <w:tcBorders>
              <w:bottom w:val="single" w:sz="8" w:color="0CD973"/>
            </w:tcBorders>
          </w:tcPr>
          <w:p>
            <w:pPr>
              <w:spacing w:after="0"/>
              <w:rPr>
                <w:sz w:val="6"/>
                <w:szCs w:val="6"/>
                <w:color w:val="auto"/>
              </w:rPr>
            </w:pPr>
          </w:p>
        </w:tc>
        <w:tc>
          <w:tcPr>
            <w:tcW w:w="840" w:type="dxa"/>
            <w:vAlign w:val="bottom"/>
            <w:tcBorders>
              <w:bottom w:val="single" w:sz="8" w:color="0CD973"/>
            </w:tcBorders>
          </w:tcPr>
          <w:p>
            <w:pPr>
              <w:spacing w:after="0"/>
              <w:rPr>
                <w:sz w:val="6"/>
                <w:szCs w:val="6"/>
                <w:color w:val="auto"/>
              </w:rPr>
            </w:pPr>
          </w:p>
        </w:tc>
        <w:tc>
          <w:tcPr>
            <w:tcW w:w="1140" w:type="dxa"/>
            <w:vAlign w:val="bottom"/>
            <w:tcBorders>
              <w:bottom w:val="single" w:sz="8" w:color="0CD973"/>
            </w:tcBorders>
          </w:tcPr>
          <w:p>
            <w:pPr>
              <w:spacing w:after="0"/>
              <w:rPr>
                <w:sz w:val="6"/>
                <w:szCs w:val="6"/>
                <w:color w:val="auto"/>
              </w:rPr>
            </w:pPr>
          </w:p>
        </w:tc>
        <w:tc>
          <w:tcPr>
            <w:tcW w:w="900" w:type="dxa"/>
            <w:vAlign w:val="bottom"/>
            <w:tcBorders>
              <w:bottom w:val="single" w:sz="8" w:color="0CD973"/>
            </w:tcBorders>
          </w:tcPr>
          <w:p>
            <w:pPr>
              <w:spacing w:after="0"/>
              <w:rPr>
                <w:sz w:val="6"/>
                <w:szCs w:val="6"/>
                <w:color w:val="auto"/>
              </w:rPr>
            </w:pPr>
          </w:p>
        </w:tc>
        <w:tc>
          <w:tcPr>
            <w:tcW w:w="1460" w:type="dxa"/>
            <w:vAlign w:val="bottom"/>
            <w:tcBorders>
              <w:bottom w:val="single" w:sz="8" w:color="0CD973"/>
            </w:tcBorders>
          </w:tcPr>
          <w:p>
            <w:pPr>
              <w:spacing w:after="0"/>
              <w:rPr>
                <w:sz w:val="6"/>
                <w:szCs w:val="6"/>
                <w:color w:val="auto"/>
              </w:rPr>
            </w:pPr>
          </w:p>
        </w:tc>
        <w:tc>
          <w:tcPr>
            <w:tcW w:w="1340" w:type="dxa"/>
            <w:vAlign w:val="bottom"/>
            <w:tcBorders>
              <w:bottom w:val="single" w:sz="8" w:color="0CD973"/>
            </w:tcBorders>
          </w:tcPr>
          <w:p>
            <w:pPr>
              <w:spacing w:after="0"/>
              <w:rPr>
                <w:sz w:val="6"/>
                <w:szCs w:val="6"/>
                <w:color w:val="auto"/>
              </w:rPr>
            </w:pPr>
          </w:p>
        </w:tc>
        <w:tc>
          <w:tcPr>
            <w:tcW w:w="660" w:type="dxa"/>
            <w:vAlign w:val="bottom"/>
            <w:tcBorders>
              <w:bottom w:val="single" w:sz="8" w:color="0CD973"/>
            </w:tcBorders>
          </w:tcPr>
          <w:p>
            <w:pPr>
              <w:spacing w:after="0"/>
              <w:rPr>
                <w:sz w:val="6"/>
                <w:szCs w:val="6"/>
                <w:color w:val="auto"/>
              </w:rPr>
            </w:pPr>
          </w:p>
        </w:tc>
        <w:tc>
          <w:tcPr>
            <w:tcW w:w="880" w:type="dxa"/>
            <w:vAlign w:val="bottom"/>
            <w:tcBorders>
              <w:bottom w:val="single" w:sz="8" w:color="0CD973"/>
            </w:tcBorders>
          </w:tcPr>
          <w:p>
            <w:pPr>
              <w:spacing w:after="0"/>
              <w:rPr>
                <w:sz w:val="6"/>
                <w:szCs w:val="6"/>
                <w:color w:val="auto"/>
              </w:rPr>
            </w:pPr>
          </w:p>
        </w:tc>
        <w:tc>
          <w:tcPr>
            <w:tcW w:w="1080" w:type="dxa"/>
            <w:vAlign w:val="bottom"/>
            <w:tcBorders>
              <w:bottom w:val="single" w:sz="8" w:color="0CD973"/>
            </w:tcBorders>
          </w:tcPr>
          <w:p>
            <w:pPr>
              <w:spacing w:after="0"/>
              <w:rPr>
                <w:sz w:val="6"/>
                <w:szCs w:val="6"/>
                <w:color w:val="auto"/>
              </w:rPr>
            </w:pPr>
          </w:p>
        </w:tc>
      </w:tr>
      <w:tr>
        <w:trPr>
          <w:trHeight w:val="691"/>
        </w:trPr>
        <w:tc>
          <w:tcPr>
            <w:tcW w:w="1920" w:type="dxa"/>
            <w:vAlign w:val="bottom"/>
          </w:tcPr>
          <w:p>
            <w:pPr>
              <w:ind w:left="160"/>
              <w:spacing w:after="0"/>
              <w:rPr>
                <w:sz w:val="20"/>
                <w:szCs w:val="20"/>
                <w:color w:val="auto"/>
              </w:rPr>
            </w:pPr>
            <w:r>
              <w:rPr>
                <w:rFonts w:ascii="Arial" w:cs="Arial" w:eastAsia="Arial" w:hAnsi="Arial"/>
                <w:sz w:val="13"/>
                <w:szCs w:val="13"/>
                <w:color w:val="006880"/>
                <w:w w:val="96"/>
              </w:rPr>
              <w:t>LeadershipAccounting &amp;</w:t>
            </w:r>
          </w:p>
        </w:tc>
        <w:tc>
          <w:tcPr>
            <w:tcW w:w="1020" w:type="dxa"/>
            <w:vAlign w:val="bottom"/>
          </w:tcPr>
          <w:p>
            <w:pPr>
              <w:jc w:val="center"/>
              <w:spacing w:after="0"/>
              <w:rPr>
                <w:sz w:val="20"/>
                <w:szCs w:val="20"/>
                <w:color w:val="auto"/>
              </w:rPr>
            </w:pPr>
            <w:r>
              <w:rPr>
                <w:rFonts w:ascii="Arial" w:cs="Arial" w:eastAsia="Arial" w:hAnsi="Arial"/>
                <w:sz w:val="13"/>
                <w:szCs w:val="13"/>
                <w:color w:val="006880"/>
                <w:w w:val="95"/>
              </w:rPr>
              <w:t>Technology &amp;</w:t>
            </w:r>
          </w:p>
        </w:tc>
        <w:tc>
          <w:tcPr>
            <w:tcW w:w="840" w:type="dxa"/>
            <w:vAlign w:val="bottom"/>
          </w:tcPr>
          <w:p>
            <w:pPr>
              <w:jc w:val="center"/>
              <w:spacing w:after="0"/>
              <w:rPr>
                <w:sz w:val="20"/>
                <w:szCs w:val="20"/>
                <w:color w:val="auto"/>
              </w:rPr>
            </w:pPr>
            <w:r>
              <w:rPr>
                <w:rFonts w:ascii="Arial" w:cs="Arial" w:eastAsia="Arial" w:hAnsi="Arial"/>
                <w:sz w:val="13"/>
                <w:szCs w:val="13"/>
                <w:color w:val="B6B6B6"/>
                <w:w w:val="98"/>
              </w:rPr>
              <w:t>Nonprofit</w:t>
            </w:r>
          </w:p>
        </w:tc>
        <w:tc>
          <w:tcPr>
            <w:tcW w:w="1140" w:type="dxa"/>
            <w:vAlign w:val="bottom"/>
          </w:tcPr>
          <w:p>
            <w:pPr>
              <w:jc w:val="center"/>
              <w:spacing w:after="0"/>
              <w:rPr>
                <w:sz w:val="20"/>
                <w:szCs w:val="20"/>
                <w:color w:val="auto"/>
              </w:rPr>
            </w:pPr>
            <w:r>
              <w:rPr>
                <w:rFonts w:ascii="Arial" w:cs="Arial" w:eastAsia="Arial" w:hAnsi="Arial"/>
                <w:sz w:val="13"/>
                <w:szCs w:val="13"/>
                <w:color w:val="006880"/>
                <w:w w:val="97"/>
              </w:rPr>
              <w:t>Public Company</w:t>
            </w:r>
          </w:p>
        </w:tc>
        <w:tc>
          <w:tcPr>
            <w:tcW w:w="900" w:type="dxa"/>
            <w:vAlign w:val="bottom"/>
          </w:tcPr>
          <w:p>
            <w:pPr>
              <w:jc w:val="center"/>
              <w:ind w:right="77"/>
              <w:spacing w:after="0"/>
              <w:rPr>
                <w:sz w:val="20"/>
                <w:szCs w:val="20"/>
                <w:color w:val="auto"/>
              </w:rPr>
            </w:pPr>
            <w:r>
              <w:rPr>
                <w:rFonts w:ascii="Arial" w:cs="Arial" w:eastAsia="Arial" w:hAnsi="Arial"/>
                <w:sz w:val="13"/>
                <w:szCs w:val="13"/>
                <w:color w:val="006880"/>
                <w:w w:val="96"/>
              </w:rPr>
              <w:t>Corporate</w:t>
            </w:r>
          </w:p>
        </w:tc>
        <w:tc>
          <w:tcPr>
            <w:tcW w:w="1460" w:type="dxa"/>
            <w:vAlign w:val="bottom"/>
          </w:tcPr>
          <w:p>
            <w:pPr>
              <w:jc w:val="center"/>
              <w:spacing w:after="0"/>
              <w:rPr>
                <w:sz w:val="20"/>
                <w:szCs w:val="20"/>
                <w:color w:val="auto"/>
              </w:rPr>
            </w:pPr>
            <w:r>
              <w:rPr>
                <w:rFonts w:ascii="Arial" w:cs="Arial" w:eastAsia="Arial" w:hAnsi="Arial"/>
                <w:sz w:val="13"/>
                <w:szCs w:val="13"/>
                <w:color w:val="006880"/>
                <w:w w:val="96"/>
              </w:rPr>
              <w:t>Business Development &amp;</w:t>
            </w:r>
          </w:p>
        </w:tc>
        <w:tc>
          <w:tcPr>
            <w:tcW w:w="1340" w:type="dxa"/>
            <w:vAlign w:val="bottom"/>
          </w:tcPr>
          <w:p>
            <w:pPr>
              <w:jc w:val="center"/>
              <w:ind w:right="268"/>
              <w:spacing w:after="0"/>
              <w:rPr>
                <w:sz w:val="20"/>
                <w:szCs w:val="20"/>
                <w:color w:val="auto"/>
              </w:rPr>
            </w:pPr>
            <w:r>
              <w:rPr>
                <w:rFonts w:ascii="Arial" w:cs="Arial" w:eastAsia="Arial" w:hAnsi="Arial"/>
                <w:sz w:val="13"/>
                <w:szCs w:val="13"/>
                <w:color w:val="006880"/>
                <w:w w:val="98"/>
              </w:rPr>
              <w:t>Business</w:t>
            </w:r>
          </w:p>
        </w:tc>
        <w:tc>
          <w:tcPr>
            <w:tcW w:w="660" w:type="dxa"/>
            <w:vAlign w:val="bottom"/>
          </w:tcPr>
          <w:p>
            <w:pPr>
              <w:spacing w:after="0"/>
              <w:rPr>
                <w:sz w:val="20"/>
                <w:szCs w:val="20"/>
                <w:color w:val="auto"/>
              </w:rPr>
            </w:pPr>
            <w:r>
              <w:rPr>
                <w:rFonts w:ascii="Arial" w:cs="Arial" w:eastAsia="Arial" w:hAnsi="Arial"/>
                <w:sz w:val="13"/>
                <w:szCs w:val="13"/>
                <w:color w:val="B6B6B6"/>
              </w:rPr>
              <w:t>ESG</w:t>
            </w:r>
          </w:p>
        </w:tc>
        <w:tc>
          <w:tcPr>
            <w:tcW w:w="880" w:type="dxa"/>
            <w:vAlign w:val="bottom"/>
          </w:tcPr>
          <w:p>
            <w:pPr>
              <w:ind w:left="380"/>
              <w:spacing w:after="0"/>
              <w:rPr>
                <w:sz w:val="20"/>
                <w:szCs w:val="20"/>
                <w:color w:val="auto"/>
              </w:rPr>
            </w:pPr>
            <w:r>
              <w:rPr>
                <w:rFonts w:ascii="Arial" w:cs="Arial" w:eastAsia="Arial" w:hAnsi="Arial"/>
                <w:sz w:val="13"/>
                <w:szCs w:val="13"/>
                <w:color w:val="B6B6B6"/>
              </w:rPr>
              <w:t>AI</w:t>
            </w:r>
          </w:p>
        </w:tc>
        <w:tc>
          <w:tcPr>
            <w:tcW w:w="1080" w:type="dxa"/>
            <w:vAlign w:val="bottom"/>
          </w:tcPr>
          <w:p>
            <w:pPr>
              <w:ind w:left="180"/>
              <w:spacing w:after="0"/>
              <w:rPr>
                <w:sz w:val="20"/>
                <w:szCs w:val="20"/>
                <w:color w:val="auto"/>
              </w:rPr>
            </w:pPr>
            <w:r>
              <w:rPr>
                <w:rFonts w:ascii="Arial" w:cs="Arial" w:eastAsia="Arial" w:hAnsi="Arial"/>
                <w:sz w:val="13"/>
                <w:szCs w:val="13"/>
                <w:color w:val="006880"/>
              </w:rPr>
              <w:t>Cybersecurity</w:t>
            </w:r>
          </w:p>
        </w:tc>
      </w:tr>
      <w:tr>
        <w:trPr>
          <w:trHeight w:val="149"/>
        </w:trPr>
        <w:tc>
          <w:tcPr>
            <w:tcW w:w="1920" w:type="dxa"/>
            <w:vAlign w:val="bottom"/>
          </w:tcPr>
          <w:p>
            <w:pPr>
              <w:ind w:left="1200"/>
              <w:spacing w:after="0"/>
              <w:rPr>
                <w:sz w:val="20"/>
                <w:szCs w:val="20"/>
                <w:color w:val="auto"/>
              </w:rPr>
            </w:pPr>
            <w:r>
              <w:rPr>
                <w:rFonts w:ascii="Arial" w:cs="Arial" w:eastAsia="Arial" w:hAnsi="Arial"/>
                <w:sz w:val="13"/>
                <w:szCs w:val="13"/>
                <w:color w:val="006880"/>
              </w:rPr>
              <w:t>Finance</w:t>
            </w:r>
          </w:p>
        </w:tc>
        <w:tc>
          <w:tcPr>
            <w:tcW w:w="1020" w:type="dxa"/>
            <w:vAlign w:val="bottom"/>
          </w:tcPr>
          <w:p>
            <w:pPr>
              <w:jc w:val="center"/>
              <w:spacing w:after="0"/>
              <w:rPr>
                <w:sz w:val="20"/>
                <w:szCs w:val="20"/>
                <w:color w:val="auto"/>
              </w:rPr>
            </w:pPr>
            <w:r>
              <w:rPr>
                <w:rFonts w:ascii="Arial" w:cs="Arial" w:eastAsia="Arial" w:hAnsi="Arial"/>
                <w:sz w:val="13"/>
                <w:szCs w:val="13"/>
                <w:color w:val="006880"/>
                <w:w w:val="97"/>
              </w:rPr>
              <w:t>Software</w:t>
            </w:r>
          </w:p>
        </w:tc>
        <w:tc>
          <w:tcPr>
            <w:tcW w:w="840" w:type="dxa"/>
            <w:vAlign w:val="bottom"/>
          </w:tcPr>
          <w:p>
            <w:pPr>
              <w:jc w:val="center"/>
              <w:spacing w:after="0"/>
              <w:rPr>
                <w:sz w:val="20"/>
                <w:szCs w:val="20"/>
                <w:color w:val="auto"/>
              </w:rPr>
            </w:pPr>
            <w:r>
              <w:rPr>
                <w:rFonts w:ascii="Arial" w:cs="Arial" w:eastAsia="Arial" w:hAnsi="Arial"/>
                <w:sz w:val="13"/>
                <w:szCs w:val="13"/>
                <w:color w:val="B6B6B6"/>
                <w:w w:val="95"/>
              </w:rPr>
              <w:t>Industry</w:t>
            </w:r>
          </w:p>
        </w:tc>
        <w:tc>
          <w:tcPr>
            <w:tcW w:w="1140" w:type="dxa"/>
            <w:vAlign w:val="bottom"/>
          </w:tcPr>
          <w:p>
            <w:pPr>
              <w:jc w:val="center"/>
              <w:spacing w:after="0"/>
              <w:rPr>
                <w:sz w:val="20"/>
                <w:szCs w:val="20"/>
                <w:color w:val="auto"/>
              </w:rPr>
            </w:pPr>
            <w:r>
              <w:rPr>
                <w:rFonts w:ascii="Arial" w:cs="Arial" w:eastAsia="Arial" w:hAnsi="Arial"/>
                <w:sz w:val="13"/>
                <w:szCs w:val="13"/>
                <w:color w:val="006880"/>
                <w:w w:val="95"/>
              </w:rPr>
              <w:t>Board Service</w:t>
            </w:r>
          </w:p>
        </w:tc>
        <w:tc>
          <w:tcPr>
            <w:tcW w:w="900" w:type="dxa"/>
            <w:vAlign w:val="bottom"/>
          </w:tcPr>
          <w:p>
            <w:pPr>
              <w:jc w:val="center"/>
              <w:ind w:right="77"/>
              <w:spacing w:after="0"/>
              <w:rPr>
                <w:sz w:val="20"/>
                <w:szCs w:val="20"/>
                <w:color w:val="auto"/>
              </w:rPr>
            </w:pPr>
            <w:r>
              <w:rPr>
                <w:rFonts w:ascii="Arial" w:cs="Arial" w:eastAsia="Arial" w:hAnsi="Arial"/>
                <w:sz w:val="13"/>
                <w:szCs w:val="13"/>
                <w:color w:val="006880"/>
                <w:w w:val="95"/>
              </w:rPr>
              <w:t>Governance</w:t>
            </w:r>
          </w:p>
        </w:tc>
        <w:tc>
          <w:tcPr>
            <w:tcW w:w="1460" w:type="dxa"/>
            <w:vAlign w:val="bottom"/>
          </w:tcPr>
          <w:p>
            <w:pPr>
              <w:jc w:val="center"/>
              <w:spacing w:after="0"/>
              <w:rPr>
                <w:sz w:val="20"/>
                <w:szCs w:val="20"/>
                <w:color w:val="auto"/>
              </w:rPr>
            </w:pPr>
            <w:r>
              <w:rPr>
                <w:rFonts w:ascii="Arial" w:cs="Arial" w:eastAsia="Arial" w:hAnsi="Arial"/>
                <w:sz w:val="13"/>
                <w:szCs w:val="13"/>
                <w:color w:val="006880"/>
                <w:w w:val="97"/>
              </w:rPr>
              <w:t>Corporate Transactions</w:t>
            </w:r>
          </w:p>
        </w:tc>
        <w:tc>
          <w:tcPr>
            <w:tcW w:w="1340" w:type="dxa"/>
            <w:vAlign w:val="bottom"/>
          </w:tcPr>
          <w:p>
            <w:pPr>
              <w:jc w:val="center"/>
              <w:ind w:right="248"/>
              <w:spacing w:after="0"/>
              <w:rPr>
                <w:sz w:val="20"/>
                <w:szCs w:val="20"/>
                <w:color w:val="auto"/>
              </w:rPr>
            </w:pPr>
            <w:r>
              <w:rPr>
                <w:rFonts w:ascii="Arial" w:cs="Arial" w:eastAsia="Arial" w:hAnsi="Arial"/>
                <w:sz w:val="13"/>
                <w:szCs w:val="13"/>
                <w:color w:val="006880"/>
                <w:w w:val="97"/>
              </w:rPr>
              <w:t>Operations</w:t>
            </w: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66"/>
        </w:trPr>
        <w:tc>
          <w:tcPr>
            <w:tcW w:w="19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006880"/>
                <w:w w:val="99"/>
              </w:rPr>
              <w:t>Industries</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-1884680</wp:posOffset>
            </wp:positionV>
            <wp:extent cx="1062990" cy="11741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62990" cy="117411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-530225</wp:posOffset>
            </wp:positionV>
            <wp:extent cx="17145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-530225</wp:posOffset>
            </wp:positionV>
            <wp:extent cx="17145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-530225</wp:posOffset>
            </wp:positionV>
            <wp:extent cx="171450"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0" cy="16256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-530225</wp:posOffset>
            </wp:positionV>
            <wp:extent cx="17145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-530225</wp:posOffset>
            </wp:positionV>
            <wp:extent cx="17145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-530225</wp:posOffset>
            </wp:positionV>
            <wp:extent cx="17145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-530225</wp:posOffset>
            </wp:positionV>
            <wp:extent cx="17145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-530225</wp:posOffset>
            </wp:positionV>
            <wp:extent cx="17145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-530225</wp:posOffset>
            </wp:positionV>
            <wp:extent cx="171450"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0" cy="16256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-530225</wp:posOffset>
            </wp:positionV>
            <wp:extent cx="17145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-530225</wp:posOffset>
            </wp:positionV>
            <wp:extent cx="171450" cy="162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0" cy="16256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Biography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Mr. Leitch joined the Board of Directors in February 2004 and has served as our Chairman since July 2009. Mr. Leitch was with Deloitte &amp; Touche LLP, an accounting firm, for over 27 years, serving in various senior roles including Regional Partner for Asia. Mr. Leitch has served on the board of directors of STR Holdings, Inc. since November 2009. He served on the board of directors of Gene Biotherapeutics, Inc. from August 2007 through May 2020. Mr. Leitch has also served as director of various private equity portfolio companies, including several in the Hellman &amp; Friedman LLC and JMI Equity portfolios over time, including companies such as Vertafore, Inc. and ServiceNow, Inc., within the software sector. He is a licensed CPA in the State of New York and a Chartered Accountant in Ontario, Canada.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Experience, Skills and Qualifications of Particular Relevance to Blackbaud</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Among other experience, qualifications, attributes and skills, Mr. Leitch’s experience in auditing and accounting, corporate governance, previous board service on various other public companies as well as his leadership as our Board Chairman since July 2009, led to the conclusion of our Nominating and Corporate Governance Committee, and of our full Board, that he is well qualified to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16</w:t>
      </w:r>
      <w:r>
        <w:rPr>
          <w:sz w:val="20"/>
          <w:szCs w:val="20"/>
          <w:color w:val="auto"/>
        </w:rPr>
        <w:tab/>
      </w:r>
      <w:r>
        <w:rPr>
          <w:sz w:val="1"/>
          <w:szCs w:val="1"/>
          <w:color w:val="auto"/>
        </w:rPr>
        <w:drawing>
          <wp:inline distT="0" distB="0" distL="0" distR="0">
            <wp:extent cx="702945" cy="11112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155575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358"/>
        </w:trPr>
        <w:tc>
          <w:tcPr>
            <w:tcW w:w="1920" w:type="dxa"/>
            <w:vAlign w:val="bottom"/>
          </w:tcPr>
          <w:p>
            <w:pPr>
              <w:spacing w:after="0"/>
              <w:rPr>
                <w:sz w:val="24"/>
                <w:szCs w:val="24"/>
                <w:color w:val="auto"/>
              </w:rPr>
            </w:pPr>
          </w:p>
        </w:tc>
        <w:tc>
          <w:tcPr>
            <w:tcW w:w="4060" w:type="dxa"/>
            <w:vAlign w:val="bottom"/>
            <w:tcBorders>
              <w:bottom w:val="single" w:sz="8" w:color="0CD973"/>
            </w:tcBorders>
            <w:shd w:val="clear" w:color="auto" w:fill="EBFBFF"/>
          </w:tcPr>
          <w:p>
            <w:pPr>
              <w:spacing w:after="0"/>
              <w:rPr>
                <w:sz w:val="20"/>
                <w:szCs w:val="20"/>
                <w:color w:val="auto"/>
              </w:rPr>
            </w:pPr>
            <w:r>
              <w:rPr>
                <w:rFonts w:ascii="Arial" w:cs="Arial" w:eastAsia="Arial" w:hAnsi="Arial"/>
                <w:sz w:val="18"/>
                <w:szCs w:val="18"/>
                <w:b w:val="1"/>
                <w:bCs w:val="1"/>
                <w:color w:val="006880"/>
              </w:rPr>
              <w:t>D. ROGER NANNEY</w:t>
            </w:r>
          </w:p>
        </w:tc>
        <w:tc>
          <w:tcPr>
            <w:tcW w:w="5260" w:type="dxa"/>
            <w:vAlign w:val="bottom"/>
            <w:tcBorders>
              <w:bottom w:val="single" w:sz="8" w:color="0CD973"/>
            </w:tcBorders>
            <w:shd w:val="clear" w:color="auto" w:fill="EBFBFF"/>
          </w:tcPr>
          <w:p>
            <w:pPr>
              <w:ind w:left="420"/>
              <w:spacing w:after="0"/>
              <w:rPr>
                <w:sz w:val="20"/>
                <w:szCs w:val="20"/>
                <w:color w:val="auto"/>
              </w:rPr>
            </w:pPr>
            <w:r>
              <w:rPr>
                <w:rFonts w:ascii="Arial" w:cs="Arial" w:eastAsia="Arial" w:hAnsi="Arial"/>
                <w:sz w:val="18"/>
                <w:szCs w:val="18"/>
                <w:b w:val="1"/>
                <w:bCs w:val="1"/>
                <w:color w:val="006880"/>
              </w:rPr>
              <w:t xml:space="preserve">Age  </w:t>
            </w:r>
            <w:r>
              <w:rPr>
                <w:rFonts w:ascii="Arial" w:cs="Arial" w:eastAsia="Arial" w:hAnsi="Arial"/>
                <w:sz w:val="18"/>
                <w:szCs w:val="18"/>
                <w:color w:val="51555C"/>
              </w:rPr>
              <w:t>68</w:t>
            </w:r>
            <w:r>
              <w:rPr>
                <w:rFonts w:ascii="Arial" w:cs="Arial" w:eastAsia="Arial" w:hAnsi="Arial"/>
                <w:sz w:val="18"/>
                <w:szCs w:val="18"/>
                <w:b w:val="1"/>
                <w:bCs w:val="1"/>
                <w:color w:val="006880"/>
              </w:rPr>
              <w:t xml:space="preserve">  Director since </w:t>
            </w:r>
            <w:r>
              <w:rPr>
                <w:rFonts w:ascii="Arial" w:cs="Arial" w:eastAsia="Arial" w:hAnsi="Arial"/>
                <w:sz w:val="18"/>
                <w:szCs w:val="18"/>
                <w:color w:val="51555C"/>
              </w:rPr>
              <w:t>October 2021</w:t>
            </w:r>
          </w:p>
        </w:tc>
      </w:tr>
      <w:tr>
        <w:trPr>
          <w:trHeight w:val="396"/>
        </w:trPr>
        <w:tc>
          <w:tcPr>
            <w:tcW w:w="19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51555C"/>
              </w:rPr>
              <w:t>Vice Chairman and Senior Partner of Deloitte LLP (Retired)</w:t>
            </w:r>
          </w:p>
        </w:tc>
      </w:tr>
      <w:tr>
        <w:trPr>
          <w:trHeight w:val="386"/>
        </w:trPr>
        <w:tc>
          <w:tcPr>
            <w:tcW w:w="192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006880"/>
              </w:rPr>
              <w:t xml:space="preserve">INDEPENDENT DIRECTOR </w:t>
            </w:r>
            <w:r>
              <w:rPr>
                <w:rFonts w:ascii="Arial" w:cs="Arial" w:eastAsia="Arial" w:hAnsi="Arial"/>
                <w:sz w:val="18"/>
                <w:szCs w:val="18"/>
                <w:color w:val="51555C"/>
              </w:rPr>
              <w:t>Class C</w:t>
            </w:r>
          </w:p>
        </w:tc>
        <w:tc>
          <w:tcPr>
            <w:tcW w:w="5260" w:type="dxa"/>
            <w:vAlign w:val="bottom"/>
          </w:tcPr>
          <w:p>
            <w:pPr>
              <w:ind w:left="420"/>
              <w:spacing w:after="0"/>
              <w:rPr>
                <w:sz w:val="20"/>
                <w:szCs w:val="20"/>
                <w:color w:val="auto"/>
              </w:rPr>
            </w:pPr>
            <w:r>
              <w:rPr>
                <w:rFonts w:ascii="Arial" w:cs="Arial" w:eastAsia="Arial" w:hAnsi="Arial"/>
                <w:sz w:val="18"/>
                <w:szCs w:val="18"/>
                <w:b w:val="1"/>
                <w:bCs w:val="1"/>
                <w:color w:val="006880"/>
              </w:rPr>
              <w:t xml:space="preserve">Current Term Expires </w:t>
            </w:r>
            <w:r>
              <w:rPr>
                <w:rFonts w:ascii="Arial" w:cs="Arial" w:eastAsia="Arial" w:hAnsi="Arial"/>
                <w:sz w:val="18"/>
                <w:szCs w:val="18"/>
                <w:color w:val="51555C"/>
              </w:rPr>
              <w:t>2028</w:t>
            </w:r>
          </w:p>
        </w:tc>
      </w:tr>
      <w:tr>
        <w:trPr>
          <w:trHeight w:val="392"/>
        </w:trPr>
        <w:tc>
          <w:tcPr>
            <w:tcW w:w="192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006880"/>
              </w:rPr>
              <w:t xml:space="preserve">Blackbaud Board Committees </w:t>
            </w:r>
            <w:r>
              <w:rPr>
                <w:rFonts w:ascii="Arial" w:cs="Arial" w:eastAsia="Arial" w:hAnsi="Arial"/>
                <w:sz w:val="18"/>
                <w:szCs w:val="18"/>
                <w:color w:val="51555C"/>
              </w:rPr>
              <w:t>Audit (Chair)</w:t>
            </w:r>
          </w:p>
        </w:tc>
        <w:tc>
          <w:tcPr>
            <w:tcW w:w="5260" w:type="dxa"/>
            <w:vAlign w:val="bottom"/>
          </w:tcPr>
          <w:p>
            <w:pPr>
              <w:ind w:left="420"/>
              <w:spacing w:after="0"/>
              <w:rPr>
                <w:sz w:val="20"/>
                <w:szCs w:val="20"/>
                <w:color w:val="auto"/>
              </w:rPr>
            </w:pPr>
            <w:r>
              <w:rPr>
                <w:rFonts w:ascii="Arial" w:cs="Arial" w:eastAsia="Arial" w:hAnsi="Arial"/>
                <w:sz w:val="18"/>
                <w:szCs w:val="18"/>
                <w:b w:val="1"/>
                <w:bCs w:val="1"/>
                <w:color w:val="006880"/>
              </w:rPr>
              <w:t xml:space="preserve">Other Public Boards </w:t>
            </w:r>
            <w:r>
              <w:rPr>
                <w:rFonts w:ascii="Arial" w:cs="Arial" w:eastAsia="Arial" w:hAnsi="Arial"/>
                <w:sz w:val="18"/>
                <w:szCs w:val="18"/>
                <w:color w:val="51555C"/>
              </w:rPr>
              <w:t>None</w:t>
            </w:r>
          </w:p>
        </w:tc>
      </w:tr>
      <w:tr>
        <w:trPr>
          <w:trHeight w:val="380"/>
        </w:trPr>
        <w:tc>
          <w:tcPr>
            <w:tcW w:w="1920" w:type="dxa"/>
            <w:vAlign w:val="bottom"/>
            <w:tcBorders>
              <w:bottom w:val="single" w:sz="8" w:color="0CD973"/>
            </w:tcBorders>
          </w:tcPr>
          <w:p>
            <w:pPr>
              <w:spacing w:after="0"/>
              <w:rPr>
                <w:sz w:val="24"/>
                <w:szCs w:val="24"/>
                <w:color w:val="auto"/>
              </w:rPr>
            </w:pPr>
          </w:p>
        </w:tc>
        <w:tc>
          <w:tcPr>
            <w:tcW w:w="4060" w:type="dxa"/>
            <w:vAlign w:val="bottom"/>
            <w:tcBorders>
              <w:bottom w:val="single" w:sz="8" w:color="0CD973"/>
            </w:tcBorders>
          </w:tcPr>
          <w:p>
            <w:pPr>
              <w:spacing w:after="0"/>
              <w:rPr>
                <w:sz w:val="24"/>
                <w:szCs w:val="24"/>
                <w:color w:val="auto"/>
              </w:rPr>
            </w:pPr>
          </w:p>
        </w:tc>
        <w:tc>
          <w:tcPr>
            <w:tcW w:w="5260" w:type="dxa"/>
            <w:vAlign w:val="bottom"/>
            <w:tcBorders>
              <w:bottom w:val="single" w:sz="8" w:color="0CD973"/>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-1199515</wp:posOffset>
            </wp:positionV>
            <wp:extent cx="942975" cy="11315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42975" cy="113157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111760</wp:posOffset>
            </wp:positionV>
            <wp:extent cx="17145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111760</wp:posOffset>
            </wp:positionV>
            <wp:extent cx="17145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111760</wp:posOffset>
            </wp:positionV>
            <wp:extent cx="171450"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0" cy="16319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111760</wp:posOffset>
            </wp:positionV>
            <wp:extent cx="17145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111760</wp:posOffset>
            </wp:positionV>
            <wp:extent cx="17145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111760</wp:posOffset>
            </wp:positionV>
            <wp:extent cx="17145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111760</wp:posOffset>
            </wp:positionV>
            <wp:extent cx="17145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111760</wp:posOffset>
            </wp:positionV>
            <wp:extent cx="17145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111760</wp:posOffset>
            </wp:positionV>
            <wp:extent cx="171450"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0" cy="1631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111760</wp:posOffset>
            </wp:positionV>
            <wp:extent cx="17145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111760</wp:posOffset>
            </wp:positionV>
            <wp:extent cx="17145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2"/>
          <w:szCs w:val="12"/>
          <w:color w:val="006880"/>
        </w:rPr>
        <w:t>Leadership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006880"/>
        </w:rPr>
        <w:t>Accounting &amp;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006880"/>
        </w:rPr>
        <w:t>Technology &amp;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tabs>
          <w:tab w:leader="none" w:pos="740" w:val="left"/>
          <w:tab w:leader="none" w:pos="1900" w:val="left"/>
          <w:tab w:leader="none" w:pos="2720" w:val="left"/>
          <w:tab w:leader="none" w:pos="4400" w:val="left"/>
        </w:tabs>
        <w:rPr>
          <w:sz w:val="20"/>
          <w:szCs w:val="20"/>
          <w:color w:val="auto"/>
        </w:rPr>
      </w:pPr>
      <w:r>
        <w:rPr>
          <w:rFonts w:ascii="Arial" w:cs="Arial" w:eastAsia="Arial" w:hAnsi="Arial"/>
          <w:sz w:val="13"/>
          <w:szCs w:val="13"/>
          <w:color w:val="006880"/>
        </w:rPr>
        <w:t>Nonprofit</w:t>
      </w:r>
      <w:r>
        <w:rPr>
          <w:sz w:val="20"/>
          <w:szCs w:val="20"/>
          <w:color w:val="auto"/>
        </w:rPr>
        <w:tab/>
      </w:r>
      <w:r>
        <w:rPr>
          <w:rFonts w:ascii="Arial" w:cs="Arial" w:eastAsia="Arial" w:hAnsi="Arial"/>
          <w:sz w:val="13"/>
          <w:szCs w:val="13"/>
          <w:color w:val="B6B6B6"/>
        </w:rPr>
        <w:t>Public Company</w:t>
      </w:r>
      <w:r>
        <w:rPr>
          <w:sz w:val="20"/>
          <w:szCs w:val="20"/>
          <w:color w:val="auto"/>
        </w:rPr>
        <w:tab/>
      </w:r>
      <w:r>
        <w:rPr>
          <w:rFonts w:ascii="Arial" w:cs="Arial" w:eastAsia="Arial" w:hAnsi="Arial"/>
          <w:sz w:val="13"/>
          <w:szCs w:val="13"/>
          <w:color w:val="006880"/>
        </w:rPr>
        <w:t>Corporate</w:t>
      </w:r>
      <w:r>
        <w:rPr>
          <w:sz w:val="20"/>
          <w:szCs w:val="20"/>
          <w:color w:val="auto"/>
        </w:rPr>
        <w:tab/>
      </w:r>
      <w:r>
        <w:rPr>
          <w:rFonts w:ascii="Arial" w:cs="Arial" w:eastAsia="Arial" w:hAnsi="Arial"/>
          <w:sz w:val="13"/>
          <w:szCs w:val="13"/>
          <w:color w:val="006880"/>
        </w:rPr>
        <w:t>Business Development &amp;</w:t>
      </w:r>
      <w:r>
        <w:rPr>
          <w:sz w:val="20"/>
          <w:szCs w:val="20"/>
          <w:color w:val="auto"/>
        </w:rPr>
        <w:tab/>
      </w:r>
      <w:r>
        <w:rPr>
          <w:rFonts w:ascii="Arial" w:cs="Arial" w:eastAsia="Arial" w:hAnsi="Arial"/>
          <w:sz w:val="12"/>
          <w:szCs w:val="12"/>
          <w:color w:val="006880"/>
        </w:rPr>
        <w:t>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B6B6B6"/>
        </w:rPr>
        <w:t>ESG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B6B6B6"/>
        </w:rPr>
        <w:t>AI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B6B6B6"/>
        </w:rPr>
        <w:t>Cybersecurity</w:t>
      </w:r>
    </w:p>
    <w:p>
      <w:pPr>
        <w:spacing w:after="0" w:line="26" w:lineRule="exact"/>
        <w:rPr>
          <w:sz w:val="20"/>
          <w:szCs w:val="20"/>
          <w:color w:val="auto"/>
        </w:rPr>
      </w:pPr>
    </w:p>
    <w:p>
      <w:pPr>
        <w:sectPr>
          <w:pgSz w:w="11900" w:h="16838" w:orient="portrait"/>
          <w:cols w:equalWidth="0" w:num="7">
            <w:col w:w="800" w:space="260"/>
            <w:col w:w="740" w:space="220"/>
            <w:col w:w="760" w:space="320"/>
            <w:col w:w="4940" w:space="580"/>
            <w:col w:w="320" w:space="720"/>
            <w:col w:w="120" w:space="560"/>
            <w:col w:w="900"/>
          </w:cols>
          <w:pgMar w:left="320" w:top="338" w:right="339" w:bottom="1440" w:gutter="0" w:footer="0" w:header="0"/>
          <w:type w:val="continuous"/>
        </w:sectPr>
      </w:pPr>
    </w:p>
    <w:p>
      <w:pPr>
        <w:spacing w:after="0" w:line="1" w:lineRule="exact"/>
        <w:rPr>
          <w:sz w:val="20"/>
          <w:szCs w:val="20"/>
          <w:color w:val="auto"/>
        </w:rPr>
      </w:pPr>
    </w:p>
    <w:p>
      <w:pPr>
        <w:ind w:left="1200"/>
        <w:spacing w:after="0"/>
        <w:rPr>
          <w:sz w:val="20"/>
          <w:szCs w:val="20"/>
          <w:color w:val="auto"/>
        </w:rPr>
      </w:pPr>
      <w:r>
        <w:rPr>
          <w:rFonts w:ascii="Arial" w:cs="Arial" w:eastAsia="Arial" w:hAnsi="Arial"/>
          <w:sz w:val="12"/>
          <w:szCs w:val="12"/>
          <w:color w:val="006880"/>
        </w:rPr>
        <w:t>Finance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color w:val="006880"/>
        </w:rPr>
        <w:t>Software</w:t>
      </w:r>
    </w:p>
    <w:p>
      <w:pPr>
        <w:spacing w:after="0" w:line="20" w:lineRule="exact"/>
        <w:rPr>
          <w:sz w:val="20"/>
          <w:szCs w:val="20"/>
          <w:color w:val="auto"/>
        </w:rPr>
      </w:pPr>
      <w:r>
        <w:rPr>
          <w:sz w:val="20"/>
          <w:szCs w:val="20"/>
          <w:color w:val="auto"/>
        </w:rPr>
        <w:br w:type="column"/>
      </w:r>
    </w:p>
    <w:p>
      <w:pPr>
        <w:spacing w:after="0"/>
        <w:tabs>
          <w:tab w:leader="none" w:pos="780" w:val="left"/>
          <w:tab w:leader="none" w:pos="1800" w:val="left"/>
          <w:tab w:leader="none" w:pos="2720" w:val="left"/>
          <w:tab w:leader="none" w:pos="4320" w:val="left"/>
        </w:tabs>
        <w:rPr>
          <w:sz w:val="20"/>
          <w:szCs w:val="20"/>
          <w:color w:val="auto"/>
        </w:rPr>
      </w:pPr>
      <w:r>
        <w:rPr>
          <w:rFonts w:ascii="Arial" w:cs="Arial" w:eastAsia="Arial" w:hAnsi="Arial"/>
          <w:sz w:val="13"/>
          <w:szCs w:val="13"/>
          <w:color w:val="006880"/>
        </w:rPr>
        <w:t>Industry</w:t>
      </w:r>
      <w:r>
        <w:rPr>
          <w:sz w:val="20"/>
          <w:szCs w:val="20"/>
          <w:color w:val="auto"/>
        </w:rPr>
        <w:tab/>
      </w:r>
      <w:r>
        <w:rPr>
          <w:rFonts w:ascii="Arial" w:cs="Arial" w:eastAsia="Arial" w:hAnsi="Arial"/>
          <w:sz w:val="13"/>
          <w:szCs w:val="13"/>
          <w:color w:val="B6B6B6"/>
        </w:rPr>
        <w:t>Board Service</w:t>
      </w:r>
      <w:r>
        <w:rPr>
          <w:sz w:val="20"/>
          <w:szCs w:val="20"/>
          <w:color w:val="auto"/>
        </w:rPr>
        <w:tab/>
      </w:r>
      <w:r>
        <w:rPr>
          <w:rFonts w:ascii="Arial" w:cs="Arial" w:eastAsia="Arial" w:hAnsi="Arial"/>
          <w:sz w:val="13"/>
          <w:szCs w:val="13"/>
          <w:color w:val="006880"/>
        </w:rPr>
        <w:t>Governance</w:t>
      </w:r>
      <w:r>
        <w:rPr>
          <w:sz w:val="20"/>
          <w:szCs w:val="20"/>
          <w:color w:val="auto"/>
        </w:rPr>
        <w:tab/>
      </w:r>
      <w:r>
        <w:rPr>
          <w:rFonts w:ascii="Arial" w:cs="Arial" w:eastAsia="Arial" w:hAnsi="Arial"/>
          <w:sz w:val="13"/>
          <w:szCs w:val="13"/>
          <w:color w:val="006880"/>
        </w:rPr>
        <w:t>Corporate Transactions</w:t>
      </w:r>
      <w:r>
        <w:rPr>
          <w:sz w:val="20"/>
          <w:szCs w:val="20"/>
          <w:color w:val="auto"/>
        </w:rPr>
        <w:tab/>
      </w:r>
      <w:r>
        <w:rPr>
          <w:rFonts w:ascii="Arial" w:cs="Arial" w:eastAsia="Arial" w:hAnsi="Arial"/>
          <w:sz w:val="12"/>
          <w:szCs w:val="12"/>
          <w:color w:val="006880"/>
        </w:rPr>
        <w:t>Operations</w:t>
      </w:r>
    </w:p>
    <w:p>
      <w:pPr>
        <w:spacing w:after="0" w:line="1" w:lineRule="exact"/>
        <w:rPr>
          <w:sz w:val="20"/>
          <w:szCs w:val="20"/>
          <w:color w:val="auto"/>
        </w:rPr>
      </w:pPr>
    </w:p>
    <w:p>
      <w:pPr>
        <w:sectPr>
          <w:pgSz w:w="11900" w:h="16838" w:orient="portrait"/>
          <w:cols w:equalWidth="0" w:num="3">
            <w:col w:w="1660" w:space="480"/>
            <w:col w:w="500" w:space="500"/>
            <w:col w:w="8100"/>
          </w:cols>
          <w:pgMar w:left="320" w:top="338" w:right="339" w:bottom="1440" w:gutter="0" w:footer="0" w:header="0"/>
          <w:type w:val="continuous"/>
        </w:sectPr>
      </w:pPr>
    </w:p>
    <w:p>
      <w:pPr>
        <w:ind w:left="2120"/>
        <w:spacing w:after="0"/>
        <w:rPr>
          <w:sz w:val="20"/>
          <w:szCs w:val="20"/>
          <w:color w:val="auto"/>
        </w:rPr>
      </w:pPr>
      <w:r>
        <w:rPr>
          <w:rFonts w:ascii="Arial" w:cs="Arial" w:eastAsia="Arial" w:hAnsi="Arial"/>
          <w:sz w:val="12"/>
          <w:szCs w:val="12"/>
          <w:color w:val="006880"/>
        </w:rPr>
        <w:t>Industries</w:t>
      </w:r>
    </w:p>
    <w:p>
      <w:pPr>
        <w:sectPr>
          <w:pgSz w:w="11900" w:h="16838" w:orient="portrait"/>
          <w:cols w:equalWidth="0" w:num="1">
            <w:col w:w="11240"/>
          </w:cols>
          <w:pgMar w:left="320" w:top="338" w:right="339" w:bottom="1440" w:gutter="0" w:footer="0" w:header="0"/>
          <w:type w:val="continuous"/>
        </w:sect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Biography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Mr. Nanney joined the Board of Directors in October 2021. He served as Vice Chairman and Senior Partner of Deloitte LLP, an accounting firm, from June 2018 until his retirement in May 2020. Prior to that, he served as Vice Chairman and US National Managing Partner, Deloitte Private, from June 2012 through May 2018. Mr. Nanney joined Deloitte in August 1982 and served as a partner, including various other senior leadership roles, beginning in June 1990. Mr. Nanney is a member of the board of directors of privately held Freeman Company and serves as advisory board member for Stephen Gould Corporation. He is also a Trustee and Immediate Past Chair of the University of South Carolina Business Partnership Foundation. Mr. Nanney was a leader in the effort to develop the AT&amp;T Performing Arts Center in Dallas TX, ultimately serving as Board Chair. He was Board Chair and Campaign Chair for United Way of Metropolitan Dallas and United Way of Tampa Bay and served as a board member of the United Way of America. Mr. Nanney holds BS in Business Administration and MACC degrees from the University of South Carolina. He is a CPA, CMA and a member of National Association of Corporate Directors.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Experience, Skills and Qualifications of Particular Relevance to Blackbaud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Among other experience, qualifications, attributes and skills, Mr. Nanney’s experience in auditing and accounting, corporate governance, and his senior leadership roles and operational experience in large organizations led to the conclusion of our Nominating and Corporate Governance Committee, and of our full Board, that he is well qualified to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480060</wp:posOffset>
            </wp:positionV>
            <wp:extent cx="702945" cy="1117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2945"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17</w:t>
            </w:r>
          </w:p>
        </w:tc>
      </w:tr>
      <w:tr>
        <w:trPr>
          <w:trHeight w:val="272"/>
        </w:trPr>
        <w:tc>
          <w:tcPr>
            <w:tcW w:w="1020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19" w:name="page20"/>
    <w:bookmarkEnd w:id="19"/>
    <w:p>
      <w:pPr>
        <w:ind w:left="10160"/>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358"/>
        </w:trPr>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Borders>
              <w:bottom w:val="single" w:sz="8" w:color="0CD973"/>
            </w:tcBorders>
            <w:gridSpan w:val="3"/>
            <w:shd w:val="clear" w:color="auto" w:fill="EBFBFF"/>
          </w:tcPr>
          <w:p>
            <w:pPr>
              <w:ind w:left="20"/>
              <w:spacing w:after="0"/>
              <w:rPr>
                <w:sz w:val="20"/>
                <w:szCs w:val="20"/>
                <w:color w:val="auto"/>
              </w:rPr>
            </w:pPr>
            <w:r>
              <w:rPr>
                <w:rFonts w:ascii="Arial" w:cs="Arial" w:eastAsia="Arial" w:hAnsi="Arial"/>
                <w:sz w:val="18"/>
                <w:szCs w:val="18"/>
                <w:b w:val="1"/>
                <w:bCs w:val="1"/>
                <w:color w:val="006880"/>
              </w:rPr>
              <w:t>BRADLEY L. PYBURN</w:t>
            </w:r>
          </w:p>
        </w:tc>
        <w:tc>
          <w:tcPr>
            <w:tcW w:w="860" w:type="dxa"/>
            <w:vAlign w:val="bottom"/>
            <w:tcBorders>
              <w:bottom w:val="single" w:sz="8" w:color="0CD973"/>
            </w:tcBorders>
            <w:shd w:val="clear" w:color="auto" w:fill="EBFBFF"/>
          </w:tcPr>
          <w:p>
            <w:pPr>
              <w:spacing w:after="0"/>
              <w:rPr>
                <w:sz w:val="24"/>
                <w:szCs w:val="24"/>
                <w:color w:val="auto"/>
              </w:rPr>
            </w:pPr>
          </w:p>
        </w:tc>
        <w:tc>
          <w:tcPr>
            <w:tcW w:w="620" w:type="dxa"/>
            <w:vAlign w:val="bottom"/>
            <w:tcBorders>
              <w:bottom w:val="single" w:sz="8" w:color="0CD973"/>
            </w:tcBorders>
            <w:shd w:val="clear" w:color="auto" w:fill="EBFBFF"/>
          </w:tcPr>
          <w:p>
            <w:pPr>
              <w:spacing w:after="0"/>
              <w:rPr>
                <w:sz w:val="24"/>
                <w:szCs w:val="24"/>
                <w:color w:val="auto"/>
              </w:rPr>
            </w:pPr>
          </w:p>
        </w:tc>
        <w:tc>
          <w:tcPr>
            <w:tcW w:w="960" w:type="dxa"/>
            <w:vAlign w:val="bottom"/>
            <w:tcBorders>
              <w:bottom w:val="single" w:sz="8" w:color="0CD973"/>
            </w:tcBorders>
            <w:shd w:val="clear" w:color="auto" w:fill="EBFBFF"/>
          </w:tcPr>
          <w:p>
            <w:pPr>
              <w:ind w:left="120"/>
              <w:spacing w:after="0"/>
              <w:rPr>
                <w:sz w:val="20"/>
                <w:szCs w:val="20"/>
                <w:color w:val="auto"/>
              </w:rPr>
            </w:pPr>
            <w:r>
              <w:rPr>
                <w:rFonts w:ascii="Arial" w:cs="Arial" w:eastAsia="Arial" w:hAnsi="Arial"/>
                <w:sz w:val="18"/>
                <w:szCs w:val="18"/>
                <w:b w:val="1"/>
                <w:bCs w:val="1"/>
                <w:color w:val="006880"/>
              </w:rPr>
              <w:t xml:space="preserve">Age  </w:t>
            </w:r>
            <w:r>
              <w:rPr>
                <w:rFonts w:ascii="Arial" w:cs="Arial" w:eastAsia="Arial" w:hAnsi="Arial"/>
                <w:sz w:val="18"/>
                <w:szCs w:val="18"/>
                <w:color w:val="51555C"/>
              </w:rPr>
              <w:t>53</w:t>
            </w:r>
          </w:p>
        </w:tc>
        <w:tc>
          <w:tcPr>
            <w:tcW w:w="2820" w:type="dxa"/>
            <w:vAlign w:val="bottom"/>
            <w:tcBorders>
              <w:bottom w:val="single" w:sz="8" w:color="0CD973"/>
            </w:tcBorders>
            <w:gridSpan w:val="3"/>
            <w:shd w:val="clear" w:color="auto" w:fill="EBFBFF"/>
          </w:tcPr>
          <w:p>
            <w:pPr>
              <w:ind w:left="80"/>
              <w:spacing w:after="0"/>
              <w:rPr>
                <w:sz w:val="20"/>
                <w:szCs w:val="20"/>
                <w:color w:val="auto"/>
              </w:rPr>
            </w:pPr>
            <w:r>
              <w:rPr>
                <w:rFonts w:ascii="Arial" w:cs="Arial" w:eastAsia="Arial" w:hAnsi="Arial"/>
                <w:sz w:val="18"/>
                <w:szCs w:val="18"/>
                <w:b w:val="1"/>
                <w:bCs w:val="1"/>
                <w:color w:val="006880"/>
              </w:rPr>
              <w:t xml:space="preserve">Director since </w:t>
            </w:r>
            <w:r>
              <w:rPr>
                <w:rFonts w:ascii="Arial" w:cs="Arial" w:eastAsia="Arial" w:hAnsi="Arial"/>
                <w:sz w:val="18"/>
                <w:szCs w:val="18"/>
                <w:color w:val="51555C"/>
              </w:rPr>
              <w:t>December 2024</w:t>
            </w:r>
          </w:p>
        </w:tc>
        <w:tc>
          <w:tcPr>
            <w:tcW w:w="1100" w:type="dxa"/>
            <w:vAlign w:val="bottom"/>
            <w:tcBorders>
              <w:bottom w:val="single" w:sz="8" w:color="0CD973"/>
            </w:tcBorders>
            <w:shd w:val="clear" w:color="auto" w:fill="EBFBFF"/>
          </w:tcPr>
          <w:p>
            <w:pPr>
              <w:spacing w:after="0"/>
              <w:rPr>
                <w:sz w:val="24"/>
                <w:szCs w:val="24"/>
                <w:color w:val="auto"/>
              </w:rPr>
            </w:pPr>
          </w:p>
        </w:tc>
      </w:tr>
      <w:tr>
        <w:trPr>
          <w:trHeight w:val="396"/>
        </w:trPr>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40" w:type="dxa"/>
            <w:vAlign w:val="bottom"/>
            <w:gridSpan w:val="6"/>
          </w:tcPr>
          <w:p>
            <w:pPr>
              <w:ind w:left="20"/>
              <w:spacing w:after="0"/>
              <w:rPr>
                <w:sz w:val="20"/>
                <w:szCs w:val="20"/>
                <w:color w:val="auto"/>
              </w:rPr>
            </w:pPr>
            <w:r>
              <w:rPr>
                <w:rFonts w:ascii="Arial" w:cs="Arial" w:eastAsia="Arial" w:hAnsi="Arial"/>
                <w:sz w:val="18"/>
                <w:szCs w:val="18"/>
                <w:color w:val="51555C"/>
              </w:rPr>
              <w:t>Managing Director, Cyber &amp; Strategic Risk at Deloitte LLP</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86"/>
        </w:trPr>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60" w:type="dxa"/>
            <w:vAlign w:val="bottom"/>
            <w:gridSpan w:val="4"/>
          </w:tcPr>
          <w:p>
            <w:pPr>
              <w:ind w:left="20"/>
              <w:spacing w:after="0"/>
              <w:rPr>
                <w:sz w:val="20"/>
                <w:szCs w:val="20"/>
                <w:color w:val="auto"/>
              </w:rPr>
            </w:pPr>
            <w:r>
              <w:rPr>
                <w:rFonts w:ascii="Arial" w:cs="Arial" w:eastAsia="Arial" w:hAnsi="Arial"/>
                <w:sz w:val="18"/>
                <w:szCs w:val="18"/>
                <w:b w:val="1"/>
                <w:bCs w:val="1"/>
                <w:color w:val="006880"/>
              </w:rPr>
              <w:t xml:space="preserve">INDEPENDENT DIRECTOR </w:t>
            </w:r>
            <w:r>
              <w:rPr>
                <w:rFonts w:ascii="Arial" w:cs="Arial" w:eastAsia="Arial" w:hAnsi="Arial"/>
                <w:sz w:val="18"/>
                <w:szCs w:val="18"/>
                <w:color w:val="51555C"/>
              </w:rPr>
              <w:t>Class C</w:t>
            </w:r>
          </w:p>
        </w:tc>
        <w:tc>
          <w:tcPr>
            <w:tcW w:w="620" w:type="dxa"/>
            <w:vAlign w:val="bottom"/>
          </w:tcPr>
          <w:p>
            <w:pPr>
              <w:spacing w:after="0"/>
              <w:rPr>
                <w:sz w:val="24"/>
                <w:szCs w:val="24"/>
                <w:color w:val="auto"/>
              </w:rPr>
            </w:pPr>
          </w:p>
        </w:tc>
        <w:tc>
          <w:tcPr>
            <w:tcW w:w="2920" w:type="dxa"/>
            <w:vAlign w:val="bottom"/>
            <w:gridSpan w:val="3"/>
          </w:tcPr>
          <w:p>
            <w:pPr>
              <w:ind w:left="120"/>
              <w:spacing w:after="0"/>
              <w:rPr>
                <w:sz w:val="20"/>
                <w:szCs w:val="20"/>
                <w:color w:val="auto"/>
              </w:rPr>
            </w:pPr>
            <w:r>
              <w:rPr>
                <w:rFonts w:ascii="Arial" w:cs="Arial" w:eastAsia="Arial" w:hAnsi="Arial"/>
                <w:sz w:val="18"/>
                <w:szCs w:val="18"/>
                <w:b w:val="1"/>
                <w:bCs w:val="1"/>
                <w:color w:val="006880"/>
              </w:rPr>
              <w:t xml:space="preserve">Current Term Expires </w:t>
            </w:r>
            <w:r>
              <w:rPr>
                <w:rFonts w:ascii="Arial" w:cs="Arial" w:eastAsia="Arial" w:hAnsi="Arial"/>
                <w:sz w:val="18"/>
                <w:szCs w:val="18"/>
                <w:color w:val="51555C"/>
              </w:rPr>
              <w:t>2028</w:t>
            </w: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7"/>
        </w:trPr>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80" w:type="dxa"/>
            <w:vAlign w:val="bottom"/>
            <w:gridSpan w:val="5"/>
          </w:tcPr>
          <w:p>
            <w:pPr>
              <w:ind w:left="20"/>
              <w:spacing w:after="0"/>
              <w:rPr>
                <w:sz w:val="20"/>
                <w:szCs w:val="20"/>
                <w:color w:val="auto"/>
              </w:rPr>
            </w:pPr>
            <w:r>
              <w:rPr>
                <w:rFonts w:ascii="Arial" w:cs="Arial" w:eastAsia="Arial" w:hAnsi="Arial"/>
                <w:sz w:val="18"/>
                <w:szCs w:val="18"/>
                <w:b w:val="1"/>
                <w:bCs w:val="1"/>
                <w:color w:val="006880"/>
              </w:rPr>
              <w:t xml:space="preserve">Blackbaud Board Committees </w:t>
            </w:r>
            <w:r>
              <w:rPr>
                <w:rFonts w:ascii="Arial" w:cs="Arial" w:eastAsia="Arial" w:hAnsi="Arial"/>
                <w:sz w:val="18"/>
                <w:szCs w:val="18"/>
                <w:color w:val="51555C"/>
              </w:rPr>
              <w:t>Compensation,</w:t>
            </w:r>
          </w:p>
        </w:tc>
        <w:tc>
          <w:tcPr>
            <w:tcW w:w="2920" w:type="dxa"/>
            <w:vAlign w:val="bottom"/>
            <w:gridSpan w:val="3"/>
          </w:tcPr>
          <w:p>
            <w:pPr>
              <w:ind w:left="120"/>
              <w:spacing w:after="0"/>
              <w:rPr>
                <w:sz w:val="20"/>
                <w:szCs w:val="20"/>
                <w:color w:val="auto"/>
              </w:rPr>
            </w:pPr>
            <w:r>
              <w:rPr>
                <w:rFonts w:ascii="Arial" w:cs="Arial" w:eastAsia="Arial" w:hAnsi="Arial"/>
                <w:sz w:val="18"/>
                <w:szCs w:val="18"/>
                <w:b w:val="1"/>
                <w:bCs w:val="1"/>
                <w:color w:val="006880"/>
              </w:rPr>
              <w:t xml:space="preserve">Other Public Boards </w:t>
            </w:r>
            <w:r>
              <w:rPr>
                <w:rFonts w:ascii="Arial" w:cs="Arial" w:eastAsia="Arial" w:hAnsi="Arial"/>
                <w:sz w:val="18"/>
                <w:szCs w:val="18"/>
                <w:color w:val="51555C"/>
              </w:rPr>
              <w:t>None</w:t>
            </w: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5"/>
          </w:tcPr>
          <w:p>
            <w:pPr>
              <w:ind w:left="20"/>
              <w:spacing w:after="0"/>
              <w:rPr>
                <w:sz w:val="20"/>
                <w:szCs w:val="20"/>
                <w:color w:val="auto"/>
              </w:rPr>
            </w:pPr>
            <w:r>
              <w:rPr>
                <w:rFonts w:ascii="Arial" w:cs="Arial" w:eastAsia="Arial" w:hAnsi="Arial"/>
                <w:sz w:val="18"/>
                <w:szCs w:val="18"/>
                <w:color w:val="51555C"/>
              </w:rPr>
              <w:t>Nominating and Corporate Governance, Cyber Risk</w:t>
            </w: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9"/>
        </w:trPr>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51555C"/>
              </w:rPr>
              <w:t>Oversight</w:t>
            </w: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77"/>
        </w:trPr>
        <w:tc>
          <w:tcPr>
            <w:tcW w:w="1920" w:type="dxa"/>
            <w:vAlign w:val="bottom"/>
            <w:tcBorders>
              <w:bottom w:val="single" w:sz="8" w:color="0CD973"/>
            </w:tcBorders>
          </w:tcPr>
          <w:p>
            <w:pPr>
              <w:spacing w:after="0"/>
              <w:rPr>
                <w:sz w:val="6"/>
                <w:szCs w:val="6"/>
                <w:color w:val="auto"/>
              </w:rPr>
            </w:pPr>
          </w:p>
        </w:tc>
        <w:tc>
          <w:tcPr>
            <w:tcW w:w="1080" w:type="dxa"/>
            <w:vAlign w:val="bottom"/>
            <w:tcBorders>
              <w:bottom w:val="single" w:sz="8" w:color="0CD973"/>
            </w:tcBorders>
            <w:gridSpan w:val="2"/>
          </w:tcPr>
          <w:p>
            <w:pPr>
              <w:spacing w:after="0"/>
              <w:rPr>
                <w:sz w:val="6"/>
                <w:szCs w:val="6"/>
                <w:color w:val="auto"/>
              </w:rPr>
            </w:pPr>
          </w:p>
        </w:tc>
        <w:tc>
          <w:tcPr>
            <w:tcW w:w="740" w:type="dxa"/>
            <w:vAlign w:val="bottom"/>
            <w:tcBorders>
              <w:bottom w:val="single" w:sz="8" w:color="0CD973"/>
            </w:tcBorders>
          </w:tcPr>
          <w:p>
            <w:pPr>
              <w:spacing w:after="0"/>
              <w:rPr>
                <w:sz w:val="6"/>
                <w:szCs w:val="6"/>
                <w:color w:val="auto"/>
              </w:rPr>
            </w:pPr>
          </w:p>
        </w:tc>
        <w:tc>
          <w:tcPr>
            <w:tcW w:w="1140" w:type="dxa"/>
            <w:vAlign w:val="bottom"/>
            <w:tcBorders>
              <w:bottom w:val="single" w:sz="8" w:color="0CD973"/>
            </w:tcBorders>
          </w:tcPr>
          <w:p>
            <w:pPr>
              <w:spacing w:after="0"/>
              <w:rPr>
                <w:sz w:val="6"/>
                <w:szCs w:val="6"/>
                <w:color w:val="auto"/>
              </w:rPr>
            </w:pPr>
          </w:p>
        </w:tc>
        <w:tc>
          <w:tcPr>
            <w:tcW w:w="860" w:type="dxa"/>
            <w:vAlign w:val="bottom"/>
            <w:tcBorders>
              <w:bottom w:val="single" w:sz="8" w:color="0CD973"/>
            </w:tcBorders>
          </w:tcPr>
          <w:p>
            <w:pPr>
              <w:spacing w:after="0"/>
              <w:rPr>
                <w:sz w:val="6"/>
                <w:szCs w:val="6"/>
                <w:color w:val="auto"/>
              </w:rPr>
            </w:pPr>
          </w:p>
        </w:tc>
        <w:tc>
          <w:tcPr>
            <w:tcW w:w="1580" w:type="dxa"/>
            <w:vAlign w:val="bottom"/>
            <w:tcBorders>
              <w:bottom w:val="single" w:sz="8" w:color="0CD973"/>
            </w:tcBorders>
            <w:gridSpan w:val="2"/>
          </w:tcPr>
          <w:p>
            <w:pPr>
              <w:spacing w:after="0"/>
              <w:rPr>
                <w:sz w:val="6"/>
                <w:szCs w:val="6"/>
                <w:color w:val="auto"/>
              </w:rPr>
            </w:pPr>
          </w:p>
        </w:tc>
        <w:tc>
          <w:tcPr>
            <w:tcW w:w="1040" w:type="dxa"/>
            <w:vAlign w:val="bottom"/>
            <w:tcBorders>
              <w:bottom w:val="single" w:sz="8" w:color="0CD973"/>
            </w:tcBorders>
          </w:tcPr>
          <w:p>
            <w:pPr>
              <w:spacing w:after="0"/>
              <w:rPr>
                <w:sz w:val="6"/>
                <w:szCs w:val="6"/>
                <w:color w:val="auto"/>
              </w:rPr>
            </w:pPr>
          </w:p>
        </w:tc>
        <w:tc>
          <w:tcPr>
            <w:tcW w:w="920" w:type="dxa"/>
            <w:vAlign w:val="bottom"/>
            <w:tcBorders>
              <w:bottom w:val="single" w:sz="8" w:color="0CD973"/>
            </w:tcBorders>
          </w:tcPr>
          <w:p>
            <w:pPr>
              <w:spacing w:after="0"/>
              <w:rPr>
                <w:sz w:val="6"/>
                <w:szCs w:val="6"/>
                <w:color w:val="auto"/>
              </w:rPr>
            </w:pPr>
          </w:p>
        </w:tc>
        <w:tc>
          <w:tcPr>
            <w:tcW w:w="860" w:type="dxa"/>
            <w:vAlign w:val="bottom"/>
            <w:tcBorders>
              <w:bottom w:val="single" w:sz="8" w:color="0CD973"/>
            </w:tcBorders>
          </w:tcPr>
          <w:p>
            <w:pPr>
              <w:spacing w:after="0"/>
              <w:rPr>
                <w:sz w:val="6"/>
                <w:szCs w:val="6"/>
                <w:color w:val="auto"/>
              </w:rPr>
            </w:pPr>
          </w:p>
        </w:tc>
        <w:tc>
          <w:tcPr>
            <w:tcW w:w="1100" w:type="dxa"/>
            <w:vAlign w:val="bottom"/>
            <w:tcBorders>
              <w:bottom w:val="single" w:sz="8" w:color="0CD973"/>
            </w:tcBorders>
          </w:tcPr>
          <w:p>
            <w:pPr>
              <w:spacing w:after="0"/>
              <w:rPr>
                <w:sz w:val="6"/>
                <w:szCs w:val="6"/>
                <w:color w:val="auto"/>
              </w:rPr>
            </w:pPr>
          </w:p>
        </w:tc>
      </w:tr>
      <w:tr>
        <w:trPr>
          <w:trHeight w:val="691"/>
        </w:trPr>
        <w:tc>
          <w:tcPr>
            <w:tcW w:w="1920" w:type="dxa"/>
            <w:vAlign w:val="bottom"/>
          </w:tcPr>
          <w:p>
            <w:pPr>
              <w:ind w:left="160"/>
              <w:spacing w:after="0"/>
              <w:rPr>
                <w:sz w:val="20"/>
                <w:szCs w:val="20"/>
                <w:color w:val="auto"/>
              </w:rPr>
            </w:pPr>
            <w:r>
              <w:rPr>
                <w:rFonts w:ascii="Arial" w:cs="Arial" w:eastAsia="Arial" w:hAnsi="Arial"/>
                <w:sz w:val="13"/>
                <w:szCs w:val="13"/>
                <w:color w:val="006880"/>
                <w:w w:val="96"/>
              </w:rPr>
              <w:t>Leadership</w:t>
            </w:r>
            <w:r>
              <w:rPr>
                <w:rFonts w:ascii="Arial" w:cs="Arial" w:eastAsia="Arial" w:hAnsi="Arial"/>
                <w:sz w:val="13"/>
                <w:szCs w:val="13"/>
                <w:color w:val="B6B6B6"/>
                <w:w w:val="96"/>
              </w:rPr>
              <w:t>Accounting &amp;</w:t>
            </w:r>
          </w:p>
        </w:tc>
        <w:tc>
          <w:tcPr>
            <w:tcW w:w="1080" w:type="dxa"/>
            <w:vAlign w:val="bottom"/>
            <w:gridSpan w:val="2"/>
          </w:tcPr>
          <w:p>
            <w:pPr>
              <w:ind w:left="100"/>
              <w:spacing w:after="0"/>
              <w:rPr>
                <w:sz w:val="20"/>
                <w:szCs w:val="20"/>
                <w:color w:val="auto"/>
              </w:rPr>
            </w:pPr>
            <w:r>
              <w:rPr>
                <w:rFonts w:ascii="Arial" w:cs="Arial" w:eastAsia="Arial" w:hAnsi="Arial"/>
                <w:sz w:val="13"/>
                <w:szCs w:val="13"/>
                <w:color w:val="006880"/>
              </w:rPr>
              <w:t>Technology &amp;</w:t>
            </w:r>
          </w:p>
        </w:tc>
        <w:tc>
          <w:tcPr>
            <w:tcW w:w="740" w:type="dxa"/>
            <w:vAlign w:val="bottom"/>
          </w:tcPr>
          <w:p>
            <w:pPr>
              <w:jc w:val="center"/>
              <w:spacing w:after="0"/>
              <w:rPr>
                <w:sz w:val="20"/>
                <w:szCs w:val="20"/>
                <w:color w:val="auto"/>
              </w:rPr>
            </w:pPr>
            <w:r>
              <w:rPr>
                <w:rFonts w:ascii="Arial" w:cs="Arial" w:eastAsia="Arial" w:hAnsi="Arial"/>
                <w:sz w:val="13"/>
                <w:szCs w:val="13"/>
                <w:color w:val="B6B6B6"/>
                <w:w w:val="98"/>
              </w:rPr>
              <w:t>Nonprofit</w:t>
            </w:r>
          </w:p>
        </w:tc>
        <w:tc>
          <w:tcPr>
            <w:tcW w:w="1140" w:type="dxa"/>
            <w:vAlign w:val="bottom"/>
          </w:tcPr>
          <w:p>
            <w:pPr>
              <w:jc w:val="center"/>
              <w:spacing w:after="0"/>
              <w:rPr>
                <w:sz w:val="20"/>
                <w:szCs w:val="20"/>
                <w:color w:val="auto"/>
              </w:rPr>
            </w:pPr>
            <w:r>
              <w:rPr>
                <w:rFonts w:ascii="Arial" w:cs="Arial" w:eastAsia="Arial" w:hAnsi="Arial"/>
                <w:sz w:val="13"/>
                <w:szCs w:val="13"/>
                <w:color w:val="B6B6B6"/>
                <w:w w:val="97"/>
              </w:rPr>
              <w:t>Public Company</w:t>
            </w:r>
          </w:p>
        </w:tc>
        <w:tc>
          <w:tcPr>
            <w:tcW w:w="860" w:type="dxa"/>
            <w:vAlign w:val="bottom"/>
          </w:tcPr>
          <w:p>
            <w:pPr>
              <w:jc w:val="center"/>
              <w:spacing w:after="0"/>
              <w:rPr>
                <w:sz w:val="20"/>
                <w:szCs w:val="20"/>
                <w:color w:val="auto"/>
              </w:rPr>
            </w:pPr>
            <w:r>
              <w:rPr>
                <w:rFonts w:ascii="Arial" w:cs="Arial" w:eastAsia="Arial" w:hAnsi="Arial"/>
                <w:sz w:val="13"/>
                <w:szCs w:val="13"/>
                <w:color w:val="006880"/>
                <w:w w:val="96"/>
              </w:rPr>
              <w:t>Corporate</w:t>
            </w:r>
          </w:p>
        </w:tc>
        <w:tc>
          <w:tcPr>
            <w:tcW w:w="1580" w:type="dxa"/>
            <w:vAlign w:val="bottom"/>
            <w:gridSpan w:val="2"/>
          </w:tcPr>
          <w:p>
            <w:pPr>
              <w:jc w:val="center"/>
              <w:spacing w:after="0"/>
              <w:rPr>
                <w:sz w:val="20"/>
                <w:szCs w:val="20"/>
                <w:color w:val="auto"/>
              </w:rPr>
            </w:pPr>
            <w:r>
              <w:rPr>
                <w:rFonts w:ascii="Arial" w:cs="Arial" w:eastAsia="Arial" w:hAnsi="Arial"/>
                <w:sz w:val="13"/>
                <w:szCs w:val="13"/>
                <w:color w:val="B6B6B6"/>
                <w:w w:val="96"/>
              </w:rPr>
              <w:t>Business Development &amp;</w:t>
            </w:r>
          </w:p>
        </w:tc>
        <w:tc>
          <w:tcPr>
            <w:tcW w:w="1040" w:type="dxa"/>
            <w:vAlign w:val="bottom"/>
          </w:tcPr>
          <w:p>
            <w:pPr>
              <w:jc w:val="center"/>
              <w:ind w:right="48"/>
              <w:spacing w:after="0"/>
              <w:rPr>
                <w:sz w:val="20"/>
                <w:szCs w:val="20"/>
                <w:color w:val="auto"/>
              </w:rPr>
            </w:pPr>
            <w:r>
              <w:rPr>
                <w:rFonts w:ascii="Arial" w:cs="Arial" w:eastAsia="Arial" w:hAnsi="Arial"/>
                <w:sz w:val="13"/>
                <w:szCs w:val="13"/>
                <w:color w:val="006880"/>
                <w:w w:val="98"/>
              </w:rPr>
              <w:t>Business</w:t>
            </w:r>
          </w:p>
        </w:tc>
        <w:tc>
          <w:tcPr>
            <w:tcW w:w="920" w:type="dxa"/>
            <w:vAlign w:val="bottom"/>
          </w:tcPr>
          <w:p>
            <w:pPr>
              <w:ind w:left="260"/>
              <w:spacing w:after="0"/>
              <w:rPr>
                <w:sz w:val="20"/>
                <w:szCs w:val="20"/>
                <w:color w:val="auto"/>
              </w:rPr>
            </w:pPr>
            <w:r>
              <w:rPr>
                <w:rFonts w:ascii="Arial" w:cs="Arial" w:eastAsia="Arial" w:hAnsi="Arial"/>
                <w:sz w:val="13"/>
                <w:szCs w:val="13"/>
                <w:color w:val="B6B6B6"/>
              </w:rPr>
              <w:t>ESG</w:t>
            </w:r>
          </w:p>
        </w:tc>
        <w:tc>
          <w:tcPr>
            <w:tcW w:w="860" w:type="dxa"/>
            <w:vAlign w:val="bottom"/>
          </w:tcPr>
          <w:p>
            <w:pPr>
              <w:ind w:left="380"/>
              <w:spacing w:after="0"/>
              <w:rPr>
                <w:sz w:val="20"/>
                <w:szCs w:val="20"/>
                <w:color w:val="auto"/>
              </w:rPr>
            </w:pPr>
            <w:r>
              <w:rPr>
                <w:rFonts w:ascii="Arial" w:cs="Arial" w:eastAsia="Arial" w:hAnsi="Arial"/>
                <w:sz w:val="13"/>
                <w:szCs w:val="13"/>
                <w:color w:val="006880"/>
              </w:rPr>
              <w:t>AI</w:t>
            </w:r>
          </w:p>
        </w:tc>
        <w:tc>
          <w:tcPr>
            <w:tcW w:w="1100" w:type="dxa"/>
            <w:vAlign w:val="bottom"/>
          </w:tcPr>
          <w:p>
            <w:pPr>
              <w:ind w:left="200"/>
              <w:spacing w:after="0"/>
              <w:rPr>
                <w:sz w:val="20"/>
                <w:szCs w:val="20"/>
                <w:color w:val="auto"/>
              </w:rPr>
            </w:pPr>
            <w:r>
              <w:rPr>
                <w:rFonts w:ascii="Arial" w:cs="Arial" w:eastAsia="Arial" w:hAnsi="Arial"/>
                <w:sz w:val="13"/>
                <w:szCs w:val="13"/>
                <w:color w:val="006880"/>
              </w:rPr>
              <w:t>Cybersecurity</w:t>
            </w:r>
          </w:p>
        </w:tc>
      </w:tr>
      <w:tr>
        <w:trPr>
          <w:trHeight w:val="149"/>
        </w:trPr>
        <w:tc>
          <w:tcPr>
            <w:tcW w:w="1920" w:type="dxa"/>
            <w:vAlign w:val="bottom"/>
          </w:tcPr>
          <w:p>
            <w:pPr>
              <w:ind w:left="1200"/>
              <w:spacing w:after="0"/>
              <w:rPr>
                <w:sz w:val="20"/>
                <w:szCs w:val="20"/>
                <w:color w:val="auto"/>
              </w:rPr>
            </w:pPr>
            <w:r>
              <w:rPr>
                <w:rFonts w:ascii="Arial" w:cs="Arial" w:eastAsia="Arial" w:hAnsi="Arial"/>
                <w:sz w:val="13"/>
                <w:szCs w:val="13"/>
                <w:color w:val="B6B6B6"/>
              </w:rPr>
              <w:t>Finance</w:t>
            </w:r>
          </w:p>
        </w:tc>
        <w:tc>
          <w:tcPr>
            <w:tcW w:w="160" w:type="dxa"/>
            <w:vAlign w:val="bottom"/>
          </w:tcPr>
          <w:p>
            <w:pPr>
              <w:spacing w:after="0"/>
              <w:rPr>
                <w:sz w:val="12"/>
                <w:szCs w:val="12"/>
                <w:color w:val="auto"/>
              </w:rPr>
            </w:pPr>
          </w:p>
        </w:tc>
        <w:tc>
          <w:tcPr>
            <w:tcW w:w="920" w:type="dxa"/>
            <w:vAlign w:val="bottom"/>
          </w:tcPr>
          <w:p>
            <w:pPr>
              <w:ind w:left="60"/>
              <w:spacing w:after="0"/>
              <w:rPr>
                <w:sz w:val="20"/>
                <w:szCs w:val="20"/>
                <w:color w:val="auto"/>
              </w:rPr>
            </w:pPr>
            <w:r>
              <w:rPr>
                <w:rFonts w:ascii="Arial" w:cs="Arial" w:eastAsia="Arial" w:hAnsi="Arial"/>
                <w:sz w:val="13"/>
                <w:szCs w:val="13"/>
                <w:color w:val="006880"/>
              </w:rPr>
              <w:t>Software</w:t>
            </w:r>
          </w:p>
        </w:tc>
        <w:tc>
          <w:tcPr>
            <w:tcW w:w="740" w:type="dxa"/>
            <w:vAlign w:val="bottom"/>
          </w:tcPr>
          <w:p>
            <w:pPr>
              <w:jc w:val="center"/>
              <w:spacing w:after="0"/>
              <w:rPr>
                <w:sz w:val="20"/>
                <w:szCs w:val="20"/>
                <w:color w:val="auto"/>
              </w:rPr>
            </w:pPr>
            <w:r>
              <w:rPr>
                <w:rFonts w:ascii="Arial" w:cs="Arial" w:eastAsia="Arial" w:hAnsi="Arial"/>
                <w:sz w:val="13"/>
                <w:szCs w:val="13"/>
                <w:color w:val="B6B6B6"/>
                <w:w w:val="95"/>
              </w:rPr>
              <w:t>Industry</w:t>
            </w:r>
          </w:p>
        </w:tc>
        <w:tc>
          <w:tcPr>
            <w:tcW w:w="1140" w:type="dxa"/>
            <w:vAlign w:val="bottom"/>
          </w:tcPr>
          <w:p>
            <w:pPr>
              <w:jc w:val="center"/>
              <w:spacing w:after="0"/>
              <w:rPr>
                <w:sz w:val="20"/>
                <w:szCs w:val="20"/>
                <w:color w:val="auto"/>
              </w:rPr>
            </w:pPr>
            <w:r>
              <w:rPr>
                <w:rFonts w:ascii="Arial" w:cs="Arial" w:eastAsia="Arial" w:hAnsi="Arial"/>
                <w:sz w:val="13"/>
                <w:szCs w:val="13"/>
                <w:color w:val="B6B6B6"/>
                <w:w w:val="95"/>
              </w:rPr>
              <w:t>Board Service</w:t>
            </w:r>
          </w:p>
        </w:tc>
        <w:tc>
          <w:tcPr>
            <w:tcW w:w="860" w:type="dxa"/>
            <w:vAlign w:val="bottom"/>
          </w:tcPr>
          <w:p>
            <w:pPr>
              <w:jc w:val="center"/>
              <w:spacing w:after="0"/>
              <w:rPr>
                <w:sz w:val="20"/>
                <w:szCs w:val="20"/>
                <w:color w:val="auto"/>
              </w:rPr>
            </w:pPr>
            <w:r>
              <w:rPr>
                <w:rFonts w:ascii="Arial" w:cs="Arial" w:eastAsia="Arial" w:hAnsi="Arial"/>
                <w:sz w:val="13"/>
                <w:szCs w:val="13"/>
                <w:color w:val="006880"/>
                <w:w w:val="95"/>
              </w:rPr>
              <w:t>Governance</w:t>
            </w:r>
          </w:p>
        </w:tc>
        <w:tc>
          <w:tcPr>
            <w:tcW w:w="1580" w:type="dxa"/>
            <w:vAlign w:val="bottom"/>
            <w:gridSpan w:val="2"/>
          </w:tcPr>
          <w:p>
            <w:pPr>
              <w:jc w:val="center"/>
              <w:spacing w:after="0"/>
              <w:rPr>
                <w:sz w:val="20"/>
                <w:szCs w:val="20"/>
                <w:color w:val="auto"/>
              </w:rPr>
            </w:pPr>
            <w:r>
              <w:rPr>
                <w:rFonts w:ascii="Arial" w:cs="Arial" w:eastAsia="Arial" w:hAnsi="Arial"/>
                <w:sz w:val="13"/>
                <w:szCs w:val="13"/>
                <w:color w:val="B6B6B6"/>
                <w:w w:val="97"/>
              </w:rPr>
              <w:t>Corporate Transactions</w:t>
            </w:r>
          </w:p>
        </w:tc>
        <w:tc>
          <w:tcPr>
            <w:tcW w:w="1040" w:type="dxa"/>
            <w:vAlign w:val="bottom"/>
          </w:tcPr>
          <w:p>
            <w:pPr>
              <w:jc w:val="center"/>
              <w:ind w:right="28"/>
              <w:spacing w:after="0"/>
              <w:rPr>
                <w:sz w:val="20"/>
                <w:szCs w:val="20"/>
                <w:color w:val="auto"/>
              </w:rPr>
            </w:pPr>
            <w:r>
              <w:rPr>
                <w:rFonts w:ascii="Arial" w:cs="Arial" w:eastAsia="Arial" w:hAnsi="Arial"/>
                <w:sz w:val="13"/>
                <w:szCs w:val="13"/>
                <w:color w:val="006880"/>
                <w:w w:val="97"/>
              </w:rPr>
              <w:t>Operations</w:t>
            </w: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6"/>
        </w:trPr>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Arial" w:cs="Arial" w:eastAsia="Arial" w:hAnsi="Arial"/>
                <w:sz w:val="13"/>
                <w:szCs w:val="13"/>
                <w:color w:val="006880"/>
              </w:rPr>
              <w:t>Industries</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-1893570</wp:posOffset>
            </wp:positionV>
            <wp:extent cx="1234440" cy="11658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34440" cy="116586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-530860</wp:posOffset>
            </wp:positionV>
            <wp:extent cx="17145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-530860</wp:posOffset>
            </wp:positionV>
            <wp:extent cx="17145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-530860</wp:posOffset>
            </wp:positionV>
            <wp:extent cx="17145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-530860</wp:posOffset>
            </wp:positionV>
            <wp:extent cx="17145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-530860</wp:posOffset>
            </wp:positionV>
            <wp:extent cx="17145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-530860</wp:posOffset>
            </wp:positionV>
            <wp:extent cx="17145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-530860</wp:posOffset>
            </wp:positionV>
            <wp:extent cx="17145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-530860</wp:posOffset>
            </wp:positionV>
            <wp:extent cx="17145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-530860</wp:posOffset>
            </wp:positionV>
            <wp:extent cx="171450" cy="1631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1450" cy="1631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-530860</wp:posOffset>
            </wp:positionV>
            <wp:extent cx="17145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-530860</wp:posOffset>
            </wp:positionV>
            <wp:extent cx="171450" cy="163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1450" cy="16319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Biography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Mr. Pyburn joined the Board of Directors in December 2024. He built his career in U.S. Air Force Cybersecurity Operations, serving from August 1991 to September 2024. His various leadership roles included Chief Information Officer of Air Combat Command, Deputy Commander of U.S. Air Force Cyber and Chief of Staff of U.S. Cyber Command directly supporting the Commander / Director of the National Security Agency before his retirement as Major General in September 2024. Mr. Pyburn is currently Managing Director, Cyber &amp; Strategic Risk at Deloitte LLP, an accounting firm. He holds a Master of Science degree in National Resource Strategy from the Eisenhower School at the National Defense University, a Master of Science degree in Military Studies from Marine Corps University, a Master of Science degree in Computer Science from the Air Force Institute of Technology and a Bachelor of Science degree in Computing and Information Science, and Mathematics from McKendree University.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Experience, Skills and Qualifications of Particular Relevance to Blackbaud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Among other experience, qualifications, attributes and skills, Mr. Pyburn’s knowledge in cybersecurity, technology and risk management as an officer with the United States Air Force and private sector consulting, led to the conclusion of our Nominating and Corporate Governance Committee, and of our full Board, that he is well qualified to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18</w:t>
      </w:r>
      <w:r>
        <w:rPr>
          <w:sz w:val="20"/>
          <w:szCs w:val="20"/>
          <w:color w:val="auto"/>
        </w:rPr>
        <w:tab/>
      </w:r>
      <w:r>
        <w:rPr>
          <w:sz w:val="1"/>
          <w:szCs w:val="1"/>
          <w:color w:val="auto"/>
        </w:rPr>
        <w:drawing>
          <wp:inline distT="0" distB="0" distL="0" distR="0">
            <wp:extent cx="702945" cy="11112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155575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358"/>
        </w:trPr>
        <w:tc>
          <w:tcPr>
            <w:tcW w:w="1920" w:type="dxa"/>
            <w:vAlign w:val="bottom"/>
          </w:tcPr>
          <w:p>
            <w:pPr>
              <w:spacing w:after="0"/>
              <w:rPr>
                <w:sz w:val="24"/>
                <w:szCs w:val="24"/>
                <w:color w:val="auto"/>
              </w:rPr>
            </w:pPr>
          </w:p>
        </w:tc>
        <w:tc>
          <w:tcPr>
            <w:tcW w:w="4020" w:type="dxa"/>
            <w:vAlign w:val="bottom"/>
            <w:tcBorders>
              <w:bottom w:val="single" w:sz="8" w:color="0CD973"/>
            </w:tcBorders>
            <w:shd w:val="clear" w:color="auto" w:fill="EBFBFF"/>
          </w:tcPr>
          <w:p>
            <w:pPr>
              <w:spacing w:after="0"/>
              <w:rPr>
                <w:sz w:val="20"/>
                <w:szCs w:val="20"/>
                <w:color w:val="auto"/>
              </w:rPr>
            </w:pPr>
            <w:r>
              <w:rPr>
                <w:rFonts w:ascii="Arial" w:cs="Arial" w:eastAsia="Arial" w:hAnsi="Arial"/>
                <w:sz w:val="18"/>
                <w:szCs w:val="18"/>
                <w:b w:val="1"/>
                <w:bCs w:val="1"/>
                <w:color w:val="006880"/>
              </w:rPr>
              <w:t>KRISTIAN P. TALVITIE</w:t>
            </w:r>
          </w:p>
        </w:tc>
        <w:tc>
          <w:tcPr>
            <w:tcW w:w="5300" w:type="dxa"/>
            <w:vAlign w:val="bottom"/>
            <w:tcBorders>
              <w:bottom w:val="single" w:sz="8" w:color="0CD973"/>
            </w:tcBorders>
            <w:shd w:val="clear" w:color="auto" w:fill="EBFBFF"/>
          </w:tcPr>
          <w:p>
            <w:pPr>
              <w:ind w:left="260"/>
              <w:spacing w:after="0"/>
              <w:rPr>
                <w:sz w:val="20"/>
                <w:szCs w:val="20"/>
                <w:color w:val="auto"/>
              </w:rPr>
            </w:pPr>
            <w:r>
              <w:rPr>
                <w:rFonts w:ascii="Arial" w:cs="Arial" w:eastAsia="Arial" w:hAnsi="Arial"/>
                <w:sz w:val="18"/>
                <w:szCs w:val="18"/>
                <w:b w:val="1"/>
                <w:bCs w:val="1"/>
                <w:color w:val="006880"/>
              </w:rPr>
              <w:t xml:space="preserve">Age  </w:t>
            </w:r>
            <w:r>
              <w:rPr>
                <w:rFonts w:ascii="Arial" w:cs="Arial" w:eastAsia="Arial" w:hAnsi="Arial"/>
                <w:sz w:val="18"/>
                <w:szCs w:val="18"/>
                <w:color w:val="51555C"/>
              </w:rPr>
              <w:t>56</w:t>
            </w:r>
            <w:r>
              <w:rPr>
                <w:rFonts w:ascii="Arial" w:cs="Arial" w:eastAsia="Arial" w:hAnsi="Arial"/>
                <w:sz w:val="18"/>
                <w:szCs w:val="18"/>
                <w:b w:val="1"/>
                <w:bCs w:val="1"/>
                <w:color w:val="006880"/>
              </w:rPr>
              <w:t xml:space="preserve">  Director since </w:t>
            </w:r>
            <w:r>
              <w:rPr>
                <w:rFonts w:ascii="Arial" w:cs="Arial" w:eastAsia="Arial" w:hAnsi="Arial"/>
                <w:sz w:val="18"/>
                <w:szCs w:val="18"/>
                <w:color w:val="51555C"/>
              </w:rPr>
              <w:t>January 2024</w:t>
            </w:r>
          </w:p>
        </w:tc>
      </w:tr>
      <w:tr>
        <w:trPr>
          <w:trHeight w:val="396"/>
        </w:trPr>
        <w:tc>
          <w:tcPr>
            <w:tcW w:w="192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51555C"/>
              </w:rPr>
              <w:t>Chief Financial Officer of BetterUp, Inc.</w:t>
            </w:r>
          </w:p>
        </w:tc>
        <w:tc>
          <w:tcPr>
            <w:tcW w:w="5300" w:type="dxa"/>
            <w:vAlign w:val="bottom"/>
          </w:tcPr>
          <w:p>
            <w:pPr>
              <w:spacing w:after="0"/>
              <w:rPr>
                <w:sz w:val="24"/>
                <w:szCs w:val="24"/>
                <w:color w:val="auto"/>
              </w:rPr>
            </w:pPr>
          </w:p>
        </w:tc>
      </w:tr>
      <w:tr>
        <w:trPr>
          <w:trHeight w:val="386"/>
        </w:trPr>
        <w:tc>
          <w:tcPr>
            <w:tcW w:w="192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006880"/>
              </w:rPr>
              <w:t xml:space="preserve">INDEPENDENT DIRECTOR </w:t>
            </w:r>
            <w:r>
              <w:rPr>
                <w:rFonts w:ascii="Arial" w:cs="Arial" w:eastAsia="Arial" w:hAnsi="Arial"/>
                <w:sz w:val="18"/>
                <w:szCs w:val="18"/>
                <w:color w:val="51555C"/>
              </w:rPr>
              <w:t>Class B</w:t>
            </w:r>
          </w:p>
        </w:tc>
        <w:tc>
          <w:tcPr>
            <w:tcW w:w="5300" w:type="dxa"/>
            <w:vAlign w:val="bottom"/>
          </w:tcPr>
          <w:p>
            <w:pPr>
              <w:ind w:left="260"/>
              <w:spacing w:after="0"/>
              <w:rPr>
                <w:sz w:val="20"/>
                <w:szCs w:val="20"/>
                <w:color w:val="auto"/>
              </w:rPr>
            </w:pPr>
            <w:r>
              <w:rPr>
                <w:rFonts w:ascii="Arial" w:cs="Arial" w:eastAsia="Arial" w:hAnsi="Arial"/>
                <w:sz w:val="18"/>
                <w:szCs w:val="18"/>
                <w:b w:val="1"/>
                <w:bCs w:val="1"/>
                <w:color w:val="006880"/>
              </w:rPr>
              <w:t xml:space="preserve">Current Term Expires </w:t>
            </w:r>
            <w:r>
              <w:rPr>
                <w:rFonts w:ascii="Arial" w:cs="Arial" w:eastAsia="Arial" w:hAnsi="Arial"/>
                <w:sz w:val="18"/>
                <w:szCs w:val="18"/>
                <w:color w:val="51555C"/>
              </w:rPr>
              <w:t>2027</w:t>
            </w:r>
          </w:p>
        </w:tc>
      </w:tr>
      <w:tr>
        <w:trPr>
          <w:trHeight w:val="347"/>
        </w:trPr>
        <w:tc>
          <w:tcPr>
            <w:tcW w:w="192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006880"/>
              </w:rPr>
              <w:t xml:space="preserve">Blackbaud Board Committees </w:t>
            </w:r>
            <w:r>
              <w:rPr>
                <w:rFonts w:ascii="Arial" w:cs="Arial" w:eastAsia="Arial" w:hAnsi="Arial"/>
                <w:sz w:val="18"/>
                <w:szCs w:val="18"/>
                <w:color w:val="51555C"/>
              </w:rPr>
              <w:t>Compensation</w:t>
            </w:r>
          </w:p>
        </w:tc>
        <w:tc>
          <w:tcPr>
            <w:tcW w:w="5300" w:type="dxa"/>
            <w:vAlign w:val="bottom"/>
          </w:tcPr>
          <w:p>
            <w:pPr>
              <w:ind w:left="260"/>
              <w:spacing w:after="0"/>
              <w:rPr>
                <w:sz w:val="20"/>
                <w:szCs w:val="20"/>
                <w:color w:val="auto"/>
              </w:rPr>
            </w:pPr>
            <w:r>
              <w:rPr>
                <w:rFonts w:ascii="Arial" w:cs="Arial" w:eastAsia="Arial" w:hAnsi="Arial"/>
                <w:sz w:val="18"/>
                <w:szCs w:val="18"/>
                <w:b w:val="1"/>
                <w:bCs w:val="1"/>
                <w:color w:val="006880"/>
              </w:rPr>
              <w:t xml:space="preserve">Other Public Boards </w:t>
            </w:r>
            <w:r>
              <w:rPr>
                <w:rFonts w:ascii="Arial" w:cs="Arial" w:eastAsia="Arial" w:hAnsi="Arial"/>
                <w:sz w:val="18"/>
                <w:szCs w:val="18"/>
                <w:color w:val="51555C"/>
              </w:rPr>
              <w:t>None</w:t>
            </w:r>
          </w:p>
        </w:tc>
      </w:tr>
      <w:tr>
        <w:trPr>
          <w:trHeight w:val="239"/>
        </w:trPr>
        <w:tc>
          <w:tcPr>
            <w:tcW w:w="19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51555C"/>
              </w:rPr>
              <w:t>(Chair), Audit</w:t>
            </w:r>
          </w:p>
        </w:tc>
        <w:tc>
          <w:tcPr>
            <w:tcW w:w="5300" w:type="dxa"/>
            <w:vAlign w:val="bottom"/>
          </w:tcPr>
          <w:p>
            <w:pPr>
              <w:spacing w:after="0"/>
              <w:rPr>
                <w:sz w:val="20"/>
                <w:szCs w:val="20"/>
                <w:color w:val="auto"/>
              </w:rPr>
            </w:pPr>
          </w:p>
        </w:tc>
      </w:tr>
      <w:tr>
        <w:trPr>
          <w:trHeight w:val="171"/>
        </w:trPr>
        <w:tc>
          <w:tcPr>
            <w:tcW w:w="1920" w:type="dxa"/>
            <w:vAlign w:val="bottom"/>
            <w:tcBorders>
              <w:bottom w:val="single" w:sz="8" w:color="0CD973"/>
            </w:tcBorders>
          </w:tcPr>
          <w:p>
            <w:pPr>
              <w:spacing w:after="0"/>
              <w:rPr>
                <w:sz w:val="14"/>
                <w:szCs w:val="14"/>
                <w:color w:val="auto"/>
              </w:rPr>
            </w:pPr>
          </w:p>
        </w:tc>
        <w:tc>
          <w:tcPr>
            <w:tcW w:w="4020" w:type="dxa"/>
            <w:vAlign w:val="bottom"/>
            <w:tcBorders>
              <w:bottom w:val="single" w:sz="8" w:color="0CD973"/>
            </w:tcBorders>
          </w:tcPr>
          <w:p>
            <w:pPr>
              <w:spacing w:after="0"/>
              <w:rPr>
                <w:sz w:val="14"/>
                <w:szCs w:val="14"/>
                <w:color w:val="auto"/>
              </w:rPr>
            </w:pPr>
          </w:p>
        </w:tc>
        <w:tc>
          <w:tcPr>
            <w:tcW w:w="5300" w:type="dxa"/>
            <w:vAlign w:val="bottom"/>
            <w:tcBorders>
              <w:bottom w:val="single" w:sz="8" w:color="0CD973"/>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-1182370</wp:posOffset>
            </wp:positionV>
            <wp:extent cx="1062990" cy="11061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62990" cy="110617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111125</wp:posOffset>
            </wp:positionV>
            <wp:extent cx="17145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111125</wp:posOffset>
            </wp:positionV>
            <wp:extent cx="17145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111125</wp:posOffset>
            </wp:positionV>
            <wp:extent cx="171450" cy="162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1450" cy="16256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111125</wp:posOffset>
            </wp:positionV>
            <wp:extent cx="17145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111125</wp:posOffset>
            </wp:positionV>
            <wp:extent cx="17145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111125</wp:posOffset>
            </wp:positionV>
            <wp:extent cx="17145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111125</wp:posOffset>
            </wp:positionV>
            <wp:extent cx="17145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111125</wp:posOffset>
            </wp:positionV>
            <wp:extent cx="17145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111125</wp:posOffset>
            </wp:positionV>
            <wp:extent cx="171450" cy="162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1450" cy="16256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111125</wp:posOffset>
            </wp:positionV>
            <wp:extent cx="17145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111125</wp:posOffset>
            </wp:positionV>
            <wp:extent cx="17145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2"/>
          <w:szCs w:val="12"/>
          <w:color w:val="006880"/>
        </w:rPr>
        <w:t>Leadership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006880"/>
        </w:rPr>
        <w:t>Accounting &amp;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006880"/>
        </w:rPr>
        <w:t>Technology &amp;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tabs>
          <w:tab w:leader="none" w:pos="740" w:val="left"/>
          <w:tab w:leader="none" w:pos="1900" w:val="left"/>
        </w:tabs>
        <w:rPr>
          <w:sz w:val="20"/>
          <w:szCs w:val="20"/>
          <w:color w:val="auto"/>
        </w:rPr>
      </w:pPr>
      <w:r>
        <w:rPr>
          <w:rFonts w:ascii="Arial" w:cs="Arial" w:eastAsia="Arial" w:hAnsi="Arial"/>
          <w:sz w:val="13"/>
          <w:szCs w:val="13"/>
          <w:color w:val="B6B6B6"/>
        </w:rPr>
        <w:t>Nonprofit</w:t>
      </w:r>
      <w:r>
        <w:rPr>
          <w:sz w:val="20"/>
          <w:szCs w:val="20"/>
          <w:color w:val="auto"/>
        </w:rPr>
        <w:tab/>
      </w:r>
      <w:r>
        <w:rPr>
          <w:rFonts w:ascii="Arial" w:cs="Arial" w:eastAsia="Arial" w:hAnsi="Arial"/>
          <w:sz w:val="13"/>
          <w:szCs w:val="13"/>
          <w:color w:val="B6B6B6"/>
        </w:rPr>
        <w:t>Public Company</w:t>
      </w:r>
      <w:r>
        <w:rPr>
          <w:sz w:val="20"/>
          <w:szCs w:val="20"/>
          <w:color w:val="auto"/>
        </w:rPr>
        <w:tab/>
      </w:r>
      <w:r>
        <w:rPr>
          <w:rFonts w:ascii="Arial" w:cs="Arial" w:eastAsia="Arial" w:hAnsi="Arial"/>
          <w:sz w:val="12"/>
          <w:szCs w:val="12"/>
          <w:color w:val="006880"/>
        </w:rPr>
        <w:t>Corporate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tabs>
          <w:tab w:leader="none" w:pos="1660" w:val="left"/>
        </w:tabs>
        <w:rPr>
          <w:sz w:val="20"/>
          <w:szCs w:val="20"/>
          <w:color w:val="auto"/>
        </w:rPr>
      </w:pPr>
      <w:r>
        <w:rPr>
          <w:rFonts w:ascii="Arial" w:cs="Arial" w:eastAsia="Arial" w:hAnsi="Arial"/>
          <w:sz w:val="13"/>
          <w:szCs w:val="13"/>
          <w:color w:val="006880"/>
        </w:rPr>
        <w:t>Business Development &amp;</w:t>
      </w:r>
      <w:r>
        <w:rPr>
          <w:sz w:val="20"/>
          <w:szCs w:val="20"/>
          <w:color w:val="auto"/>
        </w:rPr>
        <w:tab/>
      </w:r>
      <w:r>
        <w:rPr>
          <w:rFonts w:ascii="Arial" w:cs="Arial" w:eastAsia="Arial" w:hAnsi="Arial"/>
          <w:sz w:val="12"/>
          <w:szCs w:val="12"/>
          <w:color w:val="006880"/>
        </w:rPr>
        <w:t>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B6B6B6"/>
        </w:rPr>
        <w:t>ESG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006880"/>
        </w:rPr>
        <w:t>AI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B6B6B6"/>
        </w:rPr>
        <w:t>Cybersecurity</w:t>
      </w:r>
    </w:p>
    <w:p>
      <w:pPr>
        <w:spacing w:after="0" w:line="26" w:lineRule="exact"/>
        <w:rPr>
          <w:sz w:val="20"/>
          <w:szCs w:val="20"/>
          <w:color w:val="auto"/>
        </w:rPr>
      </w:pPr>
    </w:p>
    <w:p>
      <w:pPr>
        <w:sectPr>
          <w:pgSz w:w="11900" w:h="16838" w:orient="portrait"/>
          <w:cols w:equalWidth="0" w:num="8">
            <w:col w:w="800" w:space="260"/>
            <w:col w:w="740" w:space="220"/>
            <w:col w:w="760" w:space="320"/>
            <w:col w:w="2480" w:space="260"/>
            <w:col w:w="2200" w:space="580"/>
            <w:col w:w="320" w:space="720"/>
            <w:col w:w="120" w:space="560"/>
            <w:col w:w="900"/>
          </w:cols>
          <w:pgMar w:left="320" w:top="338" w:right="339" w:bottom="1440" w:gutter="0" w:footer="0" w:header="0"/>
          <w:type w:val="continuous"/>
        </w:sectPr>
      </w:pPr>
    </w:p>
    <w:p>
      <w:pPr>
        <w:spacing w:after="0" w:line="1" w:lineRule="exact"/>
        <w:rPr>
          <w:sz w:val="20"/>
          <w:szCs w:val="20"/>
          <w:color w:val="auto"/>
        </w:rPr>
      </w:pPr>
    </w:p>
    <w:p>
      <w:pPr>
        <w:ind w:left="1200"/>
        <w:spacing w:after="0"/>
        <w:rPr>
          <w:sz w:val="20"/>
          <w:szCs w:val="20"/>
          <w:color w:val="auto"/>
        </w:rPr>
      </w:pPr>
      <w:r>
        <w:rPr>
          <w:rFonts w:ascii="Arial" w:cs="Arial" w:eastAsia="Arial" w:hAnsi="Arial"/>
          <w:sz w:val="12"/>
          <w:szCs w:val="12"/>
          <w:color w:val="006880"/>
        </w:rPr>
        <w:t>Finance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color w:val="006880"/>
        </w:rPr>
        <w:t>Software</w:t>
      </w:r>
    </w:p>
    <w:p>
      <w:pPr>
        <w:spacing w:after="0" w:line="20" w:lineRule="exact"/>
        <w:rPr>
          <w:sz w:val="20"/>
          <w:szCs w:val="20"/>
          <w:color w:val="auto"/>
        </w:rPr>
      </w:pPr>
      <w:r>
        <w:rPr>
          <w:sz w:val="20"/>
          <w:szCs w:val="20"/>
          <w:color w:val="auto"/>
        </w:rPr>
        <w:br w:type="column"/>
      </w:r>
    </w:p>
    <w:p>
      <w:pPr>
        <w:spacing w:after="0"/>
        <w:tabs>
          <w:tab w:leader="none" w:pos="780" w:val="left"/>
          <w:tab w:leader="none" w:pos="1800" w:val="left"/>
        </w:tabs>
        <w:rPr>
          <w:sz w:val="20"/>
          <w:szCs w:val="20"/>
          <w:color w:val="auto"/>
        </w:rPr>
      </w:pPr>
      <w:r>
        <w:rPr>
          <w:rFonts w:ascii="Arial" w:cs="Arial" w:eastAsia="Arial" w:hAnsi="Arial"/>
          <w:sz w:val="13"/>
          <w:szCs w:val="13"/>
          <w:color w:val="B6B6B6"/>
        </w:rPr>
        <w:t>Industry</w:t>
      </w:r>
      <w:r>
        <w:rPr>
          <w:sz w:val="20"/>
          <w:szCs w:val="20"/>
          <w:color w:val="auto"/>
        </w:rPr>
        <w:tab/>
      </w:r>
      <w:r>
        <w:rPr>
          <w:rFonts w:ascii="Arial" w:cs="Arial" w:eastAsia="Arial" w:hAnsi="Arial"/>
          <w:sz w:val="13"/>
          <w:szCs w:val="13"/>
          <w:color w:val="B6B6B6"/>
        </w:rPr>
        <w:t>Board Service</w:t>
      </w:r>
      <w:r>
        <w:rPr>
          <w:sz w:val="20"/>
          <w:szCs w:val="20"/>
          <w:color w:val="auto"/>
        </w:rPr>
        <w:tab/>
      </w:r>
      <w:r>
        <w:rPr>
          <w:rFonts w:ascii="Arial" w:cs="Arial" w:eastAsia="Arial" w:hAnsi="Arial"/>
          <w:sz w:val="12"/>
          <w:szCs w:val="12"/>
          <w:color w:val="006880"/>
        </w:rPr>
        <w:t>Governance</w:t>
      </w:r>
    </w:p>
    <w:p>
      <w:pPr>
        <w:spacing w:after="0" w:line="20" w:lineRule="exact"/>
        <w:rPr>
          <w:sz w:val="20"/>
          <w:szCs w:val="20"/>
          <w:color w:val="auto"/>
        </w:rPr>
      </w:pPr>
      <w:r>
        <w:rPr>
          <w:sz w:val="20"/>
          <w:szCs w:val="20"/>
          <w:color w:val="auto"/>
        </w:rPr>
        <w:br w:type="column"/>
      </w:r>
    </w:p>
    <w:p>
      <w:pPr>
        <w:spacing w:after="0"/>
        <w:tabs>
          <w:tab w:leader="none" w:pos="1580" w:val="left"/>
        </w:tabs>
        <w:rPr>
          <w:sz w:val="20"/>
          <w:szCs w:val="20"/>
          <w:color w:val="auto"/>
        </w:rPr>
      </w:pPr>
      <w:r>
        <w:rPr>
          <w:rFonts w:ascii="Arial" w:cs="Arial" w:eastAsia="Arial" w:hAnsi="Arial"/>
          <w:sz w:val="13"/>
          <w:szCs w:val="13"/>
          <w:color w:val="006880"/>
        </w:rPr>
        <w:t>Corporate Transactions</w:t>
      </w:r>
      <w:r>
        <w:rPr>
          <w:sz w:val="20"/>
          <w:szCs w:val="20"/>
          <w:color w:val="auto"/>
        </w:rPr>
        <w:tab/>
      </w:r>
      <w:r>
        <w:rPr>
          <w:rFonts w:ascii="Arial" w:cs="Arial" w:eastAsia="Arial" w:hAnsi="Arial"/>
          <w:sz w:val="12"/>
          <w:szCs w:val="12"/>
          <w:color w:val="006880"/>
        </w:rPr>
        <w:t>Operations</w:t>
      </w:r>
    </w:p>
    <w:p>
      <w:pPr>
        <w:spacing w:after="0" w:line="1" w:lineRule="exact"/>
        <w:rPr>
          <w:sz w:val="20"/>
          <w:szCs w:val="20"/>
          <w:color w:val="auto"/>
        </w:rPr>
      </w:pPr>
    </w:p>
    <w:p>
      <w:pPr>
        <w:sectPr>
          <w:pgSz w:w="11900" w:h="16838" w:orient="portrait"/>
          <w:cols w:equalWidth="0" w:num="4">
            <w:col w:w="1660" w:space="480"/>
            <w:col w:w="500" w:space="500"/>
            <w:col w:w="2500" w:space="240"/>
            <w:col w:w="5360"/>
          </w:cols>
          <w:pgMar w:left="320" w:top="338" w:right="339" w:bottom="1440" w:gutter="0" w:footer="0" w:header="0"/>
          <w:type w:val="continuous"/>
        </w:sectPr>
      </w:pPr>
    </w:p>
    <w:p>
      <w:pPr>
        <w:ind w:left="2120"/>
        <w:spacing w:after="0"/>
        <w:rPr>
          <w:sz w:val="20"/>
          <w:szCs w:val="20"/>
          <w:color w:val="auto"/>
        </w:rPr>
      </w:pPr>
      <w:r>
        <w:rPr>
          <w:rFonts w:ascii="Arial" w:cs="Arial" w:eastAsia="Arial" w:hAnsi="Arial"/>
          <w:sz w:val="12"/>
          <w:szCs w:val="12"/>
          <w:color w:val="006880"/>
        </w:rPr>
        <w:t>Industries</w:t>
      </w:r>
    </w:p>
    <w:p>
      <w:pPr>
        <w:sectPr>
          <w:pgSz w:w="11900" w:h="16838" w:orient="portrait"/>
          <w:cols w:equalWidth="0" w:num="1">
            <w:col w:w="11240"/>
          </w:cols>
          <w:pgMar w:left="320" w:top="338" w:right="339" w:bottom="1440" w:gutter="0" w:footer="0" w:header="0"/>
          <w:type w:val="continuous"/>
        </w:sect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Biography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Mr. Talvitie joined the Board of Directors in January 2024. He has served as Chief Financial Officer of BetterUp, Inc., the human and AI coaching platform for enterprise workforce performance, since March 2026. He served as Executive Vice President and Chief Financial Officer of PTC, Inc., a global industrial and manufacturing software company, from May 2019 through December 2025, and was previously at PTC from 2008 to 2016 in several roles including Corporate Vice President of Finance and Vice President of Investor Relations and Corporate Communications. Before returning to PTC in 2019, he served as Chief Financial Officer of Syncsort, Inc. (currently Precisely Holdings, LLC), a privately held provider of data integrity SaaS services, from October 2018 through April 2019. Prior to that, he served as Chief Financial Officer of Sovos Compliance, LLC, a global provider of tax, compliance and trust solutions and services, from July 2016 through October 2018. He holds an MS in Management from Boston University and a BA in Psychology from Allegheny College.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Experience, Skills and Qualifications of Particular Relevance to Blackbaud</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Among other experience, qualifications, attributes and skills, Mr. Talvitie’s knowledge and experience in leading and transforming large organizations in the information technology industry, artificial intelligence, accounting and finance and business operations led to the conclusion of our Nominating and Corporate Governance Committee, and of our full Board, that he is well qualified to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226695</wp:posOffset>
            </wp:positionV>
            <wp:extent cx="702945" cy="1117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02945" cy="111760"/>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19</w:t>
            </w:r>
          </w:p>
        </w:tc>
      </w:tr>
      <w:tr>
        <w:trPr>
          <w:trHeight w:val="272"/>
        </w:trPr>
        <w:tc>
          <w:tcPr>
            <w:tcW w:w="1020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21" w:name="page22"/>
    <w:bookmarkEnd w:id="21"/>
    <w:p>
      <w:pPr>
        <w:ind w:left="10160"/>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BOARD OF DIRECTORS AND COMMITTEES</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The Board of Directors currently comprises seven members, namely Chairman Andrew M. Leitch, Vice Chairman Michael P. Gianoni, Deneen M. DeFiore, Rupal S. Hollenbeck, D. Roger Nanney, Bradley L. Pyburn and Kristian P. Talvitie. Yogesh K. Gupta served as a director until his resignation from the Board on September 11, 2025. Ms. Hollenbeck is not a nominee for election at the 2026 Annual Meeting, at which time her term will expire.</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We have historically separated the positions of Chairman, currently independent director Andrew M. Leitch, and Chief Executive Officer (“CEO”), currently Michael P. Gianoni. While the Board of Directors believes the separation of these positions has served our Company well, and intends to maintain this separation where appropriate and practicable, the Board does not believe that it is appropriate to prohibit one person from serving as both Chairman and CEO. We believe our leadership structure is appropriate given the size of our Company in terms of number of employees. Mr. Leitch’s experience on boards of directors and management skills led to the conclusion of our Nominating and Corporate Governance Committee, and that of our full Board, that he is well qualified to serve as Chairman.</w:t>
      </w: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Independence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 xml:space="preserve">The Board of Directors has adopted categorical standards or guidelines to assist it in making independence determinations with respect to each director. These standards are published in Section 1 of our Corporate Governance Guidelines and are available under </w:t>
      </w:r>
      <w:r>
        <w:rPr>
          <w:rFonts w:ascii="Arial" w:cs="Arial" w:eastAsia="Arial" w:hAnsi="Arial"/>
          <w:sz w:val="18"/>
          <w:szCs w:val="18"/>
          <w:i w:val="1"/>
          <w:iCs w:val="1"/>
          <w:color w:val="51555C"/>
        </w:rPr>
        <w:t>Corporate</w:t>
      </w:r>
      <w:r>
        <w:rPr>
          <w:rFonts w:ascii="Arial" w:cs="Arial" w:eastAsia="Arial" w:hAnsi="Arial"/>
          <w:sz w:val="18"/>
          <w:szCs w:val="18"/>
          <w:color w:val="51555C"/>
        </w:rPr>
        <w:t xml:space="preserve"> </w:t>
      </w:r>
      <w:r>
        <w:rPr>
          <w:rFonts w:ascii="Arial" w:cs="Arial" w:eastAsia="Arial" w:hAnsi="Arial"/>
          <w:sz w:val="18"/>
          <w:szCs w:val="18"/>
          <w:i w:val="1"/>
          <w:iCs w:val="1"/>
          <w:color w:val="51555C"/>
        </w:rPr>
        <w:t xml:space="preserve">Governance </w:t>
      </w:r>
      <w:r>
        <w:rPr>
          <w:rFonts w:ascii="Arial" w:cs="Arial" w:eastAsia="Arial" w:hAnsi="Arial"/>
          <w:sz w:val="18"/>
          <w:szCs w:val="18"/>
          <w:color w:val="51555C"/>
        </w:rPr>
        <w:t>in the</w:t>
      </w:r>
      <w:r>
        <w:rPr>
          <w:rFonts w:ascii="Arial" w:cs="Arial" w:eastAsia="Arial" w:hAnsi="Arial"/>
          <w:sz w:val="18"/>
          <w:szCs w:val="18"/>
          <w:i w:val="1"/>
          <w:iCs w:val="1"/>
          <w:color w:val="51555C"/>
        </w:rPr>
        <w:t xml:space="preserve"> Company – Investor Relations </w:t>
      </w:r>
      <w:r>
        <w:rPr>
          <w:rFonts w:ascii="Arial" w:cs="Arial" w:eastAsia="Arial" w:hAnsi="Arial"/>
          <w:sz w:val="18"/>
          <w:szCs w:val="18"/>
          <w:color w:val="51555C"/>
        </w:rPr>
        <w:t>section of our website at</w:t>
      </w:r>
      <w:r>
        <w:rPr>
          <w:rFonts w:ascii="Arial" w:cs="Arial" w:eastAsia="Arial" w:hAnsi="Arial"/>
          <w:sz w:val="18"/>
          <w:szCs w:val="18"/>
          <w:i w:val="1"/>
          <w:iCs w:val="1"/>
          <w:color w:val="51555C"/>
        </w:rPr>
        <w:t xml:space="preserve"> </w:t>
      </w:r>
      <w:r>
        <w:rPr>
          <w:rFonts w:ascii="Arial" w:cs="Arial" w:eastAsia="Arial" w:hAnsi="Arial"/>
          <w:sz w:val="18"/>
          <w:szCs w:val="18"/>
          <w:b w:val="1"/>
          <w:bCs w:val="1"/>
          <w:u w:val="single" w:color="auto"/>
          <w:color w:val="51555C"/>
        </w:rPr>
        <w:t>www.blackbaud.com</w:t>
      </w:r>
      <w:r>
        <w:rPr>
          <w:rFonts w:ascii="Arial" w:cs="Arial" w:eastAsia="Arial" w:hAnsi="Arial"/>
          <w:sz w:val="18"/>
          <w:szCs w:val="18"/>
          <w:color w:val="51555C"/>
        </w:rPr>
        <w:t>. Each of our directors and executive</w:t>
      </w:r>
      <w:r>
        <w:rPr>
          <w:rFonts w:ascii="Arial" w:cs="Arial" w:eastAsia="Arial" w:hAnsi="Arial"/>
          <w:sz w:val="18"/>
          <w:szCs w:val="18"/>
          <w:i w:val="1"/>
          <w:iCs w:val="1"/>
          <w:color w:val="51555C"/>
        </w:rPr>
        <w:t xml:space="preserve"> </w:t>
      </w:r>
      <w:r>
        <w:rPr>
          <w:rFonts w:ascii="Arial" w:cs="Arial" w:eastAsia="Arial" w:hAnsi="Arial"/>
          <w:sz w:val="18"/>
          <w:szCs w:val="18"/>
          <w:color w:val="51555C"/>
        </w:rPr>
        <w:t>officers completes an annual questionnaire to confirm that there are no material relationships or related person transactions between such individuals and the Company other than those previously disclosed to Blackbaud and agrees to notify the Company in the event of any changes to that information. Based on its review of a summary of the answers to the questionnaires, the Board has determined that the following six directors are independent within the meaning of Rule 5605(a)(2) of the Nasdaq Marketplace Rules: Ms. DeFiore, Ms. Hollenbeck, Mr. Leitch, Mr. Nanney, Mr. Pyburn and Mr. Talvitie. The Board also determined that Yogesh K. Gupta, who served on our Board until his resignation on September 11, 2025, was independent. As part of such determination of independence, the Board has affirmatively determined that none of these directors has a relationship with the Company or the Company's management that would interfere with the exercise of independent judgment in carrying out their responsibilities as directors. Mr. Gianoni, our CEO, President and Vice Chairman of the Board, is the only member of management serving as a director.</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Each Board committee is composed entirely of independent directors in accordance with Rule 5605(a)(2) of the Nasdaq Marketplace Rules, the Sarbanes-Oxley Act and Rule 10A-3(b)(1) under the Securities Exchange Act of 1934 (the “Exchange Act”), as applicable. The Board and each committee have the authority to obtain, at the Company's expense, the advice and assistance from independent advisors, experts and others as they may deem necessary, and to the extent they engage any such advisors they consider the independence of such advisors and any conflict of interest that may exist.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51555C"/>
        </w:rPr>
        <w:t>Furthermore, our Compensation Committee consists entirely of independent directors in accordance with Nasdaq Marketplace Rule 5605(d)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51555C"/>
        </w:rPr>
        <w:t>(2)(A). The Board has also determined that each member of the Compensation Committee qualifies as a "non-employee director" under Rule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51555C"/>
        </w:rPr>
        <w:t>16b-3 of the Exchange Act.</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51555C"/>
        </w:rPr>
        <w:t>Director Independence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51555C"/>
        </w:rPr>
        <w:t>(85.7%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196215</wp:posOffset>
            </wp:positionV>
            <wp:extent cx="5966460" cy="17145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646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20</w:t>
      </w:r>
      <w:r>
        <w:rPr>
          <w:sz w:val="20"/>
          <w:szCs w:val="20"/>
          <w:color w:val="auto"/>
        </w:rPr>
        <w:tab/>
      </w:r>
      <w:r>
        <w:rPr>
          <w:sz w:val="1"/>
          <w:szCs w:val="1"/>
          <w:color w:val="auto"/>
        </w:rPr>
        <w:drawing>
          <wp:inline distT="0" distB="0" distL="0" distR="0">
            <wp:extent cx="702945" cy="11176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2945" cy="111760"/>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 xml:space="preserve">We believe in sound corporate governance practices and have adopted formal Corporate Governance Guidelines to enhance our effectiveness. The Board of Directors adopted these Corporate Governance Guidelines in order to ensure that it has the necessary authority and practices in place to review and evaluate our business operations as needed and to make decisions that are independent of our management. The Corporate Governance Guidelines are also intended to align the interests of directors and management with those of our stockholders. The Corporate Governance Guidelines set forth the practices the Board follows, including, but not limited to, Board and Committee composition and selection, director responsibilities and tenure, director access to executive officers and employees, and CEO performance evaluation and succession planning. A copy of our Corporate Governance Guidelines is available under </w:t>
      </w:r>
      <w:r>
        <w:rPr>
          <w:rFonts w:ascii="Arial" w:cs="Arial" w:eastAsia="Arial" w:hAnsi="Arial"/>
          <w:sz w:val="18"/>
          <w:szCs w:val="18"/>
          <w:i w:val="1"/>
          <w:iCs w:val="1"/>
          <w:color w:val="51555C"/>
        </w:rPr>
        <w:t>Corporate Governance</w:t>
      </w:r>
      <w:r>
        <w:rPr>
          <w:rFonts w:ascii="Arial" w:cs="Arial" w:eastAsia="Arial" w:hAnsi="Arial"/>
          <w:sz w:val="18"/>
          <w:szCs w:val="18"/>
          <w:color w:val="51555C"/>
        </w:rPr>
        <w:t xml:space="preserve"> in the </w:t>
      </w:r>
      <w:r>
        <w:rPr>
          <w:rFonts w:ascii="Arial" w:cs="Arial" w:eastAsia="Arial" w:hAnsi="Arial"/>
          <w:sz w:val="18"/>
          <w:szCs w:val="18"/>
          <w:i w:val="1"/>
          <w:iCs w:val="1"/>
          <w:color w:val="51555C"/>
        </w:rPr>
        <w:t>Company – Investor Relations</w:t>
      </w:r>
      <w:r>
        <w:rPr>
          <w:rFonts w:ascii="Arial" w:cs="Arial" w:eastAsia="Arial" w:hAnsi="Arial"/>
          <w:sz w:val="18"/>
          <w:szCs w:val="18"/>
          <w:color w:val="51555C"/>
        </w:rPr>
        <w:t xml:space="preserve"> section of our website at </w:t>
      </w:r>
      <w:r>
        <w:rPr>
          <w:rFonts w:ascii="Arial" w:cs="Arial" w:eastAsia="Arial" w:hAnsi="Arial"/>
          <w:sz w:val="18"/>
          <w:szCs w:val="18"/>
          <w:b w:val="1"/>
          <w:bCs w:val="1"/>
          <w:u w:val="single" w:color="auto"/>
          <w:color w:val="51555C"/>
        </w:rPr>
        <w:t>www.blackbaud.com</w:t>
      </w:r>
      <w:r>
        <w:rPr>
          <w:rFonts w:ascii="Arial" w:cs="Arial" w:eastAsia="Arial" w:hAnsi="Arial"/>
          <w:sz w:val="18"/>
          <w:szCs w:val="18"/>
          <w:color w:val="51555C"/>
        </w:rPr>
        <w:t>.</w:t>
      </w:r>
    </w:p>
    <w:p>
      <w:pPr>
        <w:spacing w:after="0" w:line="39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Code of Business Conduct and Ethics and 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 xml:space="preserve">The Board of Directors has adopted a Code of Business Conduct and Ethics that applies to all of our directors and employees. The Board has also adopted a separate Code of Ethics for our CEO and Senior Financial Officers, including our Chief Financial Officer (“CFO”), who is our principal accounting officer, our Corporate Controller, or persons performing similar functions. We will provide copies of our Code of Business Conduct and Ethics and Code of Ethics without charge upon request. To obtain a copy of our Code of Business Conduct and Ethics or Code of Ethics, please send your written request to Blackbaud, Inc., 65 Fairchild, Charleston, South Carolina 29492, Attn: General Counsel. Our Code of Business Conduct and Ethics and Code of Ethics are also available under </w:t>
      </w:r>
      <w:r>
        <w:rPr>
          <w:rFonts w:ascii="Arial" w:cs="Arial" w:eastAsia="Arial" w:hAnsi="Arial"/>
          <w:sz w:val="18"/>
          <w:szCs w:val="18"/>
          <w:i w:val="1"/>
          <w:iCs w:val="1"/>
          <w:color w:val="51555C"/>
        </w:rPr>
        <w:t>Corporate Governance</w:t>
      </w:r>
      <w:r>
        <w:rPr>
          <w:rFonts w:ascii="Arial" w:cs="Arial" w:eastAsia="Arial" w:hAnsi="Arial"/>
          <w:sz w:val="18"/>
          <w:szCs w:val="18"/>
          <w:color w:val="51555C"/>
        </w:rPr>
        <w:t xml:space="preserve"> in the </w:t>
      </w:r>
      <w:r>
        <w:rPr>
          <w:rFonts w:ascii="Arial" w:cs="Arial" w:eastAsia="Arial" w:hAnsi="Arial"/>
          <w:sz w:val="18"/>
          <w:szCs w:val="18"/>
          <w:i w:val="1"/>
          <w:iCs w:val="1"/>
          <w:color w:val="51555C"/>
        </w:rPr>
        <w:t>Company –</w:t>
      </w:r>
      <w:r>
        <w:rPr>
          <w:rFonts w:ascii="Arial" w:cs="Arial" w:eastAsia="Arial" w:hAnsi="Arial"/>
          <w:sz w:val="18"/>
          <w:szCs w:val="18"/>
          <w:color w:val="51555C"/>
        </w:rPr>
        <w:t xml:space="preserve"> </w:t>
      </w:r>
      <w:r>
        <w:rPr>
          <w:rFonts w:ascii="Arial" w:cs="Arial" w:eastAsia="Arial" w:hAnsi="Arial"/>
          <w:sz w:val="18"/>
          <w:szCs w:val="18"/>
          <w:i w:val="1"/>
          <w:iCs w:val="1"/>
          <w:color w:val="51555C"/>
        </w:rPr>
        <w:t xml:space="preserve">Investor Relations </w:t>
      </w:r>
      <w:r>
        <w:rPr>
          <w:rFonts w:ascii="Arial" w:cs="Arial" w:eastAsia="Arial" w:hAnsi="Arial"/>
          <w:sz w:val="18"/>
          <w:szCs w:val="18"/>
          <w:color w:val="51555C"/>
        </w:rPr>
        <w:t>section of our website at</w:t>
      </w:r>
      <w:r>
        <w:rPr>
          <w:rFonts w:ascii="Arial" w:cs="Arial" w:eastAsia="Arial" w:hAnsi="Arial"/>
          <w:sz w:val="18"/>
          <w:szCs w:val="18"/>
          <w:i w:val="1"/>
          <w:iCs w:val="1"/>
          <w:color w:val="51555C"/>
        </w:rPr>
        <w:t xml:space="preserve"> </w:t>
      </w:r>
      <w:r>
        <w:rPr>
          <w:rFonts w:ascii="Arial" w:cs="Arial" w:eastAsia="Arial" w:hAnsi="Arial"/>
          <w:sz w:val="18"/>
          <w:szCs w:val="18"/>
          <w:b w:val="1"/>
          <w:bCs w:val="1"/>
          <w:u w:val="single" w:color="auto"/>
          <w:color w:val="51555C"/>
        </w:rPr>
        <w:t>www.blackbaud.com</w:t>
      </w:r>
      <w:r>
        <w:rPr>
          <w:rFonts w:ascii="Arial" w:cs="Arial" w:eastAsia="Arial" w:hAnsi="Arial"/>
          <w:sz w:val="18"/>
          <w:szCs w:val="18"/>
          <w:color w:val="51555C"/>
        </w:rPr>
        <w:t>. We intend to disclose any amendment to or waiver of a provision of the</w:t>
      </w:r>
      <w:r>
        <w:rPr>
          <w:rFonts w:ascii="Arial" w:cs="Arial" w:eastAsia="Arial" w:hAnsi="Arial"/>
          <w:sz w:val="18"/>
          <w:szCs w:val="18"/>
          <w:i w:val="1"/>
          <w:iCs w:val="1"/>
          <w:color w:val="51555C"/>
        </w:rPr>
        <w:t xml:space="preserve"> </w:t>
      </w:r>
      <w:r>
        <w:rPr>
          <w:rFonts w:ascii="Arial" w:cs="Arial" w:eastAsia="Arial" w:hAnsi="Arial"/>
          <w:sz w:val="18"/>
          <w:szCs w:val="18"/>
          <w:color w:val="51555C"/>
        </w:rPr>
        <w:t>Code of Business Conduct and Ethics or the Code of Ethics by posting such information on our website.</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Communication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Stockholders who wish to communicate with members of the Board of Directors, including the directors individually or as a group, may send correspondence to them in care of our Corporate Secretary at our principal executive offices. Such communication will be forwarded to the intended recipient(s). We currently do not intend to have our Corporate Secretary screen this correspondence, but we may change this policy if directed by the Board due to the nature or volume of correspondence.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218440</wp:posOffset>
            </wp:positionV>
            <wp:extent cx="702945" cy="1111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21</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3" w:name="page24"/>
    <w:bookmarkEnd w:id="23"/>
    <w:p>
      <w:pPr>
        <w:ind w:left="1016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Information Regarding Meetings of the Board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51555C"/>
        </w:rPr>
        <w:t>During 2025, the Board of Directors held five meetings. Each of our current directors attended at least 75% of the aggregate of all meetings of the Board and of all the committees on which he or she served during 2025.</w:t>
      </w:r>
    </w:p>
    <w:p>
      <w:pPr>
        <w:spacing w:after="0" w:line="9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51555C"/>
        </w:rPr>
        <w:t>The Board has established four standing committees. The following table provides membership and meeting information for each of the committees during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0" w:type="dxa"/>
            <w:vAlign w:val="bottom"/>
            <w:shd w:val="clear" w:color="auto" w:fill="004054"/>
          </w:tcPr>
          <w:p>
            <w:pPr>
              <w:spacing w:after="0"/>
              <w:rPr>
                <w:sz w:val="16"/>
                <w:szCs w:val="16"/>
                <w:color w:val="auto"/>
              </w:rPr>
            </w:pPr>
          </w:p>
        </w:tc>
        <w:tc>
          <w:tcPr>
            <w:tcW w:w="2680" w:type="dxa"/>
            <w:vAlign w:val="bottom"/>
            <w:shd w:val="clear" w:color="auto" w:fill="004054"/>
          </w:tcPr>
          <w:p>
            <w:pPr>
              <w:spacing w:after="0"/>
              <w:rPr>
                <w:sz w:val="16"/>
                <w:szCs w:val="16"/>
                <w:color w:val="auto"/>
              </w:rPr>
            </w:pPr>
          </w:p>
        </w:tc>
        <w:tc>
          <w:tcPr>
            <w:tcW w:w="2040" w:type="dxa"/>
            <w:vAlign w:val="bottom"/>
            <w:shd w:val="clear" w:color="auto" w:fill="004054"/>
          </w:tcPr>
          <w:p>
            <w:pPr>
              <w:spacing w:after="0"/>
              <w:rPr>
                <w:sz w:val="16"/>
                <w:szCs w:val="16"/>
                <w:color w:val="auto"/>
              </w:rPr>
            </w:pPr>
          </w:p>
        </w:tc>
        <w:tc>
          <w:tcPr>
            <w:tcW w:w="2020" w:type="dxa"/>
            <w:vAlign w:val="bottom"/>
            <w:shd w:val="clear" w:color="auto" w:fill="004054"/>
          </w:tcPr>
          <w:p>
            <w:pPr>
              <w:spacing w:after="0"/>
              <w:rPr>
                <w:sz w:val="16"/>
                <w:szCs w:val="16"/>
                <w:color w:val="auto"/>
              </w:rPr>
            </w:pPr>
          </w:p>
        </w:tc>
        <w:tc>
          <w:tcPr>
            <w:tcW w:w="204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Nominating and</w:t>
            </w:r>
          </w:p>
        </w:tc>
        <w:tc>
          <w:tcPr>
            <w:tcW w:w="20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r>
      <w:tr>
        <w:trPr>
          <w:trHeight w:val="162"/>
        </w:trPr>
        <w:tc>
          <w:tcPr>
            <w:tcW w:w="440" w:type="dxa"/>
            <w:vAlign w:val="bottom"/>
            <w:shd w:val="clear" w:color="auto" w:fill="004054"/>
          </w:tcPr>
          <w:p>
            <w:pPr>
              <w:spacing w:after="0"/>
              <w:rPr>
                <w:sz w:val="14"/>
                <w:szCs w:val="14"/>
                <w:color w:val="auto"/>
              </w:rPr>
            </w:pPr>
          </w:p>
        </w:tc>
        <w:tc>
          <w:tcPr>
            <w:tcW w:w="2680" w:type="dxa"/>
            <w:vAlign w:val="bottom"/>
            <w:shd w:val="clear" w:color="auto" w:fill="004054"/>
          </w:tcPr>
          <w:p>
            <w:pPr>
              <w:spacing w:after="0"/>
              <w:rPr>
                <w:sz w:val="14"/>
                <w:szCs w:val="14"/>
                <w:color w:val="auto"/>
              </w:rPr>
            </w:pPr>
          </w:p>
        </w:tc>
        <w:tc>
          <w:tcPr>
            <w:tcW w:w="2040" w:type="dxa"/>
            <w:vAlign w:val="bottom"/>
            <w:shd w:val="clear" w:color="auto" w:fill="004054"/>
          </w:tcPr>
          <w:p>
            <w:pPr>
              <w:ind w:left="840"/>
              <w:spacing w:after="0"/>
              <w:rPr>
                <w:sz w:val="20"/>
                <w:szCs w:val="20"/>
                <w:color w:val="auto"/>
              </w:rPr>
            </w:pPr>
            <w:r>
              <w:rPr>
                <w:rFonts w:ascii="Arial" w:cs="Arial" w:eastAsia="Arial" w:hAnsi="Arial"/>
                <w:sz w:val="14"/>
                <w:szCs w:val="14"/>
                <w:b w:val="1"/>
                <w:bCs w:val="1"/>
                <w:color w:val="FFFFFF"/>
              </w:rPr>
              <w:t>Audit</w:t>
            </w:r>
          </w:p>
        </w:tc>
        <w:tc>
          <w:tcPr>
            <w:tcW w:w="202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Compensation</w:t>
            </w:r>
          </w:p>
        </w:tc>
        <w:tc>
          <w:tcPr>
            <w:tcW w:w="204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Corporate Governance</w:t>
            </w:r>
          </w:p>
        </w:tc>
        <w:tc>
          <w:tcPr>
            <w:tcW w:w="202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Cyber Risk Oversight</w:t>
            </w:r>
          </w:p>
        </w:tc>
        <w:tc>
          <w:tcPr>
            <w:tcW w:w="20" w:type="dxa"/>
            <w:vAlign w:val="bottom"/>
            <w:shd w:val="clear" w:color="auto" w:fill="004054"/>
          </w:tcPr>
          <w:p>
            <w:pPr>
              <w:spacing w:after="0"/>
              <w:rPr>
                <w:sz w:val="14"/>
                <w:szCs w:val="14"/>
                <w:color w:val="auto"/>
              </w:rPr>
            </w:pPr>
          </w:p>
        </w:tc>
      </w:tr>
      <w:tr>
        <w:trPr>
          <w:trHeight w:val="219"/>
        </w:trPr>
        <w:tc>
          <w:tcPr>
            <w:tcW w:w="4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w w:val="99"/>
              </w:rPr>
              <w:t>Name</w:t>
            </w:r>
          </w:p>
        </w:tc>
        <w:tc>
          <w:tcPr>
            <w:tcW w:w="2680" w:type="dxa"/>
            <w:vAlign w:val="bottom"/>
            <w:tcBorders>
              <w:bottom w:val="single" w:sz="8" w:color="004054"/>
            </w:tcBorders>
            <w:shd w:val="clear" w:color="auto" w:fill="004054"/>
          </w:tcPr>
          <w:p>
            <w:pPr>
              <w:spacing w:after="0"/>
              <w:rPr>
                <w:sz w:val="19"/>
                <w:szCs w:val="19"/>
                <w:color w:val="auto"/>
              </w:rPr>
            </w:pPr>
          </w:p>
        </w:tc>
        <w:tc>
          <w:tcPr>
            <w:tcW w:w="2040" w:type="dxa"/>
            <w:vAlign w:val="bottom"/>
            <w:tcBorders>
              <w:bottom w:val="single" w:sz="8" w:color="004054"/>
            </w:tcBorders>
            <w:shd w:val="clear" w:color="auto" w:fill="004054"/>
          </w:tcPr>
          <w:p>
            <w:pPr>
              <w:ind w:left="660"/>
              <w:spacing w:after="0"/>
              <w:rPr>
                <w:sz w:val="20"/>
                <w:szCs w:val="20"/>
                <w:color w:val="auto"/>
              </w:rPr>
            </w:pPr>
            <w:r>
              <w:rPr>
                <w:rFonts w:ascii="Arial" w:cs="Arial" w:eastAsia="Arial" w:hAnsi="Arial"/>
                <w:sz w:val="14"/>
                <w:szCs w:val="14"/>
                <w:b w:val="1"/>
                <w:bCs w:val="1"/>
                <w:color w:val="FFFFFF"/>
              </w:rPr>
              <w:t>Committee</w:t>
            </w:r>
          </w:p>
        </w:tc>
        <w:tc>
          <w:tcPr>
            <w:tcW w:w="202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Committee</w:t>
            </w:r>
          </w:p>
        </w:tc>
        <w:tc>
          <w:tcPr>
            <w:tcW w:w="204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Committee</w:t>
            </w:r>
          </w:p>
        </w:tc>
        <w:tc>
          <w:tcPr>
            <w:tcW w:w="202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Committee</w:t>
            </w:r>
          </w:p>
        </w:tc>
        <w:tc>
          <w:tcPr>
            <w:tcW w:w="20" w:type="dxa"/>
            <w:vAlign w:val="bottom"/>
            <w:tcBorders>
              <w:bottom w:val="single" w:sz="8" w:color="004054"/>
            </w:tcBorders>
            <w:shd w:val="clear" w:color="auto" w:fill="004054"/>
          </w:tcPr>
          <w:p>
            <w:pPr>
              <w:spacing w:after="0"/>
              <w:rPr>
                <w:sz w:val="19"/>
                <w:szCs w:val="19"/>
                <w:color w:val="auto"/>
              </w:rPr>
            </w:pPr>
          </w:p>
        </w:tc>
      </w:tr>
      <w:tr>
        <w:trPr>
          <w:trHeight w:val="351"/>
        </w:trPr>
        <w:tc>
          <w:tcPr>
            <w:tcW w:w="3120" w:type="dxa"/>
            <w:vAlign w:val="bottom"/>
            <w:gridSpan w:val="2"/>
            <w:shd w:val="clear" w:color="auto" w:fill="EBFBFF"/>
          </w:tcPr>
          <w:p>
            <w:pPr>
              <w:ind w:left="20"/>
              <w:spacing w:after="0"/>
              <w:rPr>
                <w:sz w:val="20"/>
                <w:szCs w:val="20"/>
                <w:color w:val="auto"/>
              </w:rPr>
            </w:pPr>
            <w:r>
              <w:rPr>
                <w:rFonts w:ascii="Arial" w:cs="Arial" w:eastAsia="Arial" w:hAnsi="Arial"/>
                <w:sz w:val="18"/>
                <w:szCs w:val="18"/>
                <w:b w:val="1"/>
                <w:bCs w:val="1"/>
                <w:color w:val="51555C"/>
              </w:rPr>
              <w:t>Deneen M. DeFiore</w:t>
            </w:r>
          </w:p>
        </w:tc>
        <w:tc>
          <w:tcPr>
            <w:tcW w:w="2040" w:type="dxa"/>
            <w:vAlign w:val="bottom"/>
            <w:shd w:val="clear" w:color="auto" w:fill="EBFBFF"/>
          </w:tcPr>
          <w:p>
            <w:pPr>
              <w:spacing w:after="0"/>
              <w:rPr>
                <w:sz w:val="24"/>
                <w:szCs w:val="24"/>
                <w:color w:val="auto"/>
              </w:rPr>
            </w:pPr>
          </w:p>
        </w:tc>
        <w:tc>
          <w:tcPr>
            <w:tcW w:w="2020" w:type="dxa"/>
            <w:vAlign w:val="bottom"/>
            <w:shd w:val="clear" w:color="auto" w:fill="EBFBFF"/>
          </w:tcPr>
          <w:p>
            <w:pPr>
              <w:spacing w:after="0"/>
              <w:rPr>
                <w:sz w:val="24"/>
                <w:szCs w:val="24"/>
                <w:color w:val="auto"/>
              </w:rPr>
            </w:pPr>
          </w:p>
        </w:tc>
        <w:tc>
          <w:tcPr>
            <w:tcW w:w="2040" w:type="dxa"/>
            <w:vAlign w:val="bottom"/>
            <w:shd w:val="clear" w:color="auto" w:fill="EBFBFF"/>
          </w:tcPr>
          <w:p>
            <w:pPr>
              <w:spacing w:after="0"/>
              <w:rPr>
                <w:sz w:val="24"/>
                <w:szCs w:val="24"/>
                <w:color w:val="auto"/>
              </w:rPr>
            </w:pPr>
          </w:p>
        </w:tc>
        <w:tc>
          <w:tcPr>
            <w:tcW w:w="2020" w:type="dxa"/>
            <w:vAlign w:val="bottom"/>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w w:val="96"/>
              </w:rPr>
              <w:t>l</w:t>
            </w:r>
          </w:p>
        </w:tc>
        <w:tc>
          <w:tcPr>
            <w:tcW w:w="20" w:type="dxa"/>
            <w:vAlign w:val="bottom"/>
          </w:tcPr>
          <w:p>
            <w:pPr>
              <w:spacing w:after="0"/>
              <w:rPr>
                <w:sz w:val="24"/>
                <w:szCs w:val="24"/>
                <w:color w:val="auto"/>
              </w:rPr>
            </w:pPr>
          </w:p>
        </w:tc>
      </w:tr>
      <w:tr>
        <w:trPr>
          <w:trHeight w:val="316"/>
        </w:trPr>
        <w:tc>
          <w:tcPr>
            <w:tcW w:w="3120" w:type="dxa"/>
            <w:vAlign w:val="bottom"/>
            <w:gridSpan w:val="2"/>
          </w:tcPr>
          <w:p>
            <w:pPr>
              <w:ind w:left="20"/>
              <w:spacing w:after="0"/>
              <w:rPr>
                <w:sz w:val="20"/>
                <w:szCs w:val="20"/>
                <w:color w:val="auto"/>
              </w:rPr>
            </w:pPr>
            <w:r>
              <w:rPr>
                <w:rFonts w:ascii="Arial" w:cs="Arial" w:eastAsia="Arial" w:hAnsi="Arial"/>
                <w:sz w:val="18"/>
                <w:szCs w:val="18"/>
                <w:b w:val="1"/>
                <w:bCs w:val="1"/>
                <w:color w:val="51555C"/>
              </w:rPr>
              <w:t>Michael P. Gianoni</w:t>
            </w:r>
          </w:p>
        </w:tc>
        <w:tc>
          <w:tcPr>
            <w:tcW w:w="2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9"/>
        </w:trPr>
        <w:tc>
          <w:tcPr>
            <w:tcW w:w="3120" w:type="dxa"/>
            <w:vAlign w:val="bottom"/>
            <w:gridSpan w:val="2"/>
            <w:shd w:val="clear" w:color="auto" w:fill="EBFBFF"/>
          </w:tcPr>
          <w:p>
            <w:pPr>
              <w:ind w:left="20"/>
              <w:spacing w:after="0"/>
              <w:rPr>
                <w:sz w:val="20"/>
                <w:szCs w:val="20"/>
                <w:color w:val="auto"/>
              </w:rPr>
            </w:pPr>
            <w:r>
              <w:rPr>
                <w:rFonts w:ascii="Arial" w:cs="Arial" w:eastAsia="Arial" w:hAnsi="Arial"/>
                <w:sz w:val="18"/>
                <w:szCs w:val="18"/>
                <w:b w:val="1"/>
                <w:bCs w:val="1"/>
                <w:color w:val="51555C"/>
              </w:rPr>
              <w:t>Yogesh K. Gupta</w:t>
            </w:r>
            <w:r>
              <w:rPr>
                <w:rFonts w:ascii="Arial" w:cs="Arial" w:eastAsia="Arial" w:hAnsi="Arial"/>
                <w:sz w:val="23"/>
                <w:szCs w:val="23"/>
                <w:b w:val="1"/>
                <w:bCs w:val="1"/>
                <w:color w:val="51555C"/>
                <w:vertAlign w:val="superscript"/>
              </w:rPr>
              <w:t>(1)</w:t>
            </w:r>
          </w:p>
        </w:tc>
        <w:tc>
          <w:tcPr>
            <w:tcW w:w="2040" w:type="dxa"/>
            <w:vAlign w:val="bottom"/>
            <w:shd w:val="clear" w:color="auto" w:fill="EBFBFF"/>
          </w:tcPr>
          <w:p>
            <w:pPr>
              <w:spacing w:after="0"/>
              <w:rPr>
                <w:sz w:val="24"/>
                <w:szCs w:val="24"/>
                <w:color w:val="auto"/>
              </w:rPr>
            </w:pPr>
          </w:p>
        </w:tc>
        <w:tc>
          <w:tcPr>
            <w:tcW w:w="2020" w:type="dxa"/>
            <w:vAlign w:val="bottom"/>
            <w:shd w:val="clear" w:color="auto" w:fill="EBFBFF"/>
          </w:tcPr>
          <w:p>
            <w:pPr>
              <w:jc w:val="center"/>
              <w:spacing w:after="0"/>
              <w:rPr>
                <w:sz w:val="20"/>
                <w:szCs w:val="20"/>
                <w:color w:val="auto"/>
              </w:rPr>
            </w:pPr>
            <w:r>
              <w:rPr>
                <w:rFonts w:ascii="Wingdings" w:cs="Wingdings" w:eastAsia="Wingdings" w:hAnsi="Wingdings"/>
                <w:sz w:val="25"/>
                <w:szCs w:val="25"/>
                <w:b w:val="1"/>
                <w:bCs w:val="1"/>
                <w:color w:val="51555C"/>
              </w:rPr>
              <w:t>l</w:t>
            </w:r>
          </w:p>
        </w:tc>
        <w:tc>
          <w:tcPr>
            <w:tcW w:w="2040" w:type="dxa"/>
            <w:vAlign w:val="bottom"/>
            <w:shd w:val="clear" w:color="auto" w:fill="EBFBFF"/>
          </w:tcPr>
          <w:p>
            <w:pPr>
              <w:spacing w:after="0"/>
              <w:rPr>
                <w:sz w:val="24"/>
                <w:szCs w:val="24"/>
                <w:color w:val="auto"/>
              </w:rPr>
            </w:pPr>
          </w:p>
        </w:tc>
        <w:tc>
          <w:tcPr>
            <w:tcW w:w="202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343"/>
        </w:trPr>
        <w:tc>
          <w:tcPr>
            <w:tcW w:w="3120" w:type="dxa"/>
            <w:vAlign w:val="bottom"/>
            <w:gridSpan w:val="2"/>
          </w:tcPr>
          <w:p>
            <w:pPr>
              <w:ind w:left="20"/>
              <w:spacing w:after="0"/>
              <w:rPr>
                <w:sz w:val="20"/>
                <w:szCs w:val="20"/>
                <w:color w:val="auto"/>
              </w:rPr>
            </w:pPr>
            <w:r>
              <w:rPr>
                <w:rFonts w:ascii="Arial" w:cs="Arial" w:eastAsia="Arial" w:hAnsi="Arial"/>
                <w:sz w:val="18"/>
                <w:szCs w:val="18"/>
                <w:b w:val="1"/>
                <w:bCs w:val="1"/>
                <w:color w:val="51555C"/>
              </w:rPr>
              <w:t>Rupal S. Hollenbeck</w:t>
            </w:r>
          </w:p>
        </w:tc>
        <w:tc>
          <w:tcPr>
            <w:tcW w:w="2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Wingdings" w:cs="Wingdings" w:eastAsia="Wingdings" w:hAnsi="Wingdings"/>
                <w:sz w:val="25"/>
                <w:szCs w:val="25"/>
                <w:b w:val="1"/>
                <w:bCs w:val="1"/>
                <w:color w:val="51555C"/>
              </w:rPr>
              <w:t>l</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3120" w:type="dxa"/>
            <w:vAlign w:val="bottom"/>
            <w:gridSpan w:val="2"/>
            <w:shd w:val="clear" w:color="auto" w:fill="EBFBFF"/>
          </w:tcPr>
          <w:p>
            <w:pPr>
              <w:ind w:left="20"/>
              <w:spacing w:after="0"/>
              <w:rPr>
                <w:sz w:val="20"/>
                <w:szCs w:val="20"/>
                <w:color w:val="auto"/>
              </w:rPr>
            </w:pPr>
            <w:r>
              <w:rPr>
                <w:rFonts w:ascii="Arial" w:cs="Arial" w:eastAsia="Arial" w:hAnsi="Arial"/>
                <w:sz w:val="18"/>
                <w:szCs w:val="18"/>
                <w:b w:val="1"/>
                <w:bCs w:val="1"/>
                <w:color w:val="51555C"/>
              </w:rPr>
              <w:t>Andrew M. Leitch</w:t>
            </w:r>
          </w:p>
        </w:tc>
        <w:tc>
          <w:tcPr>
            <w:tcW w:w="2040" w:type="dxa"/>
            <w:vAlign w:val="bottom"/>
            <w:shd w:val="clear" w:color="auto" w:fill="EBFBFF"/>
          </w:tcPr>
          <w:p>
            <w:pPr>
              <w:ind w:left="940"/>
              <w:spacing w:after="0"/>
              <w:rPr>
                <w:sz w:val="20"/>
                <w:szCs w:val="20"/>
                <w:color w:val="auto"/>
              </w:rPr>
            </w:pPr>
            <w:r>
              <w:rPr>
                <w:rFonts w:ascii="Wingdings" w:cs="Wingdings" w:eastAsia="Wingdings" w:hAnsi="Wingdings"/>
                <w:sz w:val="25"/>
                <w:szCs w:val="25"/>
                <w:b w:val="1"/>
                <w:bCs w:val="1"/>
                <w:color w:val="51555C"/>
              </w:rPr>
              <w:t xml:space="preserve">l </w:t>
            </w:r>
            <w:r>
              <w:rPr>
                <w:rFonts w:ascii="Arial" w:cs="Arial" w:eastAsia="Arial" w:hAnsi="Arial"/>
                <w:sz w:val="17"/>
                <w:szCs w:val="17"/>
                <w:color w:val="51555C"/>
              </w:rPr>
              <w:t>†</w:t>
            </w:r>
          </w:p>
        </w:tc>
        <w:tc>
          <w:tcPr>
            <w:tcW w:w="2020" w:type="dxa"/>
            <w:vAlign w:val="bottom"/>
            <w:shd w:val="clear" w:color="auto" w:fill="EBFBFF"/>
          </w:tcPr>
          <w:p>
            <w:pPr>
              <w:jc w:val="center"/>
              <w:spacing w:after="0"/>
              <w:rPr>
                <w:sz w:val="20"/>
                <w:szCs w:val="20"/>
                <w:color w:val="auto"/>
              </w:rPr>
            </w:pPr>
            <w:r>
              <w:rPr>
                <w:rFonts w:ascii="Wingdings" w:cs="Wingdings" w:eastAsia="Wingdings" w:hAnsi="Wingdings"/>
                <w:sz w:val="25"/>
                <w:szCs w:val="25"/>
                <w:b w:val="1"/>
                <w:bCs w:val="1"/>
                <w:color w:val="51555C"/>
              </w:rPr>
              <w:t>l</w:t>
            </w:r>
          </w:p>
        </w:tc>
        <w:tc>
          <w:tcPr>
            <w:tcW w:w="2040" w:type="dxa"/>
            <w:vAlign w:val="bottom"/>
            <w:shd w:val="clear" w:color="auto" w:fill="EBFBFF"/>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2020" w:type="dxa"/>
            <w:vAlign w:val="bottom"/>
            <w:shd w:val="clear" w:color="auto" w:fill="EBFBFF"/>
          </w:tcPr>
          <w:p>
            <w:pPr>
              <w:jc w:val="center"/>
              <w:spacing w:after="0"/>
              <w:rPr>
                <w:sz w:val="20"/>
                <w:szCs w:val="20"/>
                <w:color w:val="auto"/>
              </w:rPr>
            </w:pPr>
            <w:r>
              <w:rPr>
                <w:rFonts w:ascii="Wingdings" w:cs="Wingdings" w:eastAsia="Wingdings" w:hAnsi="Wingdings"/>
                <w:sz w:val="25"/>
                <w:szCs w:val="25"/>
                <w:b w:val="1"/>
                <w:bCs w:val="1"/>
                <w:color w:val="51555C"/>
                <w:w w:val="96"/>
              </w:rPr>
              <w:t>l</w:t>
            </w:r>
          </w:p>
        </w:tc>
        <w:tc>
          <w:tcPr>
            <w:tcW w:w="20" w:type="dxa"/>
            <w:vAlign w:val="bottom"/>
          </w:tcPr>
          <w:p>
            <w:pPr>
              <w:spacing w:after="0"/>
              <w:rPr>
                <w:sz w:val="24"/>
                <w:szCs w:val="24"/>
                <w:color w:val="auto"/>
              </w:rPr>
            </w:pPr>
          </w:p>
        </w:tc>
      </w:tr>
      <w:tr>
        <w:trPr>
          <w:trHeight w:val="351"/>
        </w:trPr>
        <w:tc>
          <w:tcPr>
            <w:tcW w:w="3120" w:type="dxa"/>
            <w:vAlign w:val="bottom"/>
            <w:gridSpan w:val="2"/>
          </w:tcPr>
          <w:p>
            <w:pPr>
              <w:ind w:left="20"/>
              <w:spacing w:after="0"/>
              <w:rPr>
                <w:sz w:val="20"/>
                <w:szCs w:val="20"/>
                <w:color w:val="auto"/>
              </w:rPr>
            </w:pPr>
            <w:r>
              <w:rPr>
                <w:rFonts w:ascii="Arial" w:cs="Arial" w:eastAsia="Arial" w:hAnsi="Arial"/>
                <w:sz w:val="18"/>
                <w:szCs w:val="18"/>
                <w:b w:val="1"/>
                <w:bCs w:val="1"/>
                <w:color w:val="51555C"/>
              </w:rPr>
              <w:t>D. Roger Nanney</w:t>
            </w:r>
            <w:r>
              <w:rPr>
                <w:rFonts w:ascii="Arial" w:cs="Arial" w:eastAsia="Arial" w:hAnsi="Arial"/>
                <w:sz w:val="23"/>
                <w:szCs w:val="23"/>
                <w:b w:val="1"/>
                <w:bCs w:val="1"/>
                <w:color w:val="51555C"/>
                <w:vertAlign w:val="superscript"/>
              </w:rPr>
              <w:t>(2)</w:t>
            </w:r>
          </w:p>
        </w:tc>
        <w:tc>
          <w:tcPr>
            <w:tcW w:w="2040" w:type="dxa"/>
            <w:vAlign w:val="bottom"/>
          </w:tcPr>
          <w:p>
            <w:pPr>
              <w:ind w:left="940"/>
              <w:spacing w:after="0"/>
              <w:rPr>
                <w:sz w:val="20"/>
                <w:szCs w:val="20"/>
                <w:color w:val="auto"/>
              </w:rPr>
            </w:pPr>
            <w:r>
              <w:rPr>
                <w:rFonts w:ascii="Wingdings" w:cs="Wingdings" w:eastAsia="Wingdings" w:hAnsi="Wingdings"/>
                <w:sz w:val="25"/>
                <w:szCs w:val="25"/>
                <w:b w:val="1"/>
                <w:bCs w:val="1"/>
                <w:color w:val="0CD973"/>
              </w:rPr>
              <w:t xml:space="preserve">l </w:t>
            </w:r>
            <w:r>
              <w:rPr>
                <w:rFonts w:ascii="Arial" w:cs="Arial" w:eastAsia="Arial" w:hAnsi="Arial"/>
                <w:sz w:val="17"/>
                <w:szCs w:val="17"/>
                <w:color w:val="51555C"/>
              </w:rPr>
              <w:t>†</w:t>
            </w:r>
          </w:p>
        </w:tc>
        <w:tc>
          <w:tcPr>
            <w:tcW w:w="20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3120" w:type="dxa"/>
            <w:vAlign w:val="bottom"/>
            <w:gridSpan w:val="2"/>
            <w:shd w:val="clear" w:color="auto" w:fill="EBFBFF"/>
          </w:tcPr>
          <w:p>
            <w:pPr>
              <w:ind w:left="20"/>
              <w:spacing w:after="0"/>
              <w:rPr>
                <w:sz w:val="20"/>
                <w:szCs w:val="20"/>
                <w:color w:val="auto"/>
              </w:rPr>
            </w:pPr>
            <w:r>
              <w:rPr>
                <w:rFonts w:ascii="Arial" w:cs="Arial" w:eastAsia="Arial" w:hAnsi="Arial"/>
                <w:sz w:val="18"/>
                <w:szCs w:val="18"/>
                <w:b w:val="1"/>
                <w:bCs w:val="1"/>
                <w:color w:val="51555C"/>
              </w:rPr>
              <w:t>Bradley L. Pyburn</w:t>
            </w:r>
            <w:r>
              <w:rPr>
                <w:rFonts w:ascii="Arial" w:cs="Arial" w:eastAsia="Arial" w:hAnsi="Arial"/>
                <w:sz w:val="23"/>
                <w:szCs w:val="23"/>
                <w:b w:val="1"/>
                <w:bCs w:val="1"/>
                <w:color w:val="51555C"/>
                <w:vertAlign w:val="superscript"/>
              </w:rPr>
              <w:t>(3)</w:t>
            </w:r>
          </w:p>
        </w:tc>
        <w:tc>
          <w:tcPr>
            <w:tcW w:w="2040" w:type="dxa"/>
            <w:vAlign w:val="bottom"/>
            <w:shd w:val="clear" w:color="auto" w:fill="EBFBFF"/>
          </w:tcPr>
          <w:p>
            <w:pPr>
              <w:spacing w:after="0"/>
              <w:rPr>
                <w:sz w:val="24"/>
                <w:szCs w:val="24"/>
                <w:color w:val="auto"/>
              </w:rPr>
            </w:pPr>
          </w:p>
        </w:tc>
        <w:tc>
          <w:tcPr>
            <w:tcW w:w="2020" w:type="dxa"/>
            <w:vAlign w:val="bottom"/>
            <w:shd w:val="clear" w:color="auto" w:fill="EBFBFF"/>
          </w:tcPr>
          <w:p>
            <w:pPr>
              <w:jc w:val="center"/>
              <w:spacing w:after="0"/>
              <w:rPr>
                <w:sz w:val="20"/>
                <w:szCs w:val="20"/>
                <w:color w:val="auto"/>
              </w:rPr>
            </w:pPr>
            <w:r>
              <w:rPr>
                <w:rFonts w:ascii="Wingdings" w:cs="Wingdings" w:eastAsia="Wingdings" w:hAnsi="Wingdings"/>
                <w:sz w:val="25"/>
                <w:szCs w:val="25"/>
                <w:b w:val="1"/>
                <w:bCs w:val="1"/>
                <w:color w:val="51555C"/>
              </w:rPr>
              <w:t>l</w:t>
            </w:r>
          </w:p>
        </w:tc>
        <w:tc>
          <w:tcPr>
            <w:tcW w:w="2040" w:type="dxa"/>
            <w:vAlign w:val="bottom"/>
            <w:shd w:val="clear" w:color="auto" w:fill="EBFBFF"/>
          </w:tcPr>
          <w:p>
            <w:pPr>
              <w:jc w:val="center"/>
              <w:spacing w:after="0"/>
              <w:rPr>
                <w:sz w:val="20"/>
                <w:szCs w:val="20"/>
                <w:color w:val="auto"/>
              </w:rPr>
            </w:pPr>
            <w:r>
              <w:rPr>
                <w:rFonts w:ascii="Wingdings" w:cs="Wingdings" w:eastAsia="Wingdings" w:hAnsi="Wingdings"/>
                <w:sz w:val="25"/>
                <w:szCs w:val="25"/>
                <w:b w:val="1"/>
                <w:bCs w:val="1"/>
                <w:color w:val="51555C"/>
              </w:rPr>
              <w:t>l</w:t>
            </w:r>
          </w:p>
        </w:tc>
        <w:tc>
          <w:tcPr>
            <w:tcW w:w="2020" w:type="dxa"/>
            <w:vAlign w:val="bottom"/>
            <w:shd w:val="clear" w:color="auto" w:fill="EBFBFF"/>
          </w:tcPr>
          <w:p>
            <w:pPr>
              <w:jc w:val="center"/>
              <w:spacing w:after="0"/>
              <w:rPr>
                <w:sz w:val="20"/>
                <w:szCs w:val="20"/>
                <w:color w:val="auto"/>
              </w:rPr>
            </w:pPr>
            <w:r>
              <w:rPr>
                <w:rFonts w:ascii="Wingdings" w:cs="Wingdings" w:eastAsia="Wingdings" w:hAnsi="Wingdings"/>
                <w:sz w:val="25"/>
                <w:szCs w:val="25"/>
                <w:b w:val="1"/>
                <w:bCs w:val="1"/>
                <w:color w:val="51555C"/>
                <w:w w:val="96"/>
              </w:rPr>
              <w:t>l</w:t>
            </w:r>
          </w:p>
        </w:tc>
        <w:tc>
          <w:tcPr>
            <w:tcW w:w="20" w:type="dxa"/>
            <w:vAlign w:val="bottom"/>
          </w:tcPr>
          <w:p>
            <w:pPr>
              <w:spacing w:after="0"/>
              <w:rPr>
                <w:sz w:val="24"/>
                <w:szCs w:val="24"/>
                <w:color w:val="auto"/>
              </w:rPr>
            </w:pPr>
          </w:p>
        </w:tc>
      </w:tr>
      <w:tr>
        <w:trPr>
          <w:trHeight w:val="351"/>
        </w:trPr>
        <w:tc>
          <w:tcPr>
            <w:tcW w:w="3120" w:type="dxa"/>
            <w:vAlign w:val="bottom"/>
            <w:gridSpan w:val="2"/>
          </w:tcPr>
          <w:p>
            <w:pPr>
              <w:ind w:left="20"/>
              <w:spacing w:after="0"/>
              <w:rPr>
                <w:sz w:val="20"/>
                <w:szCs w:val="20"/>
                <w:color w:val="auto"/>
              </w:rPr>
            </w:pPr>
            <w:r>
              <w:rPr>
                <w:rFonts w:ascii="Arial" w:cs="Arial" w:eastAsia="Arial" w:hAnsi="Arial"/>
                <w:sz w:val="18"/>
                <w:szCs w:val="18"/>
                <w:b w:val="1"/>
                <w:bCs w:val="1"/>
                <w:color w:val="51555C"/>
              </w:rPr>
              <w:t>Kristian P. Talvitie</w:t>
            </w:r>
            <w:r>
              <w:rPr>
                <w:rFonts w:ascii="Arial" w:cs="Arial" w:eastAsia="Arial" w:hAnsi="Arial"/>
                <w:sz w:val="23"/>
                <w:szCs w:val="23"/>
                <w:b w:val="1"/>
                <w:bCs w:val="1"/>
                <w:color w:val="51555C"/>
                <w:vertAlign w:val="superscript"/>
              </w:rPr>
              <w:t>(4)</w:t>
            </w:r>
          </w:p>
        </w:tc>
        <w:tc>
          <w:tcPr>
            <w:tcW w:w="2040" w:type="dxa"/>
            <w:vAlign w:val="bottom"/>
          </w:tcPr>
          <w:p>
            <w:pPr>
              <w:ind w:left="940"/>
              <w:spacing w:after="0"/>
              <w:rPr>
                <w:sz w:val="20"/>
                <w:szCs w:val="20"/>
                <w:color w:val="auto"/>
              </w:rPr>
            </w:pPr>
            <w:r>
              <w:rPr>
                <w:rFonts w:ascii="Wingdings" w:cs="Wingdings" w:eastAsia="Wingdings" w:hAnsi="Wingdings"/>
                <w:sz w:val="25"/>
                <w:szCs w:val="25"/>
                <w:b w:val="1"/>
                <w:bCs w:val="1"/>
                <w:color w:val="51555C"/>
              </w:rPr>
              <w:t xml:space="preserve">l </w:t>
            </w:r>
            <w:r>
              <w:rPr>
                <w:rFonts w:ascii="Arial" w:cs="Arial" w:eastAsia="Arial" w:hAnsi="Arial"/>
                <w:sz w:val="17"/>
                <w:szCs w:val="17"/>
                <w:color w:val="51555C"/>
              </w:rPr>
              <w:t>†</w:t>
            </w:r>
          </w:p>
        </w:tc>
        <w:tc>
          <w:tcPr>
            <w:tcW w:w="2020" w:type="dxa"/>
            <w:vAlign w:val="bottom"/>
          </w:tcPr>
          <w:p>
            <w:pPr>
              <w:jc w:val="center"/>
              <w:spacing w:after="0"/>
              <w:rPr>
                <w:sz w:val="20"/>
                <w:szCs w:val="20"/>
                <w:color w:val="auto"/>
              </w:rPr>
            </w:pPr>
            <w:r>
              <w:rPr>
                <w:rFonts w:ascii="Wingdings" w:cs="Wingdings" w:eastAsia="Wingdings" w:hAnsi="Wingdings"/>
                <w:sz w:val="25"/>
                <w:szCs w:val="25"/>
                <w:b w:val="1"/>
                <w:bCs w:val="1"/>
                <w:color w:val="0CD973"/>
              </w:rPr>
              <w:t>l</w:t>
            </w:r>
          </w:p>
        </w:tc>
        <w:tc>
          <w:tcPr>
            <w:tcW w:w="2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440" w:type="dxa"/>
            <w:vAlign w:val="bottom"/>
            <w:tcBorders>
              <w:bottom w:val="single" w:sz="8" w:color="0CD973"/>
            </w:tcBorders>
            <w:shd w:val="clear" w:color="auto" w:fill="EBFBFF"/>
          </w:tcPr>
          <w:p>
            <w:pPr>
              <w:spacing w:after="0"/>
              <w:rPr>
                <w:sz w:val="24"/>
                <w:szCs w:val="24"/>
                <w:color w:val="auto"/>
              </w:rPr>
            </w:pPr>
          </w:p>
        </w:tc>
        <w:tc>
          <w:tcPr>
            <w:tcW w:w="2680" w:type="dxa"/>
            <w:vAlign w:val="bottom"/>
            <w:tcBorders>
              <w:bottom w:val="single" w:sz="8" w:color="0CD973"/>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2025 Meetings</w:t>
            </w:r>
          </w:p>
        </w:tc>
        <w:tc>
          <w:tcPr>
            <w:tcW w:w="2040" w:type="dxa"/>
            <w:vAlign w:val="bottom"/>
            <w:tcBorders>
              <w:bottom w:val="single" w:sz="8" w:color="0CD973"/>
            </w:tcBorders>
            <w:shd w:val="clear" w:color="auto" w:fill="EBFBFF"/>
          </w:tcPr>
          <w:p>
            <w:pPr>
              <w:ind w:left="940"/>
              <w:spacing w:after="0"/>
              <w:rPr>
                <w:sz w:val="20"/>
                <w:szCs w:val="20"/>
                <w:color w:val="auto"/>
              </w:rPr>
            </w:pPr>
            <w:r>
              <w:rPr>
                <w:rFonts w:ascii="Arial" w:cs="Arial" w:eastAsia="Arial" w:hAnsi="Arial"/>
                <w:sz w:val="18"/>
                <w:szCs w:val="18"/>
                <w:color w:val="51555C"/>
              </w:rPr>
              <w:t>11</w:t>
            </w:r>
          </w:p>
        </w:tc>
        <w:tc>
          <w:tcPr>
            <w:tcW w:w="2020" w:type="dxa"/>
            <w:vAlign w:val="bottom"/>
            <w:tcBorders>
              <w:bottom w:val="single" w:sz="8" w:color="0CD973"/>
            </w:tcBorders>
            <w:shd w:val="clear" w:color="auto" w:fill="EBFBFF"/>
          </w:tcPr>
          <w:p>
            <w:pPr>
              <w:jc w:val="center"/>
              <w:spacing w:after="0"/>
              <w:rPr>
                <w:sz w:val="20"/>
                <w:szCs w:val="20"/>
                <w:color w:val="auto"/>
              </w:rPr>
            </w:pPr>
            <w:r>
              <w:rPr>
                <w:rFonts w:ascii="Arial" w:cs="Arial" w:eastAsia="Arial" w:hAnsi="Arial"/>
                <w:sz w:val="18"/>
                <w:szCs w:val="18"/>
                <w:color w:val="51555C"/>
                <w:w w:val="99"/>
              </w:rPr>
              <w:t>5</w:t>
            </w:r>
          </w:p>
        </w:tc>
        <w:tc>
          <w:tcPr>
            <w:tcW w:w="2040" w:type="dxa"/>
            <w:vAlign w:val="bottom"/>
            <w:tcBorders>
              <w:bottom w:val="single" w:sz="8" w:color="0CD973"/>
            </w:tcBorders>
            <w:shd w:val="clear" w:color="auto" w:fill="EBFBFF"/>
          </w:tcPr>
          <w:p>
            <w:pPr>
              <w:jc w:val="center"/>
              <w:spacing w:after="0"/>
              <w:rPr>
                <w:sz w:val="20"/>
                <w:szCs w:val="20"/>
                <w:color w:val="auto"/>
              </w:rPr>
            </w:pPr>
            <w:r>
              <w:rPr>
                <w:rFonts w:ascii="Arial" w:cs="Arial" w:eastAsia="Arial" w:hAnsi="Arial"/>
                <w:sz w:val="18"/>
                <w:szCs w:val="18"/>
                <w:color w:val="51555C"/>
                <w:w w:val="99"/>
              </w:rPr>
              <w:t>4</w:t>
            </w:r>
          </w:p>
        </w:tc>
        <w:tc>
          <w:tcPr>
            <w:tcW w:w="2020" w:type="dxa"/>
            <w:vAlign w:val="bottom"/>
            <w:tcBorders>
              <w:bottom w:val="single" w:sz="8" w:color="0CD973"/>
            </w:tcBorders>
            <w:shd w:val="clear" w:color="auto" w:fill="EBFBFF"/>
          </w:tcPr>
          <w:p>
            <w:pPr>
              <w:jc w:val="center"/>
              <w:spacing w:after="0"/>
              <w:rPr>
                <w:sz w:val="20"/>
                <w:szCs w:val="20"/>
                <w:color w:val="auto"/>
              </w:rPr>
            </w:pPr>
            <w:r>
              <w:rPr>
                <w:rFonts w:ascii="Arial" w:cs="Arial" w:eastAsia="Arial" w:hAnsi="Arial"/>
                <w:sz w:val="18"/>
                <w:szCs w:val="18"/>
                <w:color w:val="51555C"/>
                <w:w w:val="99"/>
              </w:rPr>
              <w:t>4</w:t>
            </w:r>
          </w:p>
        </w:tc>
        <w:tc>
          <w:tcPr>
            <w:tcW w:w="20" w:type="dxa"/>
            <w:vAlign w:val="bottom"/>
          </w:tcPr>
          <w:p>
            <w:pPr>
              <w:spacing w:after="0"/>
              <w:rPr>
                <w:sz w:val="24"/>
                <w:szCs w:val="24"/>
                <w:color w:val="auto"/>
              </w:rPr>
            </w:pPr>
          </w:p>
        </w:tc>
      </w:tr>
      <w:tr>
        <w:trPr>
          <w:trHeight w:val="409"/>
        </w:trPr>
        <w:tc>
          <w:tcPr>
            <w:tcW w:w="440" w:type="dxa"/>
            <w:vAlign w:val="bottom"/>
          </w:tcPr>
          <w:p>
            <w:pPr>
              <w:jc w:val="right"/>
              <w:spacing w:after="0"/>
              <w:rPr>
                <w:sz w:val="20"/>
                <w:szCs w:val="20"/>
                <w:color w:val="auto"/>
              </w:rPr>
            </w:pPr>
            <w:r>
              <w:rPr>
                <w:rFonts w:ascii="Wingdings" w:cs="Wingdings" w:eastAsia="Wingdings" w:hAnsi="Wingdings"/>
                <w:sz w:val="22"/>
                <w:szCs w:val="22"/>
                <w:b w:val="1"/>
                <w:bCs w:val="1"/>
                <w:color w:val="0CD973"/>
                <w:w w:val="86"/>
              </w:rPr>
              <w:t xml:space="preserve">l </w:t>
            </w:r>
            <w:r>
              <w:rPr>
                <w:rFonts w:ascii="Arial" w:cs="Arial" w:eastAsia="Arial" w:hAnsi="Arial"/>
                <w:sz w:val="17"/>
                <w:szCs w:val="17"/>
                <w:color w:val="51555C"/>
                <w:w w:val="86"/>
              </w:rPr>
              <w:t>-</w:t>
            </w:r>
          </w:p>
        </w:tc>
        <w:tc>
          <w:tcPr>
            <w:tcW w:w="2680" w:type="dxa"/>
            <w:vAlign w:val="bottom"/>
          </w:tcPr>
          <w:p>
            <w:pPr>
              <w:ind w:left="120"/>
              <w:spacing w:after="0"/>
              <w:rPr>
                <w:sz w:val="20"/>
                <w:szCs w:val="20"/>
                <w:color w:val="auto"/>
              </w:rPr>
            </w:pPr>
            <w:r>
              <w:rPr>
                <w:rFonts w:ascii="Arial" w:cs="Arial" w:eastAsia="Arial" w:hAnsi="Arial"/>
                <w:sz w:val="14"/>
                <w:szCs w:val="14"/>
                <w:color w:val="51555C"/>
              </w:rPr>
              <w:t>Committee Chair</w:t>
            </w:r>
          </w:p>
        </w:tc>
        <w:tc>
          <w:tcPr>
            <w:tcW w:w="2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51555C"/>
              </w:rPr>
              <w:t>†  -</w:t>
            </w:r>
          </w:p>
        </w:tc>
        <w:tc>
          <w:tcPr>
            <w:tcW w:w="2680" w:type="dxa"/>
            <w:vAlign w:val="bottom"/>
          </w:tcPr>
          <w:p>
            <w:pPr>
              <w:ind w:left="120"/>
              <w:spacing w:after="0"/>
              <w:rPr>
                <w:sz w:val="20"/>
                <w:szCs w:val="20"/>
                <w:color w:val="auto"/>
              </w:rPr>
            </w:pPr>
            <w:r>
              <w:rPr>
                <w:rFonts w:ascii="Arial" w:cs="Arial" w:eastAsia="Arial" w:hAnsi="Arial"/>
                <w:sz w:val="14"/>
                <w:szCs w:val="14"/>
                <w:color w:val="51555C"/>
              </w:rPr>
              <w:t>Audit Committee Financial Expert</w:t>
            </w:r>
          </w:p>
        </w:tc>
        <w:tc>
          <w:tcPr>
            <w:tcW w:w="2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0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51555C"/>
        </w:rPr>
      </w:pPr>
      <w:r>
        <w:rPr>
          <w:rFonts w:ascii="Arial" w:cs="Arial" w:eastAsia="Arial" w:hAnsi="Arial"/>
          <w:sz w:val="14"/>
          <w:szCs w:val="14"/>
          <w:color w:val="51555C"/>
        </w:rPr>
        <w:t>Mr. Gupta served on the Compensation Committee until his resignation from the Board of Directors effective September 11, 2025.</w:t>
      </w:r>
    </w:p>
    <w:p>
      <w:pPr>
        <w:spacing w:after="0" w:line="41" w:lineRule="exact"/>
        <w:rPr>
          <w:rFonts w:ascii="Arial" w:cs="Arial" w:eastAsia="Arial" w:hAnsi="Arial"/>
          <w:sz w:val="14"/>
          <w:szCs w:val="14"/>
          <w:color w:val="51555C"/>
        </w:rPr>
      </w:pPr>
    </w:p>
    <w:p>
      <w:pPr>
        <w:ind w:left="340" w:hanging="332"/>
        <w:spacing w:after="0"/>
        <w:tabs>
          <w:tab w:leader="none" w:pos="340" w:val="left"/>
        </w:tabs>
        <w:numPr>
          <w:ilvl w:val="0"/>
          <w:numId w:val="17"/>
        </w:numPr>
        <w:rPr>
          <w:rFonts w:ascii="Arial" w:cs="Arial" w:eastAsia="Arial" w:hAnsi="Arial"/>
          <w:sz w:val="14"/>
          <w:szCs w:val="14"/>
          <w:color w:val="51555C"/>
        </w:rPr>
      </w:pPr>
      <w:r>
        <w:rPr>
          <w:rFonts w:ascii="Arial" w:cs="Arial" w:eastAsia="Arial" w:hAnsi="Arial"/>
          <w:sz w:val="14"/>
          <w:szCs w:val="14"/>
          <w:color w:val="51555C"/>
        </w:rPr>
        <w:t>Mr. Nanney was named Chair of the Audit Committee effective June 11, 2025.</w:t>
      </w:r>
    </w:p>
    <w:p>
      <w:pPr>
        <w:spacing w:after="0" w:line="29" w:lineRule="exact"/>
        <w:rPr>
          <w:rFonts w:ascii="Arial" w:cs="Arial" w:eastAsia="Arial" w:hAnsi="Arial"/>
          <w:sz w:val="14"/>
          <w:szCs w:val="14"/>
          <w:color w:val="51555C"/>
        </w:rPr>
      </w:pPr>
    </w:p>
    <w:p>
      <w:pPr>
        <w:ind w:left="340" w:hanging="332"/>
        <w:spacing w:after="0"/>
        <w:tabs>
          <w:tab w:leader="none" w:pos="340" w:val="left"/>
        </w:tabs>
        <w:numPr>
          <w:ilvl w:val="0"/>
          <w:numId w:val="17"/>
        </w:numPr>
        <w:rPr>
          <w:rFonts w:ascii="Arial" w:cs="Arial" w:eastAsia="Arial" w:hAnsi="Arial"/>
          <w:sz w:val="14"/>
          <w:szCs w:val="14"/>
          <w:color w:val="51555C"/>
        </w:rPr>
      </w:pPr>
      <w:r>
        <w:rPr>
          <w:rFonts w:ascii="Arial" w:cs="Arial" w:eastAsia="Arial" w:hAnsi="Arial"/>
          <w:sz w:val="14"/>
          <w:szCs w:val="14"/>
          <w:color w:val="51555C"/>
        </w:rPr>
        <w:t>Mr. Pyburn joined the Nominating and Corporate Governance Committee effective June 11, 2025 and joined the Compensation Committee effective October 13, 2025.</w:t>
      </w:r>
    </w:p>
    <w:p>
      <w:pPr>
        <w:spacing w:after="0" w:line="40" w:lineRule="exact"/>
        <w:rPr>
          <w:rFonts w:ascii="Arial" w:cs="Arial" w:eastAsia="Arial" w:hAnsi="Arial"/>
          <w:sz w:val="14"/>
          <w:szCs w:val="14"/>
          <w:color w:val="51555C"/>
        </w:rPr>
      </w:pPr>
    </w:p>
    <w:p>
      <w:pPr>
        <w:ind w:left="340" w:hanging="332"/>
        <w:spacing w:after="0"/>
        <w:tabs>
          <w:tab w:leader="none" w:pos="340" w:val="left"/>
        </w:tabs>
        <w:numPr>
          <w:ilvl w:val="0"/>
          <w:numId w:val="17"/>
        </w:numPr>
        <w:rPr>
          <w:rFonts w:ascii="Arial" w:cs="Arial" w:eastAsia="Arial" w:hAnsi="Arial"/>
          <w:sz w:val="14"/>
          <w:szCs w:val="14"/>
          <w:color w:val="51555C"/>
        </w:rPr>
      </w:pPr>
      <w:r>
        <w:rPr>
          <w:rFonts w:ascii="Arial" w:cs="Arial" w:eastAsia="Arial" w:hAnsi="Arial"/>
          <w:sz w:val="14"/>
          <w:szCs w:val="14"/>
          <w:color w:val="51555C"/>
        </w:rPr>
        <w:t>Mr. Talvitie was named Chair of the Compensation Committee and stepped down as Chair of the Audit Committee both effective June 11, 2025.</w:t>
      </w:r>
    </w:p>
    <w:p>
      <w:pPr>
        <w:spacing w:after="0" w:line="18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51555C"/>
        </w:rPr>
        <w:t>Although we do not have a formal written policy with respect to directors’ attendance at our annual meetings of stockholders, we strongly encourage all directors to attend. All directors attended our 2025 Annual Meeting of Stockholders. In addition to the meetings held by the above-referenced committees, the independent non-employee members of the Board of Directors regularly meet in executive session without our CEO or any executive officers present. One purpose of these executive sessions is to evaluate the performance of management.</w:t>
      </w:r>
    </w:p>
    <w:p>
      <w:pPr>
        <w:spacing w:after="0" w:line="122"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color w:val="51555C"/>
        </w:rPr>
        <w:t xml:space="preserve">Each of the above-referenced committees operates pursuant to a formal written charter. The charters for each committee, which have been adopted by the Board of Directors, contain a detailed description of the respective committee’s duties and responsibilities and are available under </w:t>
      </w:r>
      <w:r>
        <w:rPr>
          <w:rFonts w:ascii="Arial" w:cs="Arial" w:eastAsia="Arial" w:hAnsi="Arial"/>
          <w:sz w:val="18"/>
          <w:szCs w:val="18"/>
          <w:i w:val="1"/>
          <w:iCs w:val="1"/>
          <w:color w:val="51555C"/>
        </w:rPr>
        <w:t>Corporate Governance</w:t>
      </w:r>
      <w:r>
        <w:rPr>
          <w:rFonts w:ascii="Arial" w:cs="Arial" w:eastAsia="Arial" w:hAnsi="Arial"/>
          <w:sz w:val="18"/>
          <w:szCs w:val="18"/>
          <w:color w:val="51555C"/>
        </w:rPr>
        <w:t xml:space="preserve"> in the </w:t>
      </w:r>
      <w:r>
        <w:rPr>
          <w:rFonts w:ascii="Arial" w:cs="Arial" w:eastAsia="Arial" w:hAnsi="Arial"/>
          <w:sz w:val="18"/>
          <w:szCs w:val="18"/>
          <w:i w:val="1"/>
          <w:iCs w:val="1"/>
          <w:color w:val="51555C"/>
        </w:rPr>
        <w:t>Company – Investor Relations</w:t>
      </w:r>
      <w:r>
        <w:rPr>
          <w:rFonts w:ascii="Arial" w:cs="Arial" w:eastAsia="Arial" w:hAnsi="Arial"/>
          <w:sz w:val="18"/>
          <w:szCs w:val="18"/>
          <w:color w:val="51555C"/>
        </w:rPr>
        <w:t xml:space="preserve"> section of our website at </w:t>
      </w:r>
      <w:r>
        <w:rPr>
          <w:rFonts w:ascii="Arial" w:cs="Arial" w:eastAsia="Arial" w:hAnsi="Arial"/>
          <w:sz w:val="18"/>
          <w:szCs w:val="18"/>
          <w:b w:val="1"/>
          <w:bCs w:val="1"/>
          <w:u w:val="single" w:color="auto"/>
          <w:color w:val="51555C"/>
        </w:rPr>
        <w:t>www.blackbaud.com</w:t>
      </w:r>
      <w:r>
        <w:rPr>
          <w:rFonts w:ascii="Arial" w:cs="Arial" w:eastAsia="Arial" w:hAnsi="Arial"/>
          <w:sz w:val="18"/>
          <w:szCs w:val="18"/>
          <w:color w:val="51555C"/>
        </w:rPr>
        <w:t>.</w:t>
      </w:r>
    </w:p>
    <w:p>
      <w:pPr>
        <w:spacing w:after="0" w:line="3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3660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2366010"/>
                    </a:xfrm>
                    <a:prstGeom prst="rect">
                      <a:avLst/>
                    </a:prstGeom>
                    <a:noFill/>
                  </pic:spPr>
                </pic:pic>
              </a:graphicData>
            </a:graphic>
          </wp:anchor>
        </w:drawing>
      </w:r>
    </w:p>
    <w:p>
      <w:pPr>
        <w:sectPr>
          <w:pgSz w:w="11900" w:h="16838" w:orient="portrait"/>
          <w:cols w:equalWidth="0" w:num="1">
            <w:col w:w="11260"/>
          </w:cols>
          <w:pgMar w:left="320" w:top="338" w:right="319" w:bottom="131" w:gutter="0" w:footer="0" w:header="0"/>
        </w:sectPr>
      </w:pPr>
    </w:p>
    <w:p>
      <w:pPr>
        <w:spacing w:after="0" w:line="121" w:lineRule="exact"/>
        <w:rPr>
          <w:sz w:val="20"/>
          <w:szCs w:val="20"/>
          <w:color w:val="auto"/>
        </w:rPr>
      </w:pPr>
    </w:p>
    <w:p>
      <w:pPr>
        <w:ind w:left="20" w:right="460"/>
        <w:spacing w:after="0" w:line="412" w:lineRule="auto"/>
        <w:rPr>
          <w:sz w:val="20"/>
          <w:szCs w:val="20"/>
          <w:color w:val="auto"/>
        </w:rPr>
      </w:pPr>
      <w:r>
        <w:rPr>
          <w:rFonts w:ascii="Arial" w:cs="Arial" w:eastAsia="Arial" w:hAnsi="Arial"/>
          <w:sz w:val="18"/>
          <w:szCs w:val="18"/>
          <w:b w:val="1"/>
          <w:bCs w:val="1"/>
          <w:color w:val="51555C"/>
        </w:rPr>
        <w:t xml:space="preserve">Committee Members </w:t>
      </w:r>
      <w:r>
        <w:rPr>
          <w:rFonts w:ascii="Arial" w:cs="Arial" w:eastAsia="Arial" w:hAnsi="Arial"/>
          <w:sz w:val="18"/>
          <w:szCs w:val="18"/>
          <w:color w:val="51555C"/>
        </w:rPr>
        <w:t>(all independent)</w:t>
      </w:r>
    </w:p>
    <w:p>
      <w:pPr>
        <w:spacing w:after="0" w:line="259" w:lineRule="exact"/>
        <w:rPr>
          <w:sz w:val="20"/>
          <w:szCs w:val="20"/>
          <w:color w:val="auto"/>
        </w:rPr>
      </w:pPr>
    </w:p>
    <w:p>
      <w:pPr>
        <w:ind w:left="20"/>
        <w:spacing w:after="0" w:line="310" w:lineRule="auto"/>
        <w:rPr>
          <w:sz w:val="20"/>
          <w:szCs w:val="20"/>
          <w:color w:val="auto"/>
        </w:rPr>
      </w:pPr>
      <w:r>
        <w:rPr>
          <w:rFonts w:ascii="Arial" w:cs="Arial" w:eastAsia="Arial" w:hAnsi="Arial"/>
          <w:sz w:val="17"/>
          <w:szCs w:val="17"/>
          <w:color w:val="51555C"/>
        </w:rPr>
        <w:t>D. Roger Nanney† (Chair)</w:t>
      </w:r>
      <w:r>
        <w:rPr>
          <w:rFonts w:ascii="Arial" w:cs="Arial" w:eastAsia="Arial" w:hAnsi="Arial"/>
          <w:sz w:val="22"/>
          <w:szCs w:val="22"/>
          <w:color w:val="51555C"/>
          <w:vertAlign w:val="superscript"/>
        </w:rPr>
        <w:t>(1)</w:t>
      </w:r>
      <w:r>
        <w:rPr>
          <w:rFonts w:ascii="Arial" w:cs="Arial" w:eastAsia="Arial" w:hAnsi="Arial"/>
          <w:sz w:val="17"/>
          <w:szCs w:val="17"/>
          <w:color w:val="51555C"/>
        </w:rPr>
        <w:t xml:space="preserve"> Andrew M. Leitch† Kristian P. Talvitie†</w:t>
      </w:r>
      <w:r>
        <w:rPr>
          <w:rFonts w:ascii="Arial" w:cs="Arial" w:eastAsia="Arial" w:hAnsi="Arial"/>
          <w:sz w:val="22"/>
          <w:szCs w:val="22"/>
          <w:color w:val="51555C"/>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 xml:space="preserve">2025 Meetings: </w:t>
      </w:r>
      <w:r>
        <w:rPr>
          <w:rFonts w:ascii="Arial" w:cs="Arial" w:eastAsia="Arial" w:hAnsi="Arial"/>
          <w:sz w:val="18"/>
          <w:szCs w:val="18"/>
          <w:color w:val="51555C"/>
        </w:rPr>
        <w:t>11</w:t>
      </w:r>
    </w:p>
    <w:p>
      <w:pPr>
        <w:spacing w:after="0" w:line="117" w:lineRule="exact"/>
        <w:rPr>
          <w:sz w:val="20"/>
          <w:szCs w:val="20"/>
          <w:color w:val="auto"/>
        </w:rPr>
      </w:pPr>
    </w:p>
    <w:p>
      <w:pPr>
        <w:jc w:val="both"/>
        <w:ind w:left="220" w:right="740" w:hanging="194"/>
        <w:spacing w:after="0" w:line="350" w:lineRule="auto"/>
        <w:tabs>
          <w:tab w:leader="none" w:pos="170" w:val="left"/>
        </w:tabs>
        <w:numPr>
          <w:ilvl w:val="0"/>
          <w:numId w:val="18"/>
        </w:numPr>
        <w:rPr>
          <w:rFonts w:ascii="Arial" w:cs="Arial" w:eastAsia="Arial" w:hAnsi="Arial"/>
          <w:sz w:val="18"/>
          <w:szCs w:val="18"/>
          <w:color w:val="51555C"/>
        </w:rPr>
      </w:pPr>
      <w:r>
        <w:rPr>
          <w:rFonts w:ascii="Arial" w:cs="Arial" w:eastAsia="Arial" w:hAnsi="Arial"/>
          <w:sz w:val="18"/>
          <w:szCs w:val="18"/>
          <w:color w:val="51555C"/>
        </w:rPr>
        <w:t>Audit Committee Financial Expert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Primary Responsibilities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51555C"/>
        </w:rPr>
        <w:t>Pursuant to its charter, the Committee assists the Board in its oversight of:</w:t>
      </w:r>
    </w:p>
    <w:p>
      <w:pPr>
        <w:ind w:left="260" w:hanging="219"/>
        <w:spacing w:after="0" w:line="213" w:lineRule="auto"/>
        <w:tabs>
          <w:tab w:leader="none" w:pos="260" w:val="left"/>
        </w:tabs>
        <w:numPr>
          <w:ilvl w:val="0"/>
          <w:numId w:val="19"/>
        </w:numPr>
        <w:rPr>
          <w:rFonts w:ascii="Wingdings" w:cs="Wingdings" w:eastAsia="Wingdings" w:hAnsi="Wingdings"/>
          <w:sz w:val="36"/>
          <w:szCs w:val="36"/>
          <w:b w:val="1"/>
          <w:bCs w:val="1"/>
          <w:color w:val="0CD973"/>
          <w:vertAlign w:val="superscript"/>
        </w:rPr>
      </w:pPr>
      <w:r>
        <w:rPr>
          <w:rFonts w:ascii="Arial" w:cs="Arial" w:eastAsia="Arial" w:hAnsi="Arial"/>
          <w:sz w:val="18"/>
          <w:szCs w:val="18"/>
          <w:color w:val="51555C"/>
        </w:rPr>
        <w:t>the integrity of our financial statements;</w:t>
      </w:r>
    </w:p>
    <w:p>
      <w:pPr>
        <w:spacing w:after="0" w:line="104" w:lineRule="exact"/>
        <w:rPr>
          <w:rFonts w:ascii="Wingdings" w:cs="Wingdings" w:eastAsia="Wingdings" w:hAnsi="Wingdings"/>
          <w:sz w:val="36"/>
          <w:szCs w:val="36"/>
          <w:b w:val="1"/>
          <w:bCs w:val="1"/>
          <w:color w:val="0CD973"/>
          <w:vertAlign w:val="superscript"/>
        </w:rPr>
      </w:pPr>
    </w:p>
    <w:p>
      <w:pPr>
        <w:ind w:left="260" w:hanging="219"/>
        <w:spacing w:after="0" w:line="183" w:lineRule="auto"/>
        <w:tabs>
          <w:tab w:leader="none" w:pos="260" w:val="left"/>
        </w:tabs>
        <w:numPr>
          <w:ilvl w:val="0"/>
          <w:numId w:val="19"/>
        </w:numPr>
        <w:rPr>
          <w:rFonts w:ascii="Wingdings" w:cs="Wingdings" w:eastAsia="Wingdings" w:hAnsi="Wingdings"/>
          <w:sz w:val="26"/>
          <w:szCs w:val="26"/>
          <w:b w:val="1"/>
          <w:bCs w:val="1"/>
          <w:color w:val="0CD973"/>
          <w:vertAlign w:val="superscript"/>
        </w:rPr>
      </w:pPr>
      <w:r>
        <w:rPr>
          <w:rFonts w:ascii="Arial" w:cs="Arial" w:eastAsia="Arial" w:hAnsi="Arial"/>
          <w:sz w:val="15"/>
          <w:szCs w:val="15"/>
          <w:color w:val="51555C"/>
        </w:rPr>
        <w:t>the performance of our internal audit function;</w:t>
      </w:r>
    </w:p>
    <w:p>
      <w:pPr>
        <w:spacing w:after="0" w:line="103" w:lineRule="exact"/>
        <w:rPr>
          <w:rFonts w:ascii="Wingdings" w:cs="Wingdings" w:eastAsia="Wingdings" w:hAnsi="Wingdings"/>
          <w:sz w:val="26"/>
          <w:szCs w:val="26"/>
          <w:b w:val="1"/>
          <w:bCs w:val="1"/>
          <w:color w:val="0CD973"/>
          <w:vertAlign w:val="superscript"/>
        </w:rPr>
      </w:pPr>
    </w:p>
    <w:p>
      <w:pPr>
        <w:ind w:left="260" w:right="180" w:hanging="219"/>
        <w:spacing w:after="0" w:line="183" w:lineRule="auto"/>
        <w:tabs>
          <w:tab w:leader="none" w:pos="260" w:val="left"/>
        </w:tabs>
        <w:numPr>
          <w:ilvl w:val="0"/>
          <w:numId w:val="19"/>
        </w:numPr>
        <w:rPr>
          <w:rFonts w:ascii="Wingdings" w:cs="Wingdings" w:eastAsia="Wingdings" w:hAnsi="Wingdings"/>
          <w:sz w:val="34"/>
          <w:szCs w:val="34"/>
          <w:b w:val="1"/>
          <w:bCs w:val="1"/>
          <w:color w:val="0CD973"/>
          <w:vertAlign w:val="superscript"/>
        </w:rPr>
      </w:pPr>
      <w:r>
        <w:rPr>
          <w:rFonts w:ascii="Arial" w:cs="Arial" w:eastAsia="Arial" w:hAnsi="Arial"/>
          <w:sz w:val="17"/>
          <w:szCs w:val="17"/>
          <w:color w:val="51555C"/>
        </w:rPr>
        <w:t>the qualifications, independence and performance of our independent registered public accounting firm, for whose appointment the Committee bears primary responsibility;</w:t>
      </w:r>
    </w:p>
    <w:p>
      <w:pPr>
        <w:ind w:left="260" w:hanging="219"/>
        <w:spacing w:after="0" w:line="194" w:lineRule="auto"/>
        <w:tabs>
          <w:tab w:leader="none" w:pos="260" w:val="left"/>
        </w:tabs>
        <w:numPr>
          <w:ilvl w:val="0"/>
          <w:numId w:val="19"/>
        </w:numPr>
        <w:rPr>
          <w:rFonts w:ascii="Wingdings" w:cs="Wingdings" w:eastAsia="Wingdings" w:hAnsi="Wingdings"/>
          <w:sz w:val="36"/>
          <w:szCs w:val="36"/>
          <w:b w:val="1"/>
          <w:bCs w:val="1"/>
          <w:color w:val="0CD973"/>
          <w:vertAlign w:val="superscript"/>
        </w:rPr>
      </w:pPr>
      <w:r>
        <w:rPr>
          <w:rFonts w:ascii="Arial" w:cs="Arial" w:eastAsia="Arial" w:hAnsi="Arial"/>
          <w:sz w:val="18"/>
          <w:szCs w:val="18"/>
          <w:color w:val="51555C"/>
        </w:rPr>
        <w:t>the review of our annual audited financial statements and quarterly financial statements;</w:t>
      </w:r>
    </w:p>
    <w:p>
      <w:pPr>
        <w:spacing w:after="0" w:line="104" w:lineRule="exact"/>
        <w:rPr>
          <w:rFonts w:ascii="Wingdings" w:cs="Wingdings" w:eastAsia="Wingdings" w:hAnsi="Wingdings"/>
          <w:sz w:val="36"/>
          <w:szCs w:val="36"/>
          <w:b w:val="1"/>
          <w:bCs w:val="1"/>
          <w:color w:val="0CD973"/>
          <w:vertAlign w:val="superscript"/>
        </w:rPr>
      </w:pPr>
    </w:p>
    <w:p>
      <w:pPr>
        <w:ind w:left="260" w:hanging="219"/>
        <w:spacing w:after="0" w:line="183" w:lineRule="auto"/>
        <w:tabs>
          <w:tab w:leader="none" w:pos="260" w:val="left"/>
        </w:tabs>
        <w:numPr>
          <w:ilvl w:val="0"/>
          <w:numId w:val="19"/>
        </w:numPr>
        <w:rPr>
          <w:rFonts w:ascii="Wingdings" w:cs="Wingdings" w:eastAsia="Wingdings" w:hAnsi="Wingdings"/>
          <w:sz w:val="26"/>
          <w:szCs w:val="26"/>
          <w:b w:val="1"/>
          <w:bCs w:val="1"/>
          <w:color w:val="0CD973"/>
          <w:vertAlign w:val="superscript"/>
        </w:rPr>
      </w:pPr>
      <w:r>
        <w:rPr>
          <w:rFonts w:ascii="Arial" w:cs="Arial" w:eastAsia="Arial" w:hAnsi="Arial"/>
          <w:sz w:val="15"/>
          <w:szCs w:val="15"/>
          <w:color w:val="51555C"/>
        </w:rPr>
        <w:t>the review of our capital management;</w:t>
      </w:r>
    </w:p>
    <w:p>
      <w:pPr>
        <w:spacing w:after="0" w:line="103" w:lineRule="exact"/>
        <w:rPr>
          <w:rFonts w:ascii="Wingdings" w:cs="Wingdings" w:eastAsia="Wingdings" w:hAnsi="Wingdings"/>
          <w:sz w:val="26"/>
          <w:szCs w:val="26"/>
          <w:b w:val="1"/>
          <w:bCs w:val="1"/>
          <w:color w:val="0CD973"/>
          <w:vertAlign w:val="superscript"/>
        </w:rPr>
      </w:pPr>
    </w:p>
    <w:p>
      <w:pPr>
        <w:ind w:left="260" w:right="500" w:hanging="219"/>
        <w:spacing w:after="0" w:line="183" w:lineRule="auto"/>
        <w:tabs>
          <w:tab w:leader="none" w:pos="260" w:val="left"/>
        </w:tabs>
        <w:numPr>
          <w:ilvl w:val="0"/>
          <w:numId w:val="19"/>
        </w:numPr>
        <w:rPr>
          <w:rFonts w:ascii="Wingdings" w:cs="Wingdings" w:eastAsia="Wingdings" w:hAnsi="Wingdings"/>
          <w:sz w:val="34"/>
          <w:szCs w:val="34"/>
          <w:b w:val="1"/>
          <w:bCs w:val="1"/>
          <w:color w:val="0CD973"/>
          <w:vertAlign w:val="superscript"/>
        </w:rPr>
      </w:pPr>
      <w:r>
        <w:rPr>
          <w:rFonts w:ascii="Arial" w:cs="Arial" w:eastAsia="Arial" w:hAnsi="Arial"/>
          <w:sz w:val="17"/>
          <w:szCs w:val="17"/>
          <w:color w:val="51555C"/>
        </w:rPr>
        <w:t>the review of our public disclosures related to earnings, guidance, cybersecurity incidents and other matters as appropriate;</w:t>
      </w:r>
    </w:p>
    <w:p>
      <w:pPr>
        <w:ind w:left="260" w:hanging="219"/>
        <w:spacing w:after="0" w:line="218" w:lineRule="auto"/>
        <w:tabs>
          <w:tab w:leader="none" w:pos="260" w:val="left"/>
        </w:tabs>
        <w:numPr>
          <w:ilvl w:val="0"/>
          <w:numId w:val="19"/>
        </w:numPr>
        <w:rPr>
          <w:rFonts w:ascii="Wingdings" w:cs="Wingdings" w:eastAsia="Wingdings" w:hAnsi="Wingdings"/>
          <w:sz w:val="36"/>
          <w:szCs w:val="36"/>
          <w:b w:val="1"/>
          <w:bCs w:val="1"/>
          <w:color w:val="0CD973"/>
          <w:vertAlign w:val="superscript"/>
        </w:rPr>
      </w:pPr>
      <w:r>
        <w:rPr>
          <w:rFonts w:ascii="Arial" w:cs="Arial" w:eastAsia="Arial" w:hAnsi="Arial"/>
          <w:sz w:val="18"/>
          <w:szCs w:val="18"/>
          <w:color w:val="51555C"/>
        </w:rPr>
        <w:t>the review of our enterprise risk management program; and</w:t>
      </w:r>
    </w:p>
    <w:p>
      <w:pPr>
        <w:spacing w:after="0" w:line="104" w:lineRule="exact"/>
        <w:rPr>
          <w:rFonts w:ascii="Wingdings" w:cs="Wingdings" w:eastAsia="Wingdings" w:hAnsi="Wingdings"/>
          <w:sz w:val="36"/>
          <w:szCs w:val="36"/>
          <w:b w:val="1"/>
          <w:bCs w:val="1"/>
          <w:color w:val="0CD973"/>
          <w:vertAlign w:val="superscript"/>
        </w:rPr>
      </w:pPr>
    </w:p>
    <w:p>
      <w:pPr>
        <w:ind w:left="260" w:hanging="219"/>
        <w:spacing w:after="0" w:line="183" w:lineRule="auto"/>
        <w:tabs>
          <w:tab w:leader="none" w:pos="260" w:val="left"/>
        </w:tabs>
        <w:numPr>
          <w:ilvl w:val="0"/>
          <w:numId w:val="19"/>
        </w:numPr>
        <w:rPr>
          <w:rFonts w:ascii="Wingdings" w:cs="Wingdings" w:eastAsia="Wingdings" w:hAnsi="Wingdings"/>
          <w:sz w:val="26"/>
          <w:szCs w:val="26"/>
          <w:b w:val="1"/>
          <w:bCs w:val="1"/>
          <w:color w:val="0CD973"/>
          <w:vertAlign w:val="superscript"/>
        </w:rPr>
      </w:pPr>
      <w:r>
        <w:rPr>
          <w:rFonts w:ascii="Arial" w:cs="Arial" w:eastAsia="Arial" w:hAnsi="Arial"/>
          <w:sz w:val="15"/>
          <w:szCs w:val="15"/>
          <w:color w:val="51555C"/>
        </w:rPr>
        <w:t>the review of our compliance with certain financial, regulatory and legal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15240</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0" w:lineRule="exact"/>
        <w:rPr>
          <w:sz w:val="20"/>
          <w:szCs w:val="20"/>
          <w:color w:val="auto"/>
        </w:rPr>
      </w:pPr>
    </w:p>
    <w:p>
      <w:pPr>
        <w:sectPr>
          <w:pgSz w:w="11900" w:h="16838" w:orient="portrait"/>
          <w:cols w:equalWidth="0" w:num="2">
            <w:col w:w="2260" w:space="340"/>
            <w:col w:w="8660"/>
          </w:cols>
          <w:pgMar w:left="320" w:top="338" w:right="319" w:bottom="131" w:gutter="0" w:footer="0" w:header="0"/>
          <w:type w:val="continuous"/>
        </w:sectPr>
      </w:pPr>
    </w:p>
    <w:p>
      <w:pPr>
        <w:ind w:left="340" w:hanging="332"/>
        <w:spacing w:after="0"/>
        <w:tabs>
          <w:tab w:leader="none" w:pos="340" w:val="left"/>
        </w:tabs>
        <w:numPr>
          <w:ilvl w:val="0"/>
          <w:numId w:val="20"/>
        </w:numPr>
        <w:rPr>
          <w:rFonts w:ascii="Arial" w:cs="Arial" w:eastAsia="Arial" w:hAnsi="Arial"/>
          <w:sz w:val="14"/>
          <w:szCs w:val="14"/>
          <w:color w:val="51555C"/>
        </w:rPr>
      </w:pPr>
      <w:r>
        <w:rPr>
          <w:rFonts w:ascii="Arial" w:cs="Arial" w:eastAsia="Arial" w:hAnsi="Arial"/>
          <w:sz w:val="14"/>
          <w:szCs w:val="14"/>
          <w:color w:val="51555C"/>
        </w:rPr>
        <w:t>Mr. Nanney was named Chair of the Audit Committee effective June 11, 2025.</w:t>
      </w:r>
    </w:p>
    <w:p>
      <w:pPr>
        <w:spacing w:after="0" w:line="15" w:lineRule="exact"/>
        <w:rPr>
          <w:rFonts w:ascii="Arial" w:cs="Arial" w:eastAsia="Arial" w:hAnsi="Arial"/>
          <w:sz w:val="14"/>
          <w:szCs w:val="14"/>
          <w:color w:val="51555C"/>
        </w:rPr>
      </w:pPr>
    </w:p>
    <w:p>
      <w:pPr>
        <w:ind w:left="340" w:hanging="332"/>
        <w:spacing w:after="0"/>
        <w:tabs>
          <w:tab w:leader="none" w:pos="340" w:val="left"/>
        </w:tabs>
        <w:numPr>
          <w:ilvl w:val="0"/>
          <w:numId w:val="20"/>
        </w:numPr>
        <w:rPr>
          <w:rFonts w:ascii="Arial" w:cs="Arial" w:eastAsia="Arial" w:hAnsi="Arial"/>
          <w:sz w:val="14"/>
          <w:szCs w:val="14"/>
          <w:color w:val="51555C"/>
        </w:rPr>
      </w:pPr>
      <w:r>
        <w:rPr>
          <w:rFonts w:ascii="Arial" w:cs="Arial" w:eastAsia="Arial" w:hAnsi="Arial"/>
          <w:sz w:val="14"/>
          <w:szCs w:val="14"/>
          <w:color w:val="51555C"/>
        </w:rPr>
        <w:t>Mr. Talvitie stepped down as Chair of the Audit Committee effective June 11, 2025.</w:t>
      </w:r>
    </w:p>
    <w:p>
      <w:pPr>
        <w:spacing w:after="0" w:line="376"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22</w:t>
      </w:r>
      <w:r>
        <w:rPr>
          <w:sz w:val="20"/>
          <w:szCs w:val="20"/>
          <w:color w:val="auto"/>
        </w:rPr>
        <w:tab/>
      </w:r>
      <w:r>
        <w:rPr>
          <w:sz w:val="1"/>
          <w:szCs w:val="1"/>
          <w:color w:val="auto"/>
        </w:rPr>
        <w:drawing>
          <wp:inline distT="0" distB="0" distL="0" distR="0">
            <wp:extent cx="702945" cy="11112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8" w:right="319" w:bottom="131" w:gutter="0" w:footer="0" w:header="0"/>
          <w:type w:val="continuous"/>
        </w:sectPr>
      </w:pPr>
    </w:p>
    <w:bookmarkStart w:id="24" w:name="page25"/>
    <w:bookmarkEnd w:id="24"/>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Additionally, the Audit Committee regularly coordinates with the Cyber Risk Oversight Committee to review and evaluate any matter arising out of the Cyber Risk Oversight Committee that could impact financial reporting.</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The Audit Committee was established in accordance with Section 3(a)(58)(A) of the Exchange Act. For more information regarding the duties and operations of the Audit Committee, see “Audit Committee Report” on page 79 of this Proxy Statement.</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54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2545715"/>
                    </a:xfrm>
                    <a:prstGeom prst="rect">
                      <a:avLst/>
                    </a:prstGeom>
                    <a:noFill/>
                  </pic:spPr>
                </pic:pic>
              </a:graphicData>
            </a:graphic>
          </wp:anchor>
        </w:drawing>
      </w:r>
    </w:p>
    <w:p>
      <w:pPr>
        <w:spacing w:after="0" w:line="101" w:lineRule="exact"/>
        <w:rPr>
          <w:sz w:val="20"/>
          <w:szCs w:val="20"/>
          <w:color w:val="auto"/>
        </w:rPr>
      </w:pPr>
    </w:p>
    <w:p>
      <w:pPr>
        <w:ind w:left="20"/>
        <w:spacing w:after="0"/>
        <w:tabs>
          <w:tab w:leader="none" w:pos="2480" w:val="left"/>
        </w:tabs>
        <w:rPr>
          <w:sz w:val="20"/>
          <w:szCs w:val="20"/>
          <w:color w:val="auto"/>
        </w:rPr>
      </w:pPr>
      <w:r>
        <w:rPr>
          <w:rFonts w:ascii="Arial" w:cs="Arial" w:eastAsia="Arial" w:hAnsi="Arial"/>
          <w:sz w:val="18"/>
          <w:szCs w:val="18"/>
          <w:b w:val="1"/>
          <w:bCs w:val="1"/>
          <w:color w:val="51555C"/>
        </w:rPr>
        <w:t>Committee Members</w:t>
      </w:r>
      <w:r>
        <w:rPr>
          <w:sz w:val="20"/>
          <w:szCs w:val="20"/>
          <w:color w:val="auto"/>
        </w:rPr>
        <w:tab/>
      </w:r>
      <w:r>
        <w:rPr>
          <w:rFonts w:ascii="Arial" w:cs="Arial" w:eastAsia="Arial" w:hAnsi="Arial"/>
          <w:sz w:val="17"/>
          <w:szCs w:val="17"/>
          <w:b w:val="1"/>
          <w:bCs w:val="1"/>
          <w:color w:val="51555C"/>
        </w:rPr>
        <w:t>Primary Responsibilities</w:t>
      </w:r>
    </w:p>
    <w:p>
      <w:pPr>
        <w:sectPr>
          <w:pgSz w:w="11900" w:h="16838" w:orient="portrait"/>
          <w:cols w:equalWidth="0" w:num="1">
            <w:col w:w="11240"/>
          </w:cols>
          <w:pgMar w:left="320" w:top="338" w:right="339" w:bottom="393" w:gutter="0" w:footer="0" w:header="0"/>
        </w:sectPr>
      </w:pP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(all independent)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line="279" w:lineRule="auto"/>
        <w:rPr>
          <w:sz w:val="20"/>
          <w:szCs w:val="20"/>
          <w:color w:val="auto"/>
        </w:rPr>
      </w:pPr>
      <w:r>
        <w:rPr>
          <w:rFonts w:ascii="Arial" w:cs="Arial" w:eastAsia="Arial" w:hAnsi="Arial"/>
          <w:sz w:val="18"/>
          <w:szCs w:val="18"/>
          <w:color w:val="51555C"/>
        </w:rPr>
        <w:t>Kristian P. Talvitie (Chair)</w:t>
      </w:r>
      <w:r>
        <w:rPr>
          <w:rFonts w:ascii="Arial" w:cs="Arial" w:eastAsia="Arial" w:hAnsi="Arial"/>
          <w:sz w:val="23"/>
          <w:szCs w:val="23"/>
          <w:color w:val="51555C"/>
          <w:vertAlign w:val="superscript"/>
        </w:rPr>
        <w:t>(1)</w:t>
      </w:r>
      <w:r>
        <w:rPr>
          <w:rFonts w:ascii="Arial" w:cs="Arial" w:eastAsia="Arial" w:hAnsi="Arial"/>
          <w:sz w:val="18"/>
          <w:szCs w:val="18"/>
          <w:color w:val="51555C"/>
        </w:rPr>
        <w:t xml:space="preserve"> Yogesh K. Gupta</w:t>
      </w:r>
      <w:r>
        <w:rPr>
          <w:rFonts w:ascii="Arial" w:cs="Arial" w:eastAsia="Arial" w:hAnsi="Arial"/>
          <w:sz w:val="23"/>
          <w:szCs w:val="23"/>
          <w:color w:val="51555C"/>
          <w:vertAlign w:val="superscript"/>
        </w:rPr>
        <w:t>(2)</w:t>
      </w:r>
      <w:r>
        <w:rPr>
          <w:rFonts w:ascii="Arial" w:cs="Arial" w:eastAsia="Arial" w:hAnsi="Arial"/>
          <w:sz w:val="18"/>
          <w:szCs w:val="18"/>
          <w:color w:val="51555C"/>
        </w:rPr>
        <w:t xml:space="preserve"> Andrew M. Leitch Bradley L. Pyburn</w:t>
      </w:r>
      <w:r>
        <w:rPr>
          <w:rFonts w:ascii="Arial" w:cs="Arial" w:eastAsia="Arial" w:hAnsi="Arial"/>
          <w:sz w:val="23"/>
          <w:szCs w:val="23"/>
          <w:color w:val="51555C"/>
          <w:vertAlign w:val="superscript"/>
        </w:rPr>
        <w:t>(3)</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 xml:space="preserve">2025 Meetings: </w:t>
      </w:r>
      <w:r>
        <w:rPr>
          <w:rFonts w:ascii="Arial" w:cs="Arial" w:eastAsia="Arial" w:hAnsi="Arial"/>
          <w:sz w:val="18"/>
          <w:szCs w:val="18"/>
          <w:color w:val="51555C"/>
        </w:rPr>
        <w:t>5</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51555C"/>
        </w:rPr>
        <w:t>Pursuant to its charter, the Committee:</w:t>
      </w:r>
    </w:p>
    <w:p>
      <w:pPr>
        <w:spacing w:after="0" w:line="117" w:lineRule="exact"/>
        <w:rPr>
          <w:sz w:val="20"/>
          <w:szCs w:val="20"/>
          <w:color w:val="auto"/>
        </w:rPr>
      </w:pPr>
    </w:p>
    <w:p>
      <w:pPr>
        <w:ind w:left="260" w:right="20" w:hanging="214"/>
        <w:spacing w:after="0" w:line="183" w:lineRule="auto"/>
        <w:tabs>
          <w:tab w:leader="none" w:pos="260" w:val="left"/>
        </w:tabs>
        <w:numPr>
          <w:ilvl w:val="0"/>
          <w:numId w:val="21"/>
        </w:numPr>
        <w:rPr>
          <w:rFonts w:ascii="Wingdings" w:cs="Wingdings" w:eastAsia="Wingdings" w:hAnsi="Wingdings"/>
          <w:sz w:val="35"/>
          <w:szCs w:val="35"/>
          <w:b w:val="1"/>
          <w:bCs w:val="1"/>
          <w:color w:val="0CD973"/>
          <w:vertAlign w:val="superscript"/>
        </w:rPr>
      </w:pPr>
      <w:r>
        <w:rPr>
          <w:rFonts w:ascii="Arial" w:cs="Arial" w:eastAsia="Arial" w:hAnsi="Arial"/>
          <w:sz w:val="18"/>
          <w:szCs w:val="18"/>
          <w:color w:val="51555C"/>
        </w:rPr>
        <w:t>reviews and approves all compensation decisions relating to our executive officers, including approving the compensation decisions for the CEO;</w:t>
      </w:r>
    </w:p>
    <w:p>
      <w:pPr>
        <w:spacing w:after="0" w:line="85" w:lineRule="exact"/>
        <w:rPr>
          <w:rFonts w:ascii="Wingdings" w:cs="Wingdings" w:eastAsia="Wingdings" w:hAnsi="Wingdings"/>
          <w:sz w:val="35"/>
          <w:szCs w:val="35"/>
          <w:b w:val="1"/>
          <w:bCs w:val="1"/>
          <w:color w:val="0CD973"/>
          <w:vertAlign w:val="superscript"/>
        </w:rPr>
      </w:pPr>
    </w:p>
    <w:p>
      <w:pPr>
        <w:ind w:left="260" w:right="20" w:hanging="214"/>
        <w:spacing w:after="0" w:line="183" w:lineRule="auto"/>
        <w:tabs>
          <w:tab w:leader="none" w:pos="260" w:val="left"/>
        </w:tabs>
        <w:numPr>
          <w:ilvl w:val="0"/>
          <w:numId w:val="21"/>
        </w:numPr>
        <w:rPr>
          <w:rFonts w:ascii="Wingdings" w:cs="Wingdings" w:eastAsia="Wingdings" w:hAnsi="Wingdings"/>
          <w:sz w:val="35"/>
          <w:szCs w:val="35"/>
          <w:b w:val="1"/>
          <w:bCs w:val="1"/>
          <w:color w:val="0CD973"/>
          <w:vertAlign w:val="superscript"/>
        </w:rPr>
      </w:pPr>
      <w:r>
        <w:rPr>
          <w:rFonts w:ascii="Arial" w:cs="Arial" w:eastAsia="Arial" w:hAnsi="Arial"/>
          <w:sz w:val="18"/>
          <w:szCs w:val="18"/>
          <w:color w:val="51555C"/>
        </w:rPr>
        <w:t>annually reviews and approves the compensation of our non-employee members of the Board of Directors;</w:t>
      </w:r>
    </w:p>
    <w:p>
      <w:pPr>
        <w:spacing w:after="0" w:line="85" w:lineRule="exact"/>
        <w:rPr>
          <w:rFonts w:ascii="Wingdings" w:cs="Wingdings" w:eastAsia="Wingdings" w:hAnsi="Wingdings"/>
          <w:sz w:val="35"/>
          <w:szCs w:val="35"/>
          <w:b w:val="1"/>
          <w:bCs w:val="1"/>
          <w:color w:val="0CD973"/>
          <w:vertAlign w:val="superscript"/>
        </w:rPr>
      </w:pPr>
    </w:p>
    <w:p>
      <w:pPr>
        <w:ind w:left="260" w:right="20" w:hanging="214"/>
        <w:spacing w:after="0" w:line="183" w:lineRule="auto"/>
        <w:tabs>
          <w:tab w:leader="none" w:pos="260" w:val="left"/>
        </w:tabs>
        <w:numPr>
          <w:ilvl w:val="0"/>
          <w:numId w:val="21"/>
        </w:numPr>
        <w:rPr>
          <w:rFonts w:ascii="Wingdings" w:cs="Wingdings" w:eastAsia="Wingdings" w:hAnsi="Wingdings"/>
          <w:sz w:val="35"/>
          <w:szCs w:val="35"/>
          <w:b w:val="1"/>
          <w:bCs w:val="1"/>
          <w:color w:val="0CD973"/>
          <w:vertAlign w:val="superscript"/>
        </w:rPr>
      </w:pPr>
      <w:r>
        <w:rPr>
          <w:rFonts w:ascii="Arial" w:cs="Arial" w:eastAsia="Arial" w:hAnsi="Arial"/>
          <w:sz w:val="18"/>
          <w:szCs w:val="18"/>
          <w:color w:val="51555C"/>
        </w:rPr>
        <w:t>periodically reviews and makes recommendations to the Board of Directors with respect to incentive compensation plans and equity-based plans;</w:t>
      </w:r>
    </w:p>
    <w:p>
      <w:pPr>
        <w:spacing w:after="0" w:line="85" w:lineRule="exact"/>
        <w:rPr>
          <w:rFonts w:ascii="Wingdings" w:cs="Wingdings" w:eastAsia="Wingdings" w:hAnsi="Wingdings"/>
          <w:sz w:val="35"/>
          <w:szCs w:val="35"/>
          <w:b w:val="1"/>
          <w:bCs w:val="1"/>
          <w:color w:val="0CD973"/>
          <w:vertAlign w:val="superscript"/>
        </w:rPr>
      </w:pPr>
    </w:p>
    <w:p>
      <w:pPr>
        <w:ind w:left="260" w:right="20" w:hanging="214"/>
        <w:spacing w:after="0" w:line="183" w:lineRule="auto"/>
        <w:tabs>
          <w:tab w:leader="none" w:pos="260" w:val="left"/>
        </w:tabs>
        <w:numPr>
          <w:ilvl w:val="0"/>
          <w:numId w:val="21"/>
        </w:numPr>
        <w:rPr>
          <w:rFonts w:ascii="Wingdings" w:cs="Wingdings" w:eastAsia="Wingdings" w:hAnsi="Wingdings"/>
          <w:sz w:val="35"/>
          <w:szCs w:val="35"/>
          <w:b w:val="1"/>
          <w:bCs w:val="1"/>
          <w:color w:val="0CD973"/>
          <w:vertAlign w:val="superscript"/>
        </w:rPr>
      </w:pPr>
      <w:r>
        <w:rPr>
          <w:rFonts w:ascii="Arial" w:cs="Arial" w:eastAsia="Arial" w:hAnsi="Arial"/>
          <w:sz w:val="18"/>
          <w:szCs w:val="18"/>
          <w:color w:val="51555C"/>
        </w:rPr>
        <w:t>periodically reviews and makes recommendations to the Board of Directors with respect to stock ownership guidelines for the Company's executive officers and non-employee directors;</w:t>
      </w:r>
    </w:p>
    <w:p>
      <w:pPr>
        <w:ind w:left="260" w:hanging="214"/>
        <w:spacing w:after="0" w:line="194" w:lineRule="auto"/>
        <w:tabs>
          <w:tab w:leader="none" w:pos="260" w:val="left"/>
        </w:tabs>
        <w:numPr>
          <w:ilvl w:val="0"/>
          <w:numId w:val="21"/>
        </w:numPr>
        <w:rPr>
          <w:rFonts w:ascii="Wingdings" w:cs="Wingdings" w:eastAsia="Wingdings" w:hAnsi="Wingdings"/>
          <w:sz w:val="36"/>
          <w:szCs w:val="36"/>
          <w:b w:val="1"/>
          <w:bCs w:val="1"/>
          <w:color w:val="0CD973"/>
          <w:vertAlign w:val="superscript"/>
        </w:rPr>
      </w:pPr>
      <w:r>
        <w:rPr>
          <w:rFonts w:ascii="Arial" w:cs="Arial" w:eastAsia="Arial" w:hAnsi="Arial"/>
          <w:sz w:val="18"/>
          <w:szCs w:val="18"/>
          <w:color w:val="51555C"/>
        </w:rPr>
        <w:t>administers and amends the Company's various incentive compensation and other similar plans; and</w:t>
      </w:r>
    </w:p>
    <w:p>
      <w:pPr>
        <w:spacing w:after="0" w:line="104" w:lineRule="exact"/>
        <w:rPr>
          <w:rFonts w:ascii="Wingdings" w:cs="Wingdings" w:eastAsia="Wingdings" w:hAnsi="Wingdings"/>
          <w:sz w:val="36"/>
          <w:szCs w:val="36"/>
          <w:b w:val="1"/>
          <w:bCs w:val="1"/>
          <w:color w:val="0CD973"/>
          <w:vertAlign w:val="superscript"/>
        </w:rPr>
      </w:pPr>
    </w:p>
    <w:p>
      <w:pPr>
        <w:ind w:left="260" w:hanging="214"/>
        <w:spacing w:after="0" w:line="183" w:lineRule="auto"/>
        <w:tabs>
          <w:tab w:leader="none" w:pos="260" w:val="left"/>
        </w:tabs>
        <w:numPr>
          <w:ilvl w:val="0"/>
          <w:numId w:val="21"/>
        </w:numPr>
        <w:rPr>
          <w:rFonts w:ascii="Wingdings" w:cs="Wingdings" w:eastAsia="Wingdings" w:hAnsi="Wingdings"/>
          <w:sz w:val="26"/>
          <w:szCs w:val="26"/>
          <w:b w:val="1"/>
          <w:bCs w:val="1"/>
          <w:color w:val="0CD973"/>
          <w:vertAlign w:val="superscript"/>
        </w:rPr>
      </w:pPr>
      <w:r>
        <w:rPr>
          <w:rFonts w:ascii="Arial" w:cs="Arial" w:eastAsia="Arial" w:hAnsi="Arial"/>
          <w:sz w:val="15"/>
          <w:szCs w:val="15"/>
          <w:color w:val="51555C"/>
        </w:rPr>
        <w:t>administers and enforces the Company's executive incentive compensation clawback policy; and</w:t>
      </w:r>
    </w:p>
    <w:p>
      <w:pPr>
        <w:spacing w:after="0" w:line="103" w:lineRule="exact"/>
        <w:rPr>
          <w:rFonts w:ascii="Wingdings" w:cs="Wingdings" w:eastAsia="Wingdings" w:hAnsi="Wingdings"/>
          <w:sz w:val="26"/>
          <w:szCs w:val="26"/>
          <w:b w:val="1"/>
          <w:bCs w:val="1"/>
          <w:color w:val="0CD973"/>
          <w:vertAlign w:val="superscript"/>
        </w:rPr>
      </w:pPr>
    </w:p>
    <w:p>
      <w:pPr>
        <w:ind w:left="260" w:right="40" w:hanging="214"/>
        <w:spacing w:after="0" w:line="183" w:lineRule="auto"/>
        <w:tabs>
          <w:tab w:leader="none" w:pos="260" w:val="left"/>
        </w:tabs>
        <w:numPr>
          <w:ilvl w:val="0"/>
          <w:numId w:val="21"/>
        </w:numPr>
        <w:rPr>
          <w:rFonts w:ascii="Wingdings" w:cs="Wingdings" w:eastAsia="Wingdings" w:hAnsi="Wingdings"/>
          <w:sz w:val="34"/>
          <w:szCs w:val="34"/>
          <w:b w:val="1"/>
          <w:bCs w:val="1"/>
          <w:color w:val="0CD973"/>
          <w:vertAlign w:val="superscript"/>
        </w:rPr>
      </w:pPr>
      <w:r>
        <w:rPr>
          <w:rFonts w:ascii="Arial" w:cs="Arial" w:eastAsia="Arial" w:hAnsi="Arial"/>
          <w:sz w:val="17"/>
          <w:szCs w:val="17"/>
          <w:color w:val="51555C"/>
        </w:rPr>
        <w:t>reviews and assesses on a periodic basis the Company's compliance with laws and regulations relating to compensation and employee benefits, and other human resource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14605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9" w:lineRule="exact"/>
        <w:rPr>
          <w:sz w:val="20"/>
          <w:szCs w:val="20"/>
          <w:color w:val="auto"/>
        </w:rPr>
      </w:pPr>
    </w:p>
    <w:p>
      <w:pPr>
        <w:sectPr>
          <w:pgSz w:w="11900" w:h="16838" w:orient="portrait"/>
          <w:cols w:equalWidth="0" w:num="2">
            <w:col w:w="2160" w:space="340"/>
            <w:col w:w="8740"/>
          </w:cols>
          <w:pgMar w:left="320" w:top="338" w:right="339" w:bottom="393" w:gutter="0" w:footer="0" w:header="0"/>
          <w:type w:val="continuous"/>
        </w:sectPr>
      </w:pPr>
    </w:p>
    <w:p>
      <w:pPr>
        <w:ind w:left="340" w:hanging="332"/>
        <w:spacing w:after="0"/>
        <w:tabs>
          <w:tab w:leader="none" w:pos="340" w:val="left"/>
        </w:tabs>
        <w:numPr>
          <w:ilvl w:val="0"/>
          <w:numId w:val="22"/>
        </w:numPr>
        <w:rPr>
          <w:rFonts w:ascii="Arial" w:cs="Arial" w:eastAsia="Arial" w:hAnsi="Arial"/>
          <w:sz w:val="14"/>
          <w:szCs w:val="14"/>
          <w:color w:val="51555C"/>
        </w:rPr>
      </w:pPr>
      <w:r>
        <w:rPr>
          <w:rFonts w:ascii="Arial" w:cs="Arial" w:eastAsia="Arial" w:hAnsi="Arial"/>
          <w:sz w:val="14"/>
          <w:szCs w:val="14"/>
          <w:color w:val="51555C"/>
        </w:rPr>
        <w:t>Mr. Talvitie was named Chair of the Compensation Committee effective June 11, 2025.</w:t>
      </w:r>
    </w:p>
    <w:p>
      <w:pPr>
        <w:spacing w:after="0" w:line="29" w:lineRule="exact"/>
        <w:rPr>
          <w:rFonts w:ascii="Arial" w:cs="Arial" w:eastAsia="Arial" w:hAnsi="Arial"/>
          <w:sz w:val="14"/>
          <w:szCs w:val="14"/>
          <w:color w:val="51555C"/>
        </w:rPr>
      </w:pPr>
    </w:p>
    <w:p>
      <w:pPr>
        <w:ind w:left="340" w:hanging="332"/>
        <w:spacing w:after="0"/>
        <w:tabs>
          <w:tab w:leader="none" w:pos="340" w:val="left"/>
        </w:tabs>
        <w:numPr>
          <w:ilvl w:val="0"/>
          <w:numId w:val="22"/>
        </w:numPr>
        <w:rPr>
          <w:rFonts w:ascii="Arial" w:cs="Arial" w:eastAsia="Arial" w:hAnsi="Arial"/>
          <w:sz w:val="14"/>
          <w:szCs w:val="14"/>
          <w:color w:val="51555C"/>
        </w:rPr>
      </w:pPr>
      <w:r>
        <w:rPr>
          <w:rFonts w:ascii="Arial" w:cs="Arial" w:eastAsia="Arial" w:hAnsi="Arial"/>
          <w:sz w:val="14"/>
          <w:szCs w:val="14"/>
          <w:color w:val="51555C"/>
        </w:rPr>
        <w:t>Mr. Gupta served on the Compensation Committee until his resignation from the Board of Directors effective September 11, 2025.</w:t>
      </w:r>
    </w:p>
    <w:p>
      <w:pPr>
        <w:spacing w:after="0" w:line="13" w:lineRule="exact"/>
        <w:rPr>
          <w:rFonts w:ascii="Arial" w:cs="Arial" w:eastAsia="Arial" w:hAnsi="Arial"/>
          <w:sz w:val="14"/>
          <w:szCs w:val="14"/>
          <w:color w:val="51555C"/>
        </w:rPr>
      </w:pPr>
    </w:p>
    <w:p>
      <w:pPr>
        <w:ind w:left="340" w:hanging="332"/>
        <w:spacing w:after="0"/>
        <w:tabs>
          <w:tab w:leader="none" w:pos="340" w:val="left"/>
        </w:tabs>
        <w:numPr>
          <w:ilvl w:val="0"/>
          <w:numId w:val="22"/>
        </w:numPr>
        <w:rPr>
          <w:rFonts w:ascii="Arial" w:cs="Arial" w:eastAsia="Arial" w:hAnsi="Arial"/>
          <w:sz w:val="14"/>
          <w:szCs w:val="14"/>
          <w:color w:val="51555C"/>
        </w:rPr>
      </w:pPr>
      <w:r>
        <w:rPr>
          <w:rFonts w:ascii="Arial" w:cs="Arial" w:eastAsia="Arial" w:hAnsi="Arial"/>
          <w:sz w:val="14"/>
          <w:szCs w:val="14"/>
          <w:color w:val="51555C"/>
        </w:rPr>
        <w:t>Mr. Pyburn joined the Compensation Committee effective October 13,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Compensation Decisions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In evaluating incentive and other compensation and equity-based plans, the Compensation Committee carefully considers the feedback from our stockholders through the results of the most recent non-binding stockholder advisory ("Say-on-Pay") vote on NEO compensation as well as through our communications with stockholders throughout the year and the recommendations of its independent compensation consultant. As part of its review, the Compensation Committee also considers compensation data with respect to the executive officers' counterparts at the companies in our compensation peer group and the recommendations of the CEO regarding compensation for those executive officers reporting directly to him as well as our other officers. See “Compensation Discussion and Analysis” beginning on page 35 of this Proxy Statement.</w:t>
      </w: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5031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r>
    </w:p>
    <w:p>
      <w:pPr>
        <w:spacing w:after="0" w:line="101" w:lineRule="exact"/>
        <w:rPr>
          <w:sz w:val="20"/>
          <w:szCs w:val="20"/>
          <w:color w:val="auto"/>
        </w:rPr>
      </w:pPr>
    </w:p>
    <w:p>
      <w:pPr>
        <w:ind w:left="20"/>
        <w:spacing w:after="0"/>
        <w:tabs>
          <w:tab w:leader="none" w:pos="2480" w:val="left"/>
        </w:tabs>
        <w:rPr>
          <w:sz w:val="20"/>
          <w:szCs w:val="20"/>
          <w:color w:val="auto"/>
        </w:rPr>
      </w:pPr>
      <w:r>
        <w:rPr>
          <w:rFonts w:ascii="Arial" w:cs="Arial" w:eastAsia="Arial" w:hAnsi="Arial"/>
          <w:sz w:val="18"/>
          <w:szCs w:val="18"/>
          <w:b w:val="1"/>
          <w:bCs w:val="1"/>
          <w:color w:val="51555C"/>
        </w:rPr>
        <w:t>Committee Members</w:t>
      </w:r>
      <w:r>
        <w:rPr>
          <w:sz w:val="20"/>
          <w:szCs w:val="20"/>
          <w:color w:val="auto"/>
        </w:rPr>
        <w:tab/>
      </w:r>
      <w:r>
        <w:rPr>
          <w:rFonts w:ascii="Arial" w:cs="Arial" w:eastAsia="Arial" w:hAnsi="Arial"/>
          <w:sz w:val="17"/>
          <w:szCs w:val="17"/>
          <w:b w:val="1"/>
          <w:bCs w:val="1"/>
          <w:color w:val="51555C"/>
        </w:rPr>
        <w:t>Primary Responsibilities</w:t>
      </w:r>
    </w:p>
    <w:p>
      <w:pPr>
        <w:sectPr>
          <w:pgSz w:w="11900" w:h="16838" w:orient="portrait"/>
          <w:cols w:equalWidth="0" w:num="1">
            <w:col w:w="11240"/>
          </w:cols>
          <w:pgMar w:left="320" w:top="338" w:right="339" w:bottom="393" w:gutter="0" w:footer="0" w:header="0"/>
          <w:type w:val="continuous"/>
        </w:sectPr>
      </w:pP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(all independent)</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Andrew M. Leitch (Chair)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Rupal S. Hollenbeck</w:t>
      </w:r>
      <w:r>
        <w:rPr>
          <w:rFonts w:ascii="Arial" w:cs="Arial" w:eastAsia="Arial" w:hAnsi="Arial"/>
          <w:sz w:val="23"/>
          <w:szCs w:val="23"/>
          <w:color w:val="51555C"/>
          <w:vertAlign w:val="superscript"/>
        </w:rPr>
        <w:t>(1)</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Bradley L. Pyburn</w:t>
      </w:r>
      <w:r>
        <w:rPr>
          <w:rFonts w:ascii="Arial" w:cs="Arial" w:eastAsia="Arial" w:hAnsi="Arial"/>
          <w:sz w:val="23"/>
          <w:szCs w:val="23"/>
          <w:color w:val="51555C"/>
          <w:vertAlign w:val="superscript"/>
        </w:rPr>
        <w:t>(2)</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51555C"/>
        </w:rPr>
        <w:t>Pursuant to its charter, the Committee has responsibility for:</w:t>
      </w:r>
    </w:p>
    <w:p>
      <w:pPr>
        <w:ind w:left="260" w:hanging="214"/>
        <w:spacing w:after="0" w:line="213" w:lineRule="auto"/>
        <w:tabs>
          <w:tab w:leader="none" w:pos="260" w:val="left"/>
        </w:tabs>
        <w:numPr>
          <w:ilvl w:val="0"/>
          <w:numId w:val="23"/>
        </w:numPr>
        <w:rPr>
          <w:rFonts w:ascii="Wingdings" w:cs="Wingdings" w:eastAsia="Wingdings" w:hAnsi="Wingdings"/>
          <w:sz w:val="36"/>
          <w:szCs w:val="36"/>
          <w:b w:val="1"/>
          <w:bCs w:val="1"/>
          <w:color w:val="0CD973"/>
          <w:vertAlign w:val="superscript"/>
        </w:rPr>
      </w:pPr>
      <w:r>
        <w:rPr>
          <w:rFonts w:ascii="Arial" w:cs="Arial" w:eastAsia="Arial" w:hAnsi="Arial"/>
          <w:sz w:val="18"/>
          <w:szCs w:val="18"/>
          <w:color w:val="51555C"/>
        </w:rPr>
        <w:t>identifying individuals qualified to become Board members;</w:t>
      </w:r>
    </w:p>
    <w:p>
      <w:pPr>
        <w:spacing w:after="0" w:line="104" w:lineRule="exact"/>
        <w:rPr>
          <w:rFonts w:ascii="Wingdings" w:cs="Wingdings" w:eastAsia="Wingdings" w:hAnsi="Wingdings"/>
          <w:sz w:val="36"/>
          <w:szCs w:val="36"/>
          <w:b w:val="1"/>
          <w:bCs w:val="1"/>
          <w:color w:val="0CD973"/>
          <w:vertAlign w:val="superscript"/>
        </w:rPr>
      </w:pPr>
    </w:p>
    <w:p>
      <w:pPr>
        <w:ind w:left="260" w:hanging="214"/>
        <w:spacing w:after="0" w:line="183" w:lineRule="auto"/>
        <w:tabs>
          <w:tab w:leader="none" w:pos="260" w:val="left"/>
        </w:tabs>
        <w:numPr>
          <w:ilvl w:val="0"/>
          <w:numId w:val="23"/>
        </w:numPr>
        <w:rPr>
          <w:rFonts w:ascii="Wingdings" w:cs="Wingdings" w:eastAsia="Wingdings" w:hAnsi="Wingdings"/>
          <w:sz w:val="26"/>
          <w:szCs w:val="26"/>
          <w:b w:val="1"/>
          <w:bCs w:val="1"/>
          <w:color w:val="0CD973"/>
          <w:vertAlign w:val="superscript"/>
        </w:rPr>
      </w:pPr>
      <w:r>
        <w:rPr>
          <w:rFonts w:ascii="Arial" w:cs="Arial" w:eastAsia="Arial" w:hAnsi="Arial"/>
          <w:sz w:val="15"/>
          <w:szCs w:val="15"/>
          <w:color w:val="51555C"/>
        </w:rPr>
        <w:t>recommending to the Board director nominees for the next Annual Meeting of Stockholders;</w:t>
      </w:r>
    </w:p>
    <w:p>
      <w:pPr>
        <w:spacing w:after="0" w:line="103" w:lineRule="exact"/>
        <w:rPr>
          <w:rFonts w:ascii="Wingdings" w:cs="Wingdings" w:eastAsia="Wingdings" w:hAnsi="Wingdings"/>
          <w:sz w:val="26"/>
          <w:szCs w:val="26"/>
          <w:b w:val="1"/>
          <w:bCs w:val="1"/>
          <w:color w:val="0CD973"/>
          <w:vertAlign w:val="superscript"/>
        </w:rPr>
      </w:pPr>
    </w:p>
    <w:p>
      <w:pPr>
        <w:ind w:left="260" w:hanging="214"/>
        <w:spacing w:after="0" w:line="183" w:lineRule="auto"/>
        <w:tabs>
          <w:tab w:leader="none" w:pos="260" w:val="left"/>
        </w:tabs>
        <w:numPr>
          <w:ilvl w:val="0"/>
          <w:numId w:val="23"/>
        </w:numPr>
        <w:rPr>
          <w:rFonts w:ascii="Wingdings" w:cs="Wingdings" w:eastAsia="Wingdings" w:hAnsi="Wingdings"/>
          <w:sz w:val="26"/>
          <w:szCs w:val="26"/>
          <w:b w:val="1"/>
          <w:bCs w:val="1"/>
          <w:color w:val="0CD973"/>
          <w:vertAlign w:val="superscript"/>
        </w:rPr>
      </w:pPr>
      <w:r>
        <w:rPr>
          <w:rFonts w:ascii="Arial" w:cs="Arial" w:eastAsia="Arial" w:hAnsi="Arial"/>
          <w:sz w:val="15"/>
          <w:szCs w:val="15"/>
          <w:color w:val="51555C"/>
        </w:rPr>
        <w:t>reviewing the qualifications and independence of the members of the Board and its various committees;</w:t>
      </w:r>
    </w:p>
    <w:p>
      <w:pPr>
        <w:spacing w:after="0" w:line="234" w:lineRule="exact"/>
        <w:rPr>
          <w:rFonts w:ascii="Wingdings" w:cs="Wingdings" w:eastAsia="Wingdings" w:hAnsi="Wingdings"/>
          <w:sz w:val="26"/>
          <w:szCs w:val="26"/>
          <w:b w:val="1"/>
          <w:bCs w:val="1"/>
          <w:color w:val="0CD973"/>
          <w:vertAlign w:val="superscript"/>
        </w:rPr>
      </w:pPr>
    </w:p>
    <w:p>
      <w:pPr>
        <w:jc w:val="both"/>
        <w:ind w:left="260" w:right="20" w:hanging="214"/>
        <w:spacing w:after="0" w:line="197" w:lineRule="auto"/>
        <w:tabs>
          <w:tab w:leader="none" w:pos="260" w:val="left"/>
        </w:tabs>
        <w:numPr>
          <w:ilvl w:val="0"/>
          <w:numId w:val="23"/>
        </w:numPr>
        <w:rPr>
          <w:rFonts w:ascii="Wingdings" w:cs="Wingdings" w:eastAsia="Wingdings" w:hAnsi="Wingdings"/>
          <w:sz w:val="36"/>
          <w:szCs w:val="36"/>
          <w:b w:val="1"/>
          <w:bCs w:val="1"/>
          <w:color w:val="0CD973"/>
          <w:vertAlign w:val="superscript"/>
        </w:rPr>
      </w:pPr>
      <w:r>
        <w:rPr>
          <w:rFonts w:ascii="Arial" w:cs="Arial" w:eastAsia="Arial" w:hAnsi="Arial"/>
          <w:sz w:val="18"/>
          <w:szCs w:val="18"/>
          <w:color w:val="51555C"/>
        </w:rPr>
        <w:t>recommending to the Board the Corporate Governance Guidelines and reviewing such Guidelines on a regular basis to ensure compliance with sound corporate governance practices and legal, regulatory and Nasdaq requirements;</w:t>
      </w:r>
    </w:p>
    <w:p>
      <w:pPr>
        <w:spacing w:after="0" w:line="53" w:lineRule="exact"/>
        <w:rPr>
          <w:sz w:val="20"/>
          <w:szCs w:val="20"/>
          <w:color w:val="auto"/>
        </w:rPr>
      </w:pPr>
    </w:p>
    <w:p>
      <w:pPr>
        <w:sectPr>
          <w:pgSz w:w="11900" w:h="16838" w:orient="portrait"/>
          <w:cols w:equalWidth="0" w:num="2">
            <w:col w:w="2020" w:space="480"/>
            <w:col w:w="8740"/>
          </w:cols>
          <w:pgMar w:left="320" w:top="338" w:right="339" w:bottom="393" w:gutter="0" w:footer="0" w:header="0"/>
          <w:type w:val="continuous"/>
        </w:sectPr>
      </w:pPr>
    </w:p>
    <w:p>
      <w:pPr>
        <w:ind w:left="20"/>
        <w:spacing w:after="0"/>
        <w:tabs>
          <w:tab w:leader="none" w:pos="2520" w:val="left"/>
        </w:tabs>
        <w:rPr>
          <w:sz w:val="20"/>
          <w:szCs w:val="20"/>
          <w:color w:val="auto"/>
        </w:rPr>
      </w:pPr>
      <w:r>
        <w:rPr>
          <w:rFonts w:ascii="Arial" w:cs="Arial" w:eastAsia="Arial" w:hAnsi="Arial"/>
          <w:sz w:val="18"/>
          <w:szCs w:val="18"/>
          <w:b w:val="1"/>
          <w:bCs w:val="1"/>
          <w:color w:val="51555C"/>
        </w:rPr>
        <w:t xml:space="preserve">2025 Meetings: </w:t>
      </w:r>
      <w:r>
        <w:rPr>
          <w:rFonts w:ascii="Arial" w:cs="Arial" w:eastAsia="Arial" w:hAnsi="Arial"/>
          <w:sz w:val="18"/>
          <w:szCs w:val="18"/>
          <w:color w:val="51555C"/>
        </w:rPr>
        <w:t>4</w:t>
      </w:r>
      <w:r>
        <w:rPr>
          <w:sz w:val="20"/>
          <w:szCs w:val="20"/>
          <w:color w:val="auto"/>
        </w:rPr>
        <w:tab/>
      </w:r>
      <w:r>
        <w:rPr>
          <w:rFonts w:ascii="Wingdings" w:cs="Wingdings" w:eastAsia="Wingdings" w:hAnsi="Wingdings"/>
          <w:sz w:val="18"/>
          <w:szCs w:val="18"/>
          <w:b w:val="1"/>
          <w:bCs w:val="1"/>
          <w:color w:val="0CD973"/>
          <w:vertAlign w:val="superscript"/>
        </w:rPr>
        <w:t xml:space="preserve">l </w:t>
      </w:r>
      <w:r>
        <w:rPr>
          <w:rFonts w:ascii="Arial" w:cs="Arial" w:eastAsia="Arial" w:hAnsi="Arial"/>
          <w:sz w:val="18"/>
          <w:szCs w:val="18"/>
          <w:color w:val="51555C"/>
        </w:rPr>
        <w:t>leading the Board and its committees in their annual self-evaluation process;</w:t>
      </w:r>
    </w:p>
    <w:p>
      <w:pPr>
        <w:ind w:left="2760" w:hanging="214"/>
        <w:spacing w:after="0" w:line="234" w:lineRule="auto"/>
        <w:tabs>
          <w:tab w:leader="none" w:pos="2760" w:val="left"/>
        </w:tabs>
        <w:numPr>
          <w:ilvl w:val="1"/>
          <w:numId w:val="24"/>
        </w:numPr>
        <w:rPr>
          <w:rFonts w:ascii="Wingdings" w:cs="Wingdings" w:eastAsia="Wingdings" w:hAnsi="Wingdings"/>
          <w:sz w:val="36"/>
          <w:szCs w:val="36"/>
          <w:b w:val="1"/>
          <w:bCs w:val="1"/>
          <w:color w:val="0CD973"/>
          <w:vertAlign w:val="superscript"/>
        </w:rPr>
      </w:pPr>
      <w:r>
        <w:rPr>
          <w:rFonts w:ascii="Arial" w:cs="Arial" w:eastAsia="Arial" w:hAnsi="Arial"/>
          <w:sz w:val="18"/>
          <w:szCs w:val="18"/>
          <w:color w:val="51555C"/>
        </w:rPr>
        <w:t>reviewing our Company’s governance scores and ratings from third parties; and</w:t>
      </w:r>
    </w:p>
    <w:p>
      <w:pPr>
        <w:spacing w:after="0" w:line="104" w:lineRule="exact"/>
        <w:rPr>
          <w:rFonts w:ascii="Wingdings" w:cs="Wingdings" w:eastAsia="Wingdings" w:hAnsi="Wingdings"/>
          <w:sz w:val="36"/>
          <w:szCs w:val="36"/>
          <w:b w:val="1"/>
          <w:bCs w:val="1"/>
          <w:color w:val="0CD973"/>
          <w:vertAlign w:val="superscript"/>
        </w:rPr>
      </w:pPr>
    </w:p>
    <w:p>
      <w:pPr>
        <w:jc w:val="both"/>
        <w:ind w:left="2760" w:right="80" w:hanging="214"/>
        <w:spacing w:after="0" w:line="192" w:lineRule="auto"/>
        <w:tabs>
          <w:tab w:leader="none" w:pos="2760" w:val="left"/>
        </w:tabs>
        <w:numPr>
          <w:ilvl w:val="1"/>
          <w:numId w:val="24"/>
        </w:numPr>
        <w:rPr>
          <w:rFonts w:ascii="Wingdings" w:cs="Wingdings" w:eastAsia="Wingdings" w:hAnsi="Wingdings"/>
          <w:sz w:val="36"/>
          <w:szCs w:val="36"/>
          <w:b w:val="1"/>
          <w:bCs w:val="1"/>
          <w:color w:val="0CD973"/>
          <w:vertAlign w:val="superscript"/>
        </w:rPr>
      </w:pPr>
      <w:r>
        <w:rPr>
          <w:rFonts w:ascii="Arial" w:cs="Arial" w:eastAsia="Arial" w:hAnsi="Arial"/>
          <w:sz w:val="18"/>
          <w:szCs w:val="18"/>
          <w:color w:val="51555C"/>
        </w:rPr>
        <w:t>overseeing our Company's corporate responsibility and ESG matters, including evaluating the Company's integration of ESG principles into business strategy and decision-making and reviewing reports published by the Company on ESG matters.</w:t>
      </w:r>
    </w:p>
    <w:p>
      <w:pPr>
        <w:spacing w:after="0" w:line="123" w:lineRule="exact"/>
        <w:rPr>
          <w:rFonts w:ascii="Wingdings" w:cs="Wingdings" w:eastAsia="Wingdings" w:hAnsi="Wingdings"/>
          <w:sz w:val="36"/>
          <w:szCs w:val="36"/>
          <w:b w:val="1"/>
          <w:bCs w:val="1"/>
          <w:color w:val="0CD973"/>
          <w:vertAlign w:val="superscript"/>
        </w:rPr>
      </w:pPr>
    </w:p>
    <w:p>
      <w:pPr>
        <w:ind w:left="340" w:hanging="332"/>
        <w:spacing w:after="0"/>
        <w:tabs>
          <w:tab w:leader="none" w:pos="340" w:val="left"/>
        </w:tabs>
        <w:numPr>
          <w:ilvl w:val="0"/>
          <w:numId w:val="24"/>
        </w:numPr>
        <w:rPr>
          <w:rFonts w:ascii="Arial" w:cs="Arial" w:eastAsia="Arial" w:hAnsi="Arial"/>
          <w:sz w:val="14"/>
          <w:szCs w:val="14"/>
          <w:color w:val="51555C"/>
        </w:rPr>
      </w:pPr>
      <w:r>
        <w:rPr>
          <w:rFonts w:ascii="Arial" w:cs="Arial" w:eastAsia="Arial" w:hAnsi="Arial"/>
          <w:sz w:val="14"/>
          <w:szCs w:val="14"/>
          <w:color w:val="51555C"/>
        </w:rPr>
        <w:t>Ms. Hollenbeck is not a nominee for election at the 2026 Annual Meeting of Stockholders. Accordingly, her term will end at the conclusion of the 2026 Annual Meeting.</w:t>
      </w:r>
    </w:p>
    <w:p>
      <w:pPr>
        <w:spacing w:after="0" w:line="28" w:lineRule="exact"/>
        <w:rPr>
          <w:rFonts w:ascii="Arial" w:cs="Arial" w:eastAsia="Arial" w:hAnsi="Arial"/>
          <w:sz w:val="14"/>
          <w:szCs w:val="14"/>
          <w:color w:val="51555C"/>
        </w:rPr>
      </w:pPr>
    </w:p>
    <w:p>
      <w:pPr>
        <w:ind w:left="340" w:hanging="332"/>
        <w:spacing w:after="0"/>
        <w:tabs>
          <w:tab w:leader="none" w:pos="340" w:val="left"/>
        </w:tabs>
        <w:numPr>
          <w:ilvl w:val="0"/>
          <w:numId w:val="24"/>
        </w:numPr>
        <w:rPr>
          <w:rFonts w:ascii="Arial" w:cs="Arial" w:eastAsia="Arial" w:hAnsi="Arial"/>
          <w:sz w:val="14"/>
          <w:szCs w:val="14"/>
          <w:color w:val="51555C"/>
        </w:rPr>
      </w:pPr>
      <w:r>
        <w:rPr>
          <w:rFonts w:ascii="Arial" w:cs="Arial" w:eastAsia="Arial" w:hAnsi="Arial"/>
          <w:sz w:val="14"/>
          <w:szCs w:val="14"/>
          <w:color w:val="51555C"/>
        </w:rPr>
        <w:t>Mr. Pyburn joined the Nominating and Corporate Governance Committee effective June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237490</wp:posOffset>
            </wp:positionV>
            <wp:extent cx="702945" cy="1117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2945" cy="111760"/>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23</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393" w:gutter="0" w:footer="0" w:header="0"/>
          <w:type w:val="continuous"/>
        </w:sectPr>
      </w:pPr>
    </w:p>
    <w:bookmarkStart w:id="25" w:name="page26"/>
    <w:bookmarkEnd w:id="25"/>
    <w:p>
      <w:pPr>
        <w:ind w:left="10160"/>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Selection of Nominees for the Board of Directors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The Nominating and Corporate Governance Committee is responsible for establishing the criteria for recommending which directors should stand for re-election to the Board and for identifying and evaluating candidates to serve as new directors. The Committee is also responsible for establishing the procedures by which stockholders may recommend candidates for consideration.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The Committee has not adopted specific minimum qualifications for director candidates. Instead, it evaluates potential nominees based on a range of factors it believes are relevant to effective Board oversight, including integrity, independence, judgment, professional experience, relevant skills, and the ability to contribute constructively to the Board's deliberations. In evaluating candidates, the Committee considers the overall composition of the Board and seeks individuals whose experience and expertise complement and enhance the skills of existing directors. The Committee also considers Board tenure and refreshment as part of its assessment of the Board’s overall composition.</w:t>
      </w:r>
    </w:p>
    <w:p>
      <w:pPr>
        <w:spacing w:after="0" w:line="12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51555C"/>
        </w:rPr>
        <w:t xml:space="preserve">With the assistance of an independent search firm, the Committee periodically identifies individuals with qualifications and experience that align with the Company's business, strategy, and governance needs, and will recommend such individuals for consideration by the Board when appropriate. The Committee's approach to director qualification, independence, and Board composition is reflected our Corporate Governance Guidelines, which are available under </w:t>
      </w:r>
      <w:r>
        <w:rPr>
          <w:rFonts w:ascii="Arial" w:cs="Arial" w:eastAsia="Arial" w:hAnsi="Arial"/>
          <w:sz w:val="18"/>
          <w:szCs w:val="18"/>
          <w:i w:val="1"/>
          <w:iCs w:val="1"/>
          <w:color w:val="51555C"/>
        </w:rPr>
        <w:t>Corporate Governance</w:t>
      </w:r>
      <w:r>
        <w:rPr>
          <w:rFonts w:ascii="Arial" w:cs="Arial" w:eastAsia="Arial" w:hAnsi="Arial"/>
          <w:sz w:val="18"/>
          <w:szCs w:val="18"/>
          <w:color w:val="51555C"/>
        </w:rPr>
        <w:t xml:space="preserve"> in the </w:t>
      </w:r>
      <w:r>
        <w:rPr>
          <w:rFonts w:ascii="Arial" w:cs="Arial" w:eastAsia="Arial" w:hAnsi="Arial"/>
          <w:sz w:val="18"/>
          <w:szCs w:val="18"/>
          <w:i w:val="1"/>
          <w:iCs w:val="1"/>
          <w:color w:val="51555C"/>
        </w:rPr>
        <w:t>Company – Investor Relations</w:t>
      </w:r>
      <w:r>
        <w:rPr>
          <w:rFonts w:ascii="Arial" w:cs="Arial" w:eastAsia="Arial" w:hAnsi="Arial"/>
          <w:sz w:val="18"/>
          <w:szCs w:val="18"/>
          <w:color w:val="51555C"/>
        </w:rPr>
        <w:t xml:space="preserve"> section of our website at </w:t>
      </w:r>
      <w:r>
        <w:rPr>
          <w:rFonts w:ascii="Arial" w:cs="Arial" w:eastAsia="Arial" w:hAnsi="Arial"/>
          <w:sz w:val="18"/>
          <w:szCs w:val="18"/>
          <w:b w:val="1"/>
          <w:bCs w:val="1"/>
          <w:u w:val="single" w:color="auto"/>
          <w:color w:val="51555C"/>
        </w:rPr>
        <w:t>www.blackbaud.com</w:t>
      </w:r>
      <w:r>
        <w:rPr>
          <w:rFonts w:ascii="Arial" w:cs="Arial" w:eastAsia="Arial" w:hAnsi="Arial"/>
          <w:sz w:val="18"/>
          <w:szCs w:val="18"/>
          <w:color w:val="51555C"/>
        </w:rPr>
        <w: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Stockholder Nominations of Directors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Our Bylaws permit any stockholder of record to nominate directors. Stockholders wishing to nominate a director must deliver written notice of the nomination to the Corporate Secretary at our principal executive offices and any such notice must comply with the provisions set forth in our Bylaws, including the requirements as to the timing for providing such notice and the information to be included in the notice. The Nominating and Corporate Governance Committee will consider director candidates recommended by stockholders and will evaluate a nominee recommended by a stockholder in the same manner in which the Committee evaluates nominees recommended by other persons as well as its own nominee recommendations.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CEO and Executive Management Succession Planning</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Assuring we have appropriate executive management talent to successfully pursue our strategies is one of the Board's primary responsibilities. To this end, at least annually, the Board discusses succession planning for our CEO and the remainder of our executive management. To help fulfill the Board's responsibility, pursuant to our Corporate Governance Guidelines, the Nominating and Corporate Governance Committee is responsible for ensuring that we have in place appropriate planning to address CEO succession both in the ordinary course of business and in emergency situations. Our CEO provides the Board with recommendations and evaluations of potential successors, along with a review of their development plans when the individuals are internal candidates.</w:t>
      </w:r>
    </w:p>
    <w:p>
      <w:pPr>
        <w:spacing w:after="0" w:line="238" w:lineRule="exact"/>
        <w:rPr>
          <w:sz w:val="20"/>
          <w:szCs w:val="20"/>
          <w:color w:val="auto"/>
        </w:rPr>
      </w:pPr>
    </w:p>
    <w:p>
      <w:pPr>
        <w:ind w:left="7620" w:right="1880" w:hanging="7581"/>
        <w:spacing w:after="0" w:line="298" w:lineRule="auto"/>
        <w:tabs>
          <w:tab w:leader="none" w:pos="7600" w:val="left"/>
        </w:tabs>
        <w:rPr>
          <w:sz w:val="20"/>
          <w:szCs w:val="20"/>
          <w:color w:val="auto"/>
        </w:rPr>
      </w:pPr>
      <w:r>
        <w:rPr>
          <w:rFonts w:ascii="Arial" w:cs="Arial" w:eastAsia="Arial" w:hAnsi="Arial"/>
          <w:sz w:val="18"/>
          <w:szCs w:val="18"/>
          <w:b w:val="1"/>
          <w:bCs w:val="1"/>
          <w:i w:val="1"/>
          <w:iCs w:val="1"/>
          <w:color w:val="51555C"/>
        </w:rPr>
        <w:t>Board Tenure and Refreshment</w:t>
      </w:r>
      <w:r>
        <w:rPr>
          <w:sz w:val="20"/>
          <w:szCs w:val="20"/>
          <w:color w:val="auto"/>
        </w:rPr>
        <w:tab/>
      </w:r>
      <w:r>
        <w:rPr>
          <w:rFonts w:ascii="Arial" w:cs="Arial" w:eastAsia="Arial" w:hAnsi="Arial"/>
          <w:sz w:val="18"/>
          <w:szCs w:val="18"/>
          <w:b w:val="1"/>
          <w:bCs w:val="1"/>
          <w:i w:val="1"/>
          <w:iCs w:val="1"/>
          <w:color w:val="51555C"/>
        </w:rPr>
        <w:t>Director Tenure (as of April 13, 2026)</w:t>
      </w:r>
    </w:p>
    <w:p>
      <w:pPr>
        <w:spacing w:after="0" w:line="1" w:lineRule="exact"/>
        <w:rPr>
          <w:sz w:val="20"/>
          <w:szCs w:val="20"/>
          <w:color w:val="auto"/>
        </w:rPr>
      </w:pPr>
    </w:p>
    <w:p>
      <w:pPr>
        <w:jc w:val="both"/>
        <w:ind w:right="5960"/>
        <w:spacing w:after="0" w:line="252" w:lineRule="auto"/>
        <w:rPr>
          <w:sz w:val="20"/>
          <w:szCs w:val="20"/>
          <w:color w:val="auto"/>
        </w:rPr>
      </w:pPr>
      <w:r>
        <w:rPr>
          <w:rFonts w:ascii="Arial" w:cs="Arial" w:eastAsia="Arial" w:hAnsi="Arial"/>
          <w:sz w:val="18"/>
          <w:szCs w:val="18"/>
          <w:color w:val="51555C"/>
        </w:rPr>
        <w:t xml:space="preserve">We believe that a variety of tenures on our Board helps to provide an effective mix of deep experience and fresh perspective to our boardroom. To that end, our Corporate Governance Guidelines state that an independent director of the Company will not be nominated for election as a director if he or she has, or will have, served on the Board for twelve years or more as of the date scheduled for his or her next election. Notwithstanding the foregoing, the Nominating and Corporate Governance Committee may recommend to the Board that, based on specific circumstances the director's tenure should be extended beyond twelve years of service. The Board may in such case waive or modify the retirement date if it determines that there is good cause to do so and that such action would be in the best interests of the Company and its stockholders. The average tenure of Blackbaud directors is </w:t>
      </w:r>
      <w:r>
        <w:rPr>
          <w:rFonts w:ascii="Arial" w:cs="Arial" w:eastAsia="Arial" w:hAnsi="Arial"/>
          <w:sz w:val="18"/>
          <w:szCs w:val="18"/>
          <w:b w:val="1"/>
          <w:bCs w:val="1"/>
          <w:color w:val="006880"/>
        </w:rPr>
        <w:t>7.1 years</w:t>
      </w:r>
      <w:r>
        <w:rPr>
          <w:rFonts w:ascii="Arial" w:cs="Arial" w:eastAsia="Arial" w:hAnsi="Arial"/>
          <w:sz w:val="18"/>
          <w:szCs w:val="18"/>
          <w:color w:val="51555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-1863090</wp:posOffset>
            </wp:positionV>
            <wp:extent cx="2802890" cy="18256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80289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24</w:t>
      </w:r>
      <w:r>
        <w:rPr>
          <w:sz w:val="20"/>
          <w:szCs w:val="20"/>
          <w:color w:val="auto"/>
        </w:rPr>
        <w:tab/>
      </w:r>
      <w:r>
        <w:rPr>
          <w:sz w:val="1"/>
          <w:szCs w:val="1"/>
          <w:color w:val="auto"/>
        </w:rPr>
        <w:drawing>
          <wp:inline distT="0" distB="0" distL="0" distR="0">
            <wp:extent cx="702945" cy="11112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006880"/>
        </w:rPr>
        <w:t>CYBER RISK OVERSIGHT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7227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2275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p>
      <w:pPr>
        <w:spacing w:after="0" w:line="133" w:lineRule="exact"/>
        <w:rPr>
          <w:sz w:val="20"/>
          <w:szCs w:val="20"/>
          <w:color w:val="auto"/>
        </w:rPr>
      </w:pPr>
    </w:p>
    <w:p>
      <w:pPr>
        <w:ind w:left="20" w:right="400"/>
        <w:spacing w:after="0" w:line="412" w:lineRule="auto"/>
        <w:rPr>
          <w:sz w:val="20"/>
          <w:szCs w:val="20"/>
          <w:color w:val="auto"/>
        </w:rPr>
      </w:pPr>
      <w:r>
        <w:rPr>
          <w:rFonts w:ascii="Arial" w:cs="Arial" w:eastAsia="Arial" w:hAnsi="Arial"/>
          <w:sz w:val="18"/>
          <w:szCs w:val="18"/>
          <w:b w:val="1"/>
          <w:bCs w:val="1"/>
          <w:color w:val="51555C"/>
        </w:rPr>
        <w:t xml:space="preserve">Committee Members </w:t>
      </w:r>
      <w:r>
        <w:rPr>
          <w:rFonts w:ascii="Arial" w:cs="Arial" w:eastAsia="Arial" w:hAnsi="Arial"/>
          <w:sz w:val="18"/>
          <w:szCs w:val="18"/>
          <w:color w:val="51555C"/>
        </w:rPr>
        <w:t>(all independent)</w:t>
      </w:r>
    </w:p>
    <w:p>
      <w:pPr>
        <w:spacing w:after="0" w:line="200" w:lineRule="exact"/>
        <w:rPr>
          <w:sz w:val="20"/>
          <w:szCs w:val="20"/>
          <w:color w:val="auto"/>
        </w:rPr>
      </w:pPr>
    </w:p>
    <w:p>
      <w:pPr>
        <w:spacing w:after="0" w:line="277" w:lineRule="exact"/>
        <w:rPr>
          <w:sz w:val="20"/>
          <w:szCs w:val="20"/>
          <w:color w:val="auto"/>
        </w:rPr>
      </w:pPr>
    </w:p>
    <w:p>
      <w:pPr>
        <w:ind w:left="20"/>
        <w:spacing w:after="0" w:line="331" w:lineRule="auto"/>
        <w:rPr>
          <w:sz w:val="20"/>
          <w:szCs w:val="20"/>
          <w:color w:val="auto"/>
        </w:rPr>
      </w:pPr>
      <w:r>
        <w:rPr>
          <w:rFonts w:ascii="Arial" w:cs="Arial" w:eastAsia="Arial" w:hAnsi="Arial"/>
          <w:sz w:val="18"/>
          <w:szCs w:val="18"/>
          <w:color w:val="51555C"/>
        </w:rPr>
        <w:t>Deneen M. DeFiore (Chair) Andrew M. Leitch Bradley L. Pyburn</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 xml:space="preserve">2025 Meetings: </w:t>
      </w:r>
      <w:r>
        <w:rPr>
          <w:rFonts w:ascii="Arial" w:cs="Arial" w:eastAsia="Arial" w:hAnsi="Arial"/>
          <w:sz w:val="18"/>
          <w:szCs w:val="18"/>
          <w:color w:val="51555C"/>
        </w:rPr>
        <w:t>4</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Primary Responsibilities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51555C"/>
        </w:rPr>
        <w:t>Pursuant to its charter, the Committee assists the Board in its oversight of:</w:t>
      </w:r>
    </w:p>
    <w:p>
      <w:pPr>
        <w:spacing w:after="0" w:line="117" w:lineRule="exact"/>
        <w:rPr>
          <w:sz w:val="20"/>
          <w:szCs w:val="20"/>
          <w:color w:val="auto"/>
        </w:rPr>
      </w:pPr>
    </w:p>
    <w:p>
      <w:pPr>
        <w:ind w:left="260" w:right="20" w:hanging="219"/>
        <w:spacing w:after="0" w:line="183" w:lineRule="auto"/>
        <w:tabs>
          <w:tab w:leader="none" w:pos="260" w:val="left"/>
        </w:tabs>
        <w:numPr>
          <w:ilvl w:val="0"/>
          <w:numId w:val="25"/>
        </w:numPr>
        <w:rPr>
          <w:rFonts w:ascii="Wingdings" w:cs="Wingdings" w:eastAsia="Wingdings" w:hAnsi="Wingdings"/>
          <w:sz w:val="35"/>
          <w:szCs w:val="35"/>
          <w:b w:val="1"/>
          <w:bCs w:val="1"/>
          <w:color w:val="0CD973"/>
          <w:vertAlign w:val="superscript"/>
        </w:rPr>
      </w:pPr>
      <w:r>
        <w:rPr>
          <w:rFonts w:ascii="Arial" w:cs="Arial" w:eastAsia="Arial" w:hAnsi="Arial"/>
          <w:sz w:val="18"/>
          <w:szCs w:val="18"/>
          <w:color w:val="51555C"/>
        </w:rPr>
        <w:t>the Company's risk management, compliance and control activities as they relate to information technology security;</w:t>
      </w:r>
    </w:p>
    <w:p>
      <w:pPr>
        <w:spacing w:after="0" w:line="85" w:lineRule="exact"/>
        <w:rPr>
          <w:rFonts w:ascii="Wingdings" w:cs="Wingdings" w:eastAsia="Wingdings" w:hAnsi="Wingdings"/>
          <w:sz w:val="35"/>
          <w:szCs w:val="35"/>
          <w:b w:val="1"/>
          <w:bCs w:val="1"/>
          <w:color w:val="0CD973"/>
          <w:vertAlign w:val="superscript"/>
        </w:rPr>
      </w:pPr>
    </w:p>
    <w:p>
      <w:pPr>
        <w:jc w:val="both"/>
        <w:ind w:left="260" w:right="20" w:hanging="219"/>
        <w:spacing w:after="0" w:line="197" w:lineRule="auto"/>
        <w:tabs>
          <w:tab w:leader="none" w:pos="260" w:val="left"/>
        </w:tabs>
        <w:numPr>
          <w:ilvl w:val="0"/>
          <w:numId w:val="25"/>
        </w:numPr>
        <w:rPr>
          <w:rFonts w:ascii="Wingdings" w:cs="Wingdings" w:eastAsia="Wingdings" w:hAnsi="Wingdings"/>
          <w:sz w:val="36"/>
          <w:szCs w:val="36"/>
          <w:b w:val="1"/>
          <w:bCs w:val="1"/>
          <w:color w:val="0CD973"/>
          <w:vertAlign w:val="superscript"/>
        </w:rPr>
      </w:pPr>
      <w:r>
        <w:rPr>
          <w:rFonts w:ascii="Arial" w:cs="Arial" w:eastAsia="Arial" w:hAnsi="Arial"/>
          <w:sz w:val="18"/>
          <w:szCs w:val="18"/>
          <w:color w:val="51555C"/>
        </w:rPr>
        <w:t>the Company's cybersecurity risks, including the Company's cyber risk management practices, adequacy of cyber-insurance, adequacy of an incident response plan and the Company's ability to respond to a cyber breach;</w:t>
      </w:r>
    </w:p>
    <w:p>
      <w:pPr>
        <w:spacing w:after="0" w:line="35" w:lineRule="exact"/>
        <w:rPr>
          <w:rFonts w:ascii="Wingdings" w:cs="Wingdings" w:eastAsia="Wingdings" w:hAnsi="Wingdings"/>
          <w:sz w:val="36"/>
          <w:szCs w:val="36"/>
          <w:b w:val="1"/>
          <w:bCs w:val="1"/>
          <w:color w:val="0CD973"/>
          <w:vertAlign w:val="superscript"/>
        </w:rPr>
      </w:pPr>
    </w:p>
    <w:p>
      <w:pPr>
        <w:ind w:left="260" w:hanging="219"/>
        <w:spacing w:after="0"/>
        <w:tabs>
          <w:tab w:leader="none" w:pos="260" w:val="left"/>
        </w:tabs>
        <w:numPr>
          <w:ilvl w:val="0"/>
          <w:numId w:val="25"/>
        </w:numPr>
        <w:rPr>
          <w:rFonts w:ascii="Wingdings" w:cs="Wingdings" w:eastAsia="Wingdings" w:hAnsi="Wingdings"/>
          <w:sz w:val="36"/>
          <w:szCs w:val="36"/>
          <w:b w:val="1"/>
          <w:bCs w:val="1"/>
          <w:color w:val="0CD973"/>
          <w:vertAlign w:val="superscript"/>
        </w:rPr>
      </w:pPr>
      <w:r>
        <w:rPr>
          <w:rFonts w:ascii="Arial" w:cs="Arial" w:eastAsia="Arial" w:hAnsi="Arial"/>
          <w:sz w:val="18"/>
          <w:szCs w:val="18"/>
          <w:color w:val="51555C"/>
        </w:rPr>
        <w:t>the Company's systems of operational controls regarding certain legal and regulatory compliance; and</w:t>
      </w:r>
    </w:p>
    <w:p>
      <w:pPr>
        <w:spacing w:after="0" w:line="103" w:lineRule="exact"/>
        <w:rPr>
          <w:rFonts w:ascii="Wingdings" w:cs="Wingdings" w:eastAsia="Wingdings" w:hAnsi="Wingdings"/>
          <w:sz w:val="36"/>
          <w:szCs w:val="36"/>
          <w:b w:val="1"/>
          <w:bCs w:val="1"/>
          <w:color w:val="0CD973"/>
          <w:vertAlign w:val="superscript"/>
        </w:rPr>
      </w:pPr>
    </w:p>
    <w:p>
      <w:pPr>
        <w:ind w:left="260" w:hanging="219"/>
        <w:spacing w:after="0" w:line="183" w:lineRule="auto"/>
        <w:tabs>
          <w:tab w:leader="none" w:pos="260" w:val="left"/>
        </w:tabs>
        <w:numPr>
          <w:ilvl w:val="0"/>
          <w:numId w:val="25"/>
        </w:numPr>
        <w:rPr>
          <w:rFonts w:ascii="Wingdings" w:cs="Wingdings" w:eastAsia="Wingdings" w:hAnsi="Wingdings"/>
          <w:sz w:val="26"/>
          <w:szCs w:val="26"/>
          <w:b w:val="1"/>
          <w:bCs w:val="1"/>
          <w:color w:val="0CD973"/>
          <w:vertAlign w:val="superscript"/>
        </w:rPr>
      </w:pPr>
      <w:r>
        <w:rPr>
          <w:rFonts w:ascii="Arial" w:cs="Arial" w:eastAsia="Arial" w:hAnsi="Arial"/>
          <w:sz w:val="15"/>
          <w:szCs w:val="15"/>
          <w:color w:val="51555C"/>
        </w:rPr>
        <w:t>the compliance with certain legal and regulatory requirements applicable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15240</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440"/>
            <w:col w:w="8600"/>
          </w:cols>
          <w:pgMar w:left="320" w:top="338" w:right="339" w:bottom="1440" w:gutter="0" w:footer="0" w:header="0"/>
          <w:type w:val="continuous"/>
        </w:sectPr>
      </w:pPr>
    </w:p>
    <w:p>
      <w:pPr>
        <w:spacing w:after="0" w:line="7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Additionally, the Cyber Risk Oversight Committee communicates to the Audit Committee any matters it identifies that may impact financial reporting.</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While our Company’s senior management is responsible for management of risk, the Board and its committees play a significant role in overseeing this function. Each of the committees oversees risks associated with its respective area of responsibility. In particular, the Audit Committee oversees risk related to our accounting, tax, financial and public disclosure processes. It also assesses risks associated with our financial assets. The Compensation Committee oversees risks related to our compensation and benefit plans, programs and policies in an effort to ensure sound pay practices that do not cause risks to arise that are reasonably likely to have a material adverse effect on our Company. The Nominating and Corporate Governance Committee seeks to minimize risks related to governance structure by implementing sound corporate governance principles and practices. The Cyber Risk Oversight Committee oversees risks related to information technology security, in addition to the risk oversight described above. Each of the committees regularly reports to the full Board as appropriate on its efforts at risk oversight and on any matter that rises to a material or enterprise level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220980</wp:posOffset>
            </wp:positionV>
            <wp:extent cx="702945" cy="1111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25</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27" w:name="page28"/>
    <w:bookmarkEnd w:id="27"/>
    <w:p>
      <w:pPr>
        <w:ind w:left="1016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DIRECTOR COMPENSATION</w:t>
      </w:r>
    </w:p>
    <w:p>
      <w:pPr>
        <w:spacing w:after="0" w:line="19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The general policy of the Board of Directors is that the compensation for our non-employee directors should be a mix of cash and equity-based compensation. The Board periodically reviews our director compensation program and practices, generally once every other year, and makes changes as it deems appropriate.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51555C"/>
        </w:rPr>
        <w:t>For 2025, the annual compensation for our non-employee directors consisted of the following components: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Component</w:t>
            </w:r>
          </w:p>
        </w:tc>
        <w:tc>
          <w:tcPr>
            <w:tcW w:w="80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Amount and Description</w:t>
            </w:r>
          </w:p>
        </w:tc>
        <w:tc>
          <w:tcPr>
            <w:tcW w:w="20" w:type="dxa"/>
            <w:vAlign w:val="bottom"/>
            <w:tcBorders>
              <w:bottom w:val="single" w:sz="8" w:color="004054"/>
            </w:tcBorders>
            <w:shd w:val="clear" w:color="auto" w:fill="004054"/>
          </w:tcPr>
          <w:p>
            <w:pPr>
              <w:spacing w:after="0"/>
              <w:rPr>
                <w:sz w:val="20"/>
                <w:szCs w:val="20"/>
                <w:color w:val="auto"/>
              </w:rPr>
            </w:pPr>
          </w:p>
        </w:tc>
      </w:tr>
      <w:tr>
        <w:trPr>
          <w:trHeight w:val="324"/>
        </w:trPr>
        <w:tc>
          <w:tcPr>
            <w:tcW w:w="322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Annual Cash Retainer</w:t>
            </w:r>
            <w:r>
              <w:rPr>
                <w:rFonts w:ascii="Arial" w:cs="Arial" w:eastAsia="Arial" w:hAnsi="Arial"/>
                <w:sz w:val="23"/>
                <w:szCs w:val="23"/>
                <w:color w:val="51555C"/>
                <w:vertAlign w:val="superscript"/>
              </w:rPr>
              <w:t>(1)</w:t>
            </w:r>
          </w:p>
        </w:tc>
        <w:tc>
          <w:tcPr>
            <w:tcW w:w="802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$60,000</w:t>
            </w:r>
          </w:p>
        </w:tc>
        <w:tc>
          <w:tcPr>
            <w:tcW w:w="20" w:type="dxa"/>
            <w:vAlign w:val="bottom"/>
          </w:tcPr>
          <w:p>
            <w:pPr>
              <w:spacing w:after="0"/>
              <w:rPr>
                <w:sz w:val="24"/>
                <w:szCs w:val="24"/>
                <w:color w:val="auto"/>
              </w:rPr>
            </w:pPr>
          </w:p>
        </w:tc>
      </w:tr>
      <w:tr>
        <w:trPr>
          <w:trHeight w:val="278"/>
        </w:trPr>
        <w:tc>
          <w:tcPr>
            <w:tcW w:w="3220" w:type="dxa"/>
            <w:vAlign w:val="bottom"/>
          </w:tcPr>
          <w:p>
            <w:pPr>
              <w:ind w:left="20"/>
              <w:spacing w:after="0"/>
              <w:rPr>
                <w:sz w:val="20"/>
                <w:szCs w:val="20"/>
                <w:color w:val="auto"/>
              </w:rPr>
            </w:pPr>
            <w:r>
              <w:rPr>
                <w:rFonts w:ascii="Arial" w:cs="Arial" w:eastAsia="Arial" w:hAnsi="Arial"/>
                <w:sz w:val="18"/>
                <w:szCs w:val="18"/>
                <w:b w:val="1"/>
                <w:bCs w:val="1"/>
                <w:color w:val="51555C"/>
              </w:rPr>
              <w:t>Annual Equity Awards</w:t>
            </w:r>
          </w:p>
        </w:tc>
        <w:tc>
          <w:tcPr>
            <w:tcW w:w="8020" w:type="dxa"/>
            <w:vAlign w:val="bottom"/>
          </w:tcPr>
          <w:p>
            <w:pPr>
              <w:ind w:left="20"/>
              <w:spacing w:after="0"/>
              <w:rPr>
                <w:sz w:val="20"/>
                <w:szCs w:val="20"/>
                <w:color w:val="auto"/>
              </w:rPr>
            </w:pPr>
            <w:r>
              <w:rPr>
                <w:rFonts w:ascii="Arial" w:cs="Arial" w:eastAsia="Arial" w:hAnsi="Arial"/>
                <w:sz w:val="18"/>
                <w:szCs w:val="18"/>
                <w:color w:val="51555C"/>
              </w:rPr>
              <w:t>Approximately $235,000 in RSAs that vest in full 1) on the first anniversary of the date of grant,</w:t>
            </w:r>
          </w:p>
        </w:tc>
        <w:tc>
          <w:tcPr>
            <w:tcW w:w="20" w:type="dxa"/>
            <w:vAlign w:val="bottom"/>
          </w:tcPr>
          <w:p>
            <w:pPr>
              <w:spacing w:after="0"/>
              <w:rPr>
                <w:sz w:val="24"/>
                <w:szCs w:val="24"/>
                <w:color w:val="auto"/>
              </w:rPr>
            </w:pPr>
          </w:p>
        </w:tc>
      </w:tr>
      <w:tr>
        <w:trPr>
          <w:trHeight w:val="216"/>
        </w:trPr>
        <w:tc>
          <w:tcPr>
            <w:tcW w:w="3220" w:type="dxa"/>
            <w:vAlign w:val="bottom"/>
          </w:tcPr>
          <w:p>
            <w:pPr>
              <w:spacing w:after="0"/>
              <w:rPr>
                <w:sz w:val="18"/>
                <w:szCs w:val="18"/>
                <w:color w:val="auto"/>
              </w:rPr>
            </w:pPr>
          </w:p>
        </w:tc>
        <w:tc>
          <w:tcPr>
            <w:tcW w:w="8020" w:type="dxa"/>
            <w:vAlign w:val="bottom"/>
          </w:tcPr>
          <w:p>
            <w:pPr>
              <w:ind w:left="20"/>
              <w:spacing w:after="0"/>
              <w:rPr>
                <w:sz w:val="20"/>
                <w:szCs w:val="20"/>
                <w:color w:val="auto"/>
              </w:rPr>
            </w:pPr>
            <w:r>
              <w:rPr>
                <w:rFonts w:ascii="Arial" w:cs="Arial" w:eastAsia="Arial" w:hAnsi="Arial"/>
                <w:sz w:val="18"/>
                <w:szCs w:val="18"/>
                <w:color w:val="51555C"/>
              </w:rPr>
              <w:t>provided that the director is still serving as a member of the Board of Directors or, 2) if the director</w:t>
            </w:r>
          </w:p>
        </w:tc>
        <w:tc>
          <w:tcPr>
            <w:tcW w:w="2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8020" w:type="dxa"/>
            <w:vAlign w:val="bottom"/>
          </w:tcPr>
          <w:p>
            <w:pPr>
              <w:ind w:left="20"/>
              <w:spacing w:after="0"/>
              <w:rPr>
                <w:sz w:val="20"/>
                <w:szCs w:val="20"/>
                <w:color w:val="auto"/>
              </w:rPr>
            </w:pPr>
            <w:r>
              <w:rPr>
                <w:rFonts w:ascii="Arial" w:cs="Arial" w:eastAsia="Arial" w:hAnsi="Arial"/>
                <w:sz w:val="18"/>
                <w:szCs w:val="18"/>
                <w:color w:val="51555C"/>
              </w:rPr>
              <w:t>does not stand for re-election at the end of their term, and provided that the director is then still</w:t>
            </w:r>
          </w:p>
        </w:tc>
        <w:tc>
          <w:tcPr>
            <w:tcW w:w="2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8020" w:type="dxa"/>
            <w:vAlign w:val="bottom"/>
          </w:tcPr>
          <w:p>
            <w:pPr>
              <w:ind w:left="20"/>
              <w:spacing w:after="0"/>
              <w:rPr>
                <w:sz w:val="20"/>
                <w:szCs w:val="20"/>
                <w:color w:val="auto"/>
              </w:rPr>
            </w:pPr>
            <w:r>
              <w:rPr>
                <w:rFonts w:ascii="Arial" w:cs="Arial" w:eastAsia="Arial" w:hAnsi="Arial"/>
                <w:sz w:val="18"/>
                <w:szCs w:val="18"/>
                <w:color w:val="51555C"/>
              </w:rPr>
              <w:t>serving as a member of the Board of Directors, vesting will occur immediately upon the end of such</w:t>
            </w:r>
          </w:p>
        </w:tc>
        <w:tc>
          <w:tcPr>
            <w:tcW w:w="20" w:type="dxa"/>
            <w:vAlign w:val="bottom"/>
          </w:tcPr>
          <w:p>
            <w:pPr>
              <w:spacing w:after="0"/>
              <w:rPr>
                <w:sz w:val="18"/>
                <w:szCs w:val="18"/>
                <w:color w:val="auto"/>
              </w:rPr>
            </w:pPr>
          </w:p>
        </w:tc>
      </w:tr>
      <w:tr>
        <w:trPr>
          <w:trHeight w:val="239"/>
        </w:trPr>
        <w:tc>
          <w:tcPr>
            <w:tcW w:w="3220" w:type="dxa"/>
            <w:vAlign w:val="bottom"/>
          </w:tcPr>
          <w:p>
            <w:pPr>
              <w:spacing w:after="0"/>
              <w:rPr>
                <w:sz w:val="20"/>
                <w:szCs w:val="20"/>
                <w:color w:val="auto"/>
              </w:rPr>
            </w:pPr>
          </w:p>
        </w:tc>
        <w:tc>
          <w:tcPr>
            <w:tcW w:w="8020" w:type="dxa"/>
            <w:vAlign w:val="bottom"/>
          </w:tcPr>
          <w:p>
            <w:pPr>
              <w:ind w:left="20"/>
              <w:spacing w:after="0"/>
              <w:rPr>
                <w:sz w:val="20"/>
                <w:szCs w:val="20"/>
                <w:color w:val="auto"/>
              </w:rPr>
            </w:pPr>
            <w:r>
              <w:rPr>
                <w:rFonts w:ascii="Arial" w:cs="Arial" w:eastAsia="Arial" w:hAnsi="Arial"/>
                <w:sz w:val="18"/>
                <w:szCs w:val="18"/>
                <w:color w:val="51555C"/>
              </w:rPr>
              <w:t>term. Recipients of RSAs have the right to vote such shares.</w:t>
            </w:r>
          </w:p>
        </w:tc>
        <w:tc>
          <w:tcPr>
            <w:tcW w:w="20" w:type="dxa"/>
            <w:vAlign w:val="bottom"/>
          </w:tcPr>
          <w:p>
            <w:pPr>
              <w:spacing w:after="0"/>
              <w:rPr>
                <w:sz w:val="20"/>
                <w:szCs w:val="20"/>
                <w:color w:val="auto"/>
              </w:rPr>
            </w:pPr>
          </w:p>
        </w:tc>
      </w:tr>
      <w:tr>
        <w:trPr>
          <w:trHeight w:val="23"/>
        </w:trPr>
        <w:tc>
          <w:tcPr>
            <w:tcW w:w="32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322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Board Chair Fee</w:t>
            </w:r>
            <w:r>
              <w:rPr>
                <w:rFonts w:ascii="Arial" w:cs="Arial" w:eastAsia="Arial" w:hAnsi="Arial"/>
                <w:sz w:val="23"/>
                <w:szCs w:val="23"/>
                <w:color w:val="51555C"/>
                <w:vertAlign w:val="superscript"/>
              </w:rPr>
              <w:t>(1)</w:t>
            </w:r>
          </w:p>
        </w:tc>
        <w:tc>
          <w:tcPr>
            <w:tcW w:w="802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$200,000</w:t>
            </w:r>
          </w:p>
        </w:tc>
        <w:tc>
          <w:tcPr>
            <w:tcW w:w="20" w:type="dxa"/>
            <w:vAlign w:val="bottom"/>
          </w:tcPr>
          <w:p>
            <w:pPr>
              <w:spacing w:after="0"/>
              <w:rPr>
                <w:sz w:val="24"/>
                <w:szCs w:val="24"/>
                <w:color w:val="auto"/>
              </w:rPr>
            </w:pPr>
          </w:p>
        </w:tc>
      </w:tr>
      <w:tr>
        <w:trPr>
          <w:trHeight w:val="332"/>
        </w:trPr>
        <w:tc>
          <w:tcPr>
            <w:tcW w:w="3220" w:type="dxa"/>
            <w:vAlign w:val="bottom"/>
          </w:tcPr>
          <w:p>
            <w:pPr>
              <w:ind w:left="20"/>
              <w:spacing w:after="0"/>
              <w:rPr>
                <w:sz w:val="20"/>
                <w:szCs w:val="20"/>
                <w:color w:val="auto"/>
              </w:rPr>
            </w:pPr>
            <w:r>
              <w:rPr>
                <w:rFonts w:ascii="Arial" w:cs="Arial" w:eastAsia="Arial" w:hAnsi="Arial"/>
                <w:sz w:val="18"/>
                <w:szCs w:val="18"/>
                <w:b w:val="1"/>
                <w:bCs w:val="1"/>
                <w:color w:val="51555C"/>
              </w:rPr>
              <w:t>Committee Chair Fees</w:t>
            </w:r>
            <w:r>
              <w:rPr>
                <w:rFonts w:ascii="Arial" w:cs="Arial" w:eastAsia="Arial" w:hAnsi="Arial"/>
                <w:sz w:val="23"/>
                <w:szCs w:val="23"/>
                <w:color w:val="51555C"/>
                <w:vertAlign w:val="superscript"/>
              </w:rPr>
              <w:t>(1)</w:t>
            </w:r>
          </w:p>
        </w:tc>
        <w:tc>
          <w:tcPr>
            <w:tcW w:w="8020" w:type="dxa"/>
            <w:vAlign w:val="bottom"/>
          </w:tcPr>
          <w:p>
            <w:pPr>
              <w:ind w:left="20"/>
              <w:spacing w:after="0"/>
              <w:rPr>
                <w:sz w:val="20"/>
                <w:szCs w:val="20"/>
                <w:color w:val="auto"/>
              </w:rPr>
            </w:pPr>
            <w:r>
              <w:rPr>
                <w:rFonts w:ascii="Arial" w:cs="Arial" w:eastAsia="Arial" w:hAnsi="Arial"/>
                <w:sz w:val="18"/>
                <w:szCs w:val="18"/>
                <w:color w:val="51555C"/>
              </w:rPr>
              <w:t>$30,000 for the Audit Committee</w:t>
            </w:r>
          </w:p>
        </w:tc>
        <w:tc>
          <w:tcPr>
            <w:tcW w:w="20" w:type="dxa"/>
            <w:vAlign w:val="bottom"/>
          </w:tcPr>
          <w:p>
            <w:pPr>
              <w:spacing w:after="0"/>
              <w:rPr>
                <w:sz w:val="24"/>
                <w:szCs w:val="24"/>
                <w:color w:val="auto"/>
              </w:rPr>
            </w:pPr>
          </w:p>
        </w:tc>
      </w:tr>
      <w:tr>
        <w:trPr>
          <w:trHeight w:val="239"/>
        </w:trPr>
        <w:tc>
          <w:tcPr>
            <w:tcW w:w="3220" w:type="dxa"/>
            <w:vAlign w:val="bottom"/>
          </w:tcPr>
          <w:p>
            <w:pPr>
              <w:spacing w:after="0"/>
              <w:rPr>
                <w:sz w:val="20"/>
                <w:szCs w:val="20"/>
                <w:color w:val="auto"/>
              </w:rPr>
            </w:pPr>
          </w:p>
        </w:tc>
        <w:tc>
          <w:tcPr>
            <w:tcW w:w="8020" w:type="dxa"/>
            <w:vAlign w:val="bottom"/>
          </w:tcPr>
          <w:p>
            <w:pPr>
              <w:ind w:left="20"/>
              <w:spacing w:after="0"/>
              <w:rPr>
                <w:sz w:val="20"/>
                <w:szCs w:val="20"/>
                <w:color w:val="auto"/>
              </w:rPr>
            </w:pPr>
            <w:r>
              <w:rPr>
                <w:rFonts w:ascii="Arial" w:cs="Arial" w:eastAsia="Arial" w:hAnsi="Arial"/>
                <w:sz w:val="18"/>
                <w:szCs w:val="18"/>
                <w:color w:val="51555C"/>
              </w:rPr>
              <w:t>$25,000 for the Compensation Committee</w:t>
            </w:r>
          </w:p>
        </w:tc>
        <w:tc>
          <w:tcPr>
            <w:tcW w:w="20" w:type="dxa"/>
            <w:vAlign w:val="bottom"/>
          </w:tcPr>
          <w:p>
            <w:pPr>
              <w:spacing w:after="0"/>
              <w:rPr>
                <w:sz w:val="20"/>
                <w:szCs w:val="20"/>
                <w:color w:val="auto"/>
              </w:rPr>
            </w:pPr>
          </w:p>
        </w:tc>
      </w:tr>
      <w:tr>
        <w:trPr>
          <w:trHeight w:val="270"/>
        </w:trPr>
        <w:tc>
          <w:tcPr>
            <w:tcW w:w="3220" w:type="dxa"/>
            <w:vAlign w:val="bottom"/>
          </w:tcPr>
          <w:p>
            <w:pPr>
              <w:spacing w:after="0"/>
              <w:rPr>
                <w:sz w:val="23"/>
                <w:szCs w:val="23"/>
                <w:color w:val="auto"/>
              </w:rPr>
            </w:pPr>
          </w:p>
        </w:tc>
        <w:tc>
          <w:tcPr>
            <w:tcW w:w="8020" w:type="dxa"/>
            <w:vAlign w:val="bottom"/>
          </w:tcPr>
          <w:p>
            <w:pPr>
              <w:ind w:left="20"/>
              <w:spacing w:after="0"/>
              <w:rPr>
                <w:sz w:val="20"/>
                <w:szCs w:val="20"/>
                <w:color w:val="auto"/>
              </w:rPr>
            </w:pPr>
            <w:r>
              <w:rPr>
                <w:rFonts w:ascii="Arial" w:cs="Arial" w:eastAsia="Arial" w:hAnsi="Arial"/>
                <w:sz w:val="18"/>
                <w:szCs w:val="18"/>
                <w:color w:val="51555C"/>
              </w:rPr>
              <w:t>$20,000 for the Nominating and Corporate Governance Committee</w:t>
            </w:r>
          </w:p>
        </w:tc>
        <w:tc>
          <w:tcPr>
            <w:tcW w:w="20" w:type="dxa"/>
            <w:vAlign w:val="bottom"/>
          </w:tcPr>
          <w:p>
            <w:pPr>
              <w:spacing w:after="0"/>
              <w:rPr>
                <w:sz w:val="23"/>
                <w:szCs w:val="23"/>
                <w:color w:val="auto"/>
              </w:rPr>
            </w:pPr>
          </w:p>
        </w:tc>
      </w:tr>
      <w:tr>
        <w:trPr>
          <w:trHeight w:val="270"/>
        </w:trPr>
        <w:tc>
          <w:tcPr>
            <w:tcW w:w="3220" w:type="dxa"/>
            <w:vAlign w:val="bottom"/>
          </w:tcPr>
          <w:p>
            <w:pPr>
              <w:spacing w:after="0"/>
              <w:rPr>
                <w:sz w:val="23"/>
                <w:szCs w:val="23"/>
                <w:color w:val="auto"/>
              </w:rPr>
            </w:pPr>
          </w:p>
        </w:tc>
        <w:tc>
          <w:tcPr>
            <w:tcW w:w="8020" w:type="dxa"/>
            <w:vAlign w:val="bottom"/>
          </w:tcPr>
          <w:p>
            <w:pPr>
              <w:ind w:left="20"/>
              <w:spacing w:after="0"/>
              <w:rPr>
                <w:sz w:val="20"/>
                <w:szCs w:val="20"/>
                <w:color w:val="auto"/>
              </w:rPr>
            </w:pPr>
            <w:r>
              <w:rPr>
                <w:rFonts w:ascii="Arial" w:cs="Arial" w:eastAsia="Arial" w:hAnsi="Arial"/>
                <w:sz w:val="18"/>
                <w:szCs w:val="18"/>
                <w:color w:val="51555C"/>
              </w:rPr>
              <w:t>$20,000 for the Cyber Risk Oversight Committee</w:t>
            </w:r>
          </w:p>
        </w:tc>
        <w:tc>
          <w:tcPr>
            <w:tcW w:w="20" w:type="dxa"/>
            <w:vAlign w:val="bottom"/>
          </w:tcPr>
          <w:p>
            <w:pPr>
              <w:spacing w:after="0"/>
              <w:rPr>
                <w:sz w:val="23"/>
                <w:szCs w:val="23"/>
                <w:color w:val="auto"/>
              </w:rPr>
            </w:pPr>
          </w:p>
        </w:tc>
      </w:tr>
      <w:tr>
        <w:trPr>
          <w:trHeight w:val="23"/>
        </w:trPr>
        <w:tc>
          <w:tcPr>
            <w:tcW w:w="32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32"/>
        </w:trPr>
        <w:tc>
          <w:tcPr>
            <w:tcW w:w="322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Committee Member Fees</w:t>
            </w:r>
            <w:r>
              <w:rPr>
                <w:rFonts w:ascii="Arial" w:cs="Arial" w:eastAsia="Arial" w:hAnsi="Arial"/>
                <w:sz w:val="23"/>
                <w:szCs w:val="23"/>
                <w:color w:val="51555C"/>
                <w:vertAlign w:val="superscript"/>
              </w:rPr>
              <w:t>(1)</w:t>
            </w:r>
          </w:p>
        </w:tc>
        <w:tc>
          <w:tcPr>
            <w:tcW w:w="802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$15,000 for the Audit Committee</w:t>
            </w:r>
          </w:p>
        </w:tc>
        <w:tc>
          <w:tcPr>
            <w:tcW w:w="20" w:type="dxa"/>
            <w:vAlign w:val="bottom"/>
          </w:tcPr>
          <w:p>
            <w:pPr>
              <w:spacing w:after="0"/>
              <w:rPr>
                <w:sz w:val="24"/>
                <w:szCs w:val="24"/>
                <w:color w:val="auto"/>
              </w:rPr>
            </w:pPr>
          </w:p>
        </w:tc>
      </w:tr>
      <w:tr>
        <w:trPr>
          <w:trHeight w:val="239"/>
        </w:trPr>
        <w:tc>
          <w:tcPr>
            <w:tcW w:w="3220" w:type="dxa"/>
            <w:vAlign w:val="bottom"/>
            <w:shd w:val="clear" w:color="auto" w:fill="EBFBFF"/>
          </w:tcPr>
          <w:p>
            <w:pPr>
              <w:spacing w:after="0"/>
              <w:rPr>
                <w:sz w:val="20"/>
                <w:szCs w:val="20"/>
                <w:color w:val="auto"/>
              </w:rPr>
            </w:pPr>
          </w:p>
        </w:tc>
        <w:tc>
          <w:tcPr>
            <w:tcW w:w="802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$15,000 for the Compensation Committee</w:t>
            </w:r>
          </w:p>
        </w:tc>
        <w:tc>
          <w:tcPr>
            <w:tcW w:w="20" w:type="dxa"/>
            <w:vAlign w:val="bottom"/>
          </w:tcPr>
          <w:p>
            <w:pPr>
              <w:spacing w:after="0"/>
              <w:rPr>
                <w:sz w:val="20"/>
                <w:szCs w:val="20"/>
                <w:color w:val="auto"/>
              </w:rPr>
            </w:pPr>
          </w:p>
        </w:tc>
      </w:tr>
      <w:tr>
        <w:trPr>
          <w:trHeight w:val="270"/>
        </w:trPr>
        <w:tc>
          <w:tcPr>
            <w:tcW w:w="3220" w:type="dxa"/>
            <w:vAlign w:val="bottom"/>
            <w:shd w:val="clear" w:color="auto" w:fill="EBFBFF"/>
          </w:tcPr>
          <w:p>
            <w:pPr>
              <w:spacing w:after="0"/>
              <w:rPr>
                <w:sz w:val="23"/>
                <w:szCs w:val="23"/>
                <w:color w:val="auto"/>
              </w:rPr>
            </w:pPr>
          </w:p>
        </w:tc>
        <w:tc>
          <w:tcPr>
            <w:tcW w:w="802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$10,000 for the Nominating and Corporate Governance Committee</w:t>
            </w:r>
          </w:p>
        </w:tc>
        <w:tc>
          <w:tcPr>
            <w:tcW w:w="20" w:type="dxa"/>
            <w:vAlign w:val="bottom"/>
          </w:tcPr>
          <w:p>
            <w:pPr>
              <w:spacing w:after="0"/>
              <w:rPr>
                <w:sz w:val="23"/>
                <w:szCs w:val="23"/>
                <w:color w:val="auto"/>
              </w:rPr>
            </w:pPr>
          </w:p>
        </w:tc>
      </w:tr>
      <w:tr>
        <w:trPr>
          <w:trHeight w:val="273"/>
        </w:trPr>
        <w:tc>
          <w:tcPr>
            <w:tcW w:w="3220" w:type="dxa"/>
            <w:vAlign w:val="bottom"/>
            <w:tcBorders>
              <w:bottom w:val="single" w:sz="8" w:color="EBFBFF"/>
            </w:tcBorders>
            <w:shd w:val="clear" w:color="auto" w:fill="EBFBFF"/>
          </w:tcPr>
          <w:p>
            <w:pPr>
              <w:spacing w:after="0"/>
              <w:rPr>
                <w:sz w:val="23"/>
                <w:szCs w:val="23"/>
                <w:color w:val="auto"/>
              </w:rPr>
            </w:pPr>
          </w:p>
        </w:tc>
        <w:tc>
          <w:tcPr>
            <w:tcW w:w="80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$10,000 for the Cyber Risk Oversight Committee</w:t>
            </w:r>
          </w:p>
        </w:tc>
        <w:tc>
          <w:tcPr>
            <w:tcW w:w="20" w:type="dxa"/>
            <w:vAlign w:val="bottom"/>
          </w:tcPr>
          <w:p>
            <w:pPr>
              <w:spacing w:after="0"/>
              <w:rPr>
                <w:sz w:val="23"/>
                <w:szCs w:val="23"/>
                <w:color w:val="auto"/>
              </w:rPr>
            </w:pPr>
          </w:p>
        </w:tc>
      </w:tr>
      <w:tr>
        <w:trPr>
          <w:trHeight w:val="318"/>
        </w:trPr>
        <w:tc>
          <w:tcPr>
            <w:tcW w:w="322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51555C"/>
              </w:rPr>
              <w:t>Meeting Fees</w:t>
            </w:r>
          </w:p>
        </w:tc>
        <w:tc>
          <w:tcPr>
            <w:tcW w:w="8020" w:type="dxa"/>
            <w:vAlign w:val="bottom"/>
            <w:tcBorders>
              <w:bottom w:val="single" w:sz="8" w:color="0CD973"/>
            </w:tcBorders>
          </w:tcPr>
          <w:p>
            <w:pPr>
              <w:ind w:left="20"/>
              <w:spacing w:after="0"/>
              <w:rPr>
                <w:sz w:val="20"/>
                <w:szCs w:val="20"/>
                <w:color w:val="auto"/>
              </w:rPr>
            </w:pPr>
            <w:r>
              <w:rPr>
                <w:rFonts w:ascii="Arial" w:cs="Arial" w:eastAsia="Arial" w:hAnsi="Arial"/>
                <w:sz w:val="18"/>
                <w:szCs w:val="18"/>
                <w:color w:val="51555C"/>
              </w:rPr>
              <w:t>None</w:t>
            </w:r>
          </w:p>
        </w:tc>
        <w:tc>
          <w:tcPr>
            <w:tcW w:w="20" w:type="dxa"/>
            <w:vAlign w:val="bottom"/>
          </w:tcPr>
          <w:p>
            <w:pPr>
              <w:spacing w:after="0"/>
              <w:rPr>
                <w:sz w:val="24"/>
                <w:szCs w:val="24"/>
                <w:color w:val="auto"/>
              </w:rPr>
            </w:pPr>
          </w:p>
        </w:tc>
      </w:tr>
    </w:tbl>
    <w:p>
      <w:pPr>
        <w:spacing w:after="0" w:line="7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4"/>
          <w:szCs w:val="14"/>
          <w:color w:val="51555C"/>
        </w:rPr>
      </w:pPr>
      <w:r>
        <w:rPr>
          <w:rFonts w:ascii="Arial" w:cs="Arial" w:eastAsia="Arial" w:hAnsi="Arial"/>
          <w:sz w:val="14"/>
          <w:szCs w:val="14"/>
          <w:color w:val="51555C"/>
        </w:rPr>
        <w:t>The annual cash retainer and other fees are paid on a quarterly basis.</w:t>
      </w:r>
    </w:p>
    <w:p>
      <w:pPr>
        <w:spacing w:after="0" w:line="378"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26</w:t>
      </w:r>
      <w:r>
        <w:rPr>
          <w:sz w:val="20"/>
          <w:szCs w:val="20"/>
          <w:color w:val="auto"/>
        </w:rPr>
        <w:tab/>
      </w:r>
      <w:r>
        <w:rPr>
          <w:sz w:val="1"/>
          <w:szCs w:val="1"/>
          <w:color w:val="auto"/>
        </w:rPr>
        <w:drawing>
          <wp:inline distT="0" distB="0" distL="0" distR="0">
            <wp:extent cx="702945" cy="11112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bookmarkStart w:id="28" w:name="page29"/>
    <w:bookmarkEnd w:id="28"/>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2025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sets forth the total compensation paid to each of our non-employee directors in 2025.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60" w:type="dxa"/>
            <w:vAlign w:val="bottom"/>
            <w:tcBorders>
              <w:top w:val="single" w:sz="8" w:color="004054"/>
            </w:tcBorders>
            <w:shd w:val="clear" w:color="auto" w:fill="004054"/>
          </w:tcPr>
          <w:p>
            <w:pPr>
              <w:spacing w:after="0"/>
              <w:rPr>
                <w:sz w:val="16"/>
                <w:szCs w:val="16"/>
                <w:color w:val="auto"/>
              </w:rPr>
            </w:pPr>
          </w:p>
        </w:tc>
        <w:tc>
          <w:tcPr>
            <w:tcW w:w="220" w:type="dxa"/>
            <w:vAlign w:val="bottom"/>
            <w:tcBorders>
              <w:top w:val="single" w:sz="8" w:color="004054"/>
            </w:tcBorders>
            <w:shd w:val="clear" w:color="auto" w:fill="004054"/>
          </w:tcPr>
          <w:p>
            <w:pPr>
              <w:spacing w:after="0"/>
              <w:rPr>
                <w:sz w:val="16"/>
                <w:szCs w:val="16"/>
                <w:color w:val="auto"/>
              </w:rPr>
            </w:pPr>
          </w:p>
        </w:tc>
        <w:tc>
          <w:tcPr>
            <w:tcW w:w="1160" w:type="dxa"/>
            <w:vAlign w:val="bottom"/>
            <w:tcBorders>
              <w:top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Fees Earned or</w:t>
            </w:r>
          </w:p>
        </w:tc>
        <w:tc>
          <w:tcPr>
            <w:tcW w:w="360" w:type="dxa"/>
            <w:vAlign w:val="bottom"/>
            <w:tcBorders>
              <w:top w:val="single" w:sz="8" w:color="004054"/>
            </w:tcBorders>
            <w:shd w:val="clear" w:color="auto" w:fill="004054"/>
          </w:tcPr>
          <w:p>
            <w:pPr>
              <w:spacing w:after="0"/>
              <w:rPr>
                <w:sz w:val="16"/>
                <w:szCs w:val="16"/>
                <w:color w:val="auto"/>
              </w:rPr>
            </w:pPr>
          </w:p>
        </w:tc>
        <w:tc>
          <w:tcPr>
            <w:tcW w:w="1020" w:type="dxa"/>
            <w:vAlign w:val="bottom"/>
            <w:tcBorders>
              <w:top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Stock</w:t>
            </w:r>
          </w:p>
        </w:tc>
        <w:tc>
          <w:tcPr>
            <w:tcW w:w="320" w:type="dxa"/>
            <w:vAlign w:val="bottom"/>
            <w:tcBorders>
              <w:top w:val="single" w:sz="8" w:color="004054"/>
            </w:tcBorders>
            <w:shd w:val="clear" w:color="auto" w:fill="004054"/>
          </w:tcPr>
          <w:p>
            <w:pPr>
              <w:spacing w:after="0"/>
              <w:rPr>
                <w:sz w:val="16"/>
                <w:szCs w:val="16"/>
                <w:color w:val="auto"/>
              </w:rPr>
            </w:pPr>
          </w:p>
        </w:tc>
        <w:tc>
          <w:tcPr>
            <w:tcW w:w="1240" w:type="dxa"/>
            <w:vAlign w:val="bottom"/>
            <w:tcBorders>
              <w:top w:val="single" w:sz="8" w:color="004054"/>
              <w:right w:val="single" w:sz="8" w:color="006880"/>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All Other</w:t>
            </w:r>
          </w:p>
        </w:tc>
        <w:tc>
          <w:tcPr>
            <w:tcW w:w="360" w:type="dxa"/>
            <w:vAlign w:val="bottom"/>
            <w:tcBorders>
              <w:top w:val="single" w:sz="8" w:color="006880"/>
            </w:tcBorders>
            <w:shd w:val="clear" w:color="auto" w:fill="006880"/>
          </w:tcPr>
          <w:p>
            <w:pPr>
              <w:spacing w:after="0"/>
              <w:rPr>
                <w:sz w:val="16"/>
                <w:szCs w:val="16"/>
                <w:color w:val="auto"/>
              </w:rPr>
            </w:pPr>
          </w:p>
        </w:tc>
        <w:tc>
          <w:tcPr>
            <w:tcW w:w="1000" w:type="dxa"/>
            <w:vAlign w:val="bottom"/>
            <w:tcBorders>
              <w:top w:val="single" w:sz="8" w:color="006880"/>
            </w:tcBorders>
            <w:shd w:val="clear" w:color="auto" w:fill="006880"/>
          </w:tcPr>
          <w:p>
            <w:pPr>
              <w:spacing w:after="0"/>
              <w:rPr>
                <w:sz w:val="16"/>
                <w:szCs w:val="16"/>
                <w:color w:val="auto"/>
              </w:rPr>
            </w:pPr>
          </w:p>
        </w:tc>
        <w:tc>
          <w:tcPr>
            <w:tcW w:w="20" w:type="dxa"/>
            <w:vAlign w:val="bottom"/>
            <w:tcBorders>
              <w:top w:val="single" w:sz="8" w:color="006880"/>
            </w:tcBorders>
            <w:shd w:val="clear" w:color="auto" w:fill="006880"/>
          </w:tcPr>
          <w:p>
            <w:pPr>
              <w:spacing w:after="0"/>
              <w:rPr>
                <w:sz w:val="16"/>
                <w:szCs w:val="16"/>
                <w:color w:val="auto"/>
              </w:rPr>
            </w:pPr>
          </w:p>
        </w:tc>
      </w:tr>
      <w:tr>
        <w:trPr>
          <w:trHeight w:val="162"/>
        </w:trPr>
        <w:tc>
          <w:tcPr>
            <w:tcW w:w="5560" w:type="dxa"/>
            <w:vAlign w:val="bottom"/>
            <w:shd w:val="clear" w:color="auto" w:fill="004054"/>
          </w:tcPr>
          <w:p>
            <w:pPr>
              <w:spacing w:after="0"/>
              <w:rPr>
                <w:sz w:val="14"/>
                <w:szCs w:val="14"/>
                <w:color w:val="auto"/>
              </w:rPr>
            </w:pPr>
          </w:p>
        </w:tc>
        <w:tc>
          <w:tcPr>
            <w:tcW w:w="220" w:type="dxa"/>
            <w:vAlign w:val="bottom"/>
            <w:shd w:val="clear" w:color="auto" w:fill="004054"/>
          </w:tcPr>
          <w:p>
            <w:pPr>
              <w:spacing w:after="0"/>
              <w:rPr>
                <w:sz w:val="14"/>
                <w:szCs w:val="14"/>
                <w:color w:val="auto"/>
              </w:rPr>
            </w:pPr>
          </w:p>
        </w:tc>
        <w:tc>
          <w:tcPr>
            <w:tcW w:w="11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Paid in Cash</w:t>
            </w:r>
          </w:p>
        </w:tc>
        <w:tc>
          <w:tcPr>
            <w:tcW w:w="360" w:type="dxa"/>
            <w:vAlign w:val="bottom"/>
            <w:shd w:val="clear" w:color="auto" w:fill="004054"/>
          </w:tcPr>
          <w:p>
            <w:pPr>
              <w:spacing w:after="0"/>
              <w:rPr>
                <w:sz w:val="14"/>
                <w:szCs w:val="14"/>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Awards</w:t>
            </w:r>
            <w:r>
              <w:rPr>
                <w:rFonts w:ascii="Arial" w:cs="Arial" w:eastAsia="Arial" w:hAnsi="Arial"/>
                <w:sz w:val="9"/>
                <w:szCs w:val="9"/>
                <w:b w:val="1"/>
                <w:bCs w:val="1"/>
                <w:color w:val="FFFFFF"/>
              </w:rPr>
              <w:t>(1)(4)</w:t>
            </w:r>
          </w:p>
        </w:tc>
        <w:tc>
          <w:tcPr>
            <w:tcW w:w="320" w:type="dxa"/>
            <w:vAlign w:val="bottom"/>
            <w:shd w:val="clear" w:color="auto" w:fill="004054"/>
          </w:tcPr>
          <w:p>
            <w:pPr>
              <w:spacing w:after="0"/>
              <w:rPr>
                <w:sz w:val="14"/>
                <w:szCs w:val="14"/>
                <w:color w:val="auto"/>
              </w:rPr>
            </w:pPr>
          </w:p>
        </w:tc>
        <w:tc>
          <w:tcPr>
            <w:tcW w:w="1240" w:type="dxa"/>
            <w:vAlign w:val="bottom"/>
            <w:tcBorders>
              <w:right w:val="single" w:sz="8" w:color="006880"/>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Compensation</w:t>
            </w:r>
          </w:p>
        </w:tc>
        <w:tc>
          <w:tcPr>
            <w:tcW w:w="360" w:type="dxa"/>
            <w:vAlign w:val="bottom"/>
            <w:shd w:val="clear" w:color="auto" w:fill="006880"/>
          </w:tcPr>
          <w:p>
            <w:pPr>
              <w:spacing w:after="0"/>
              <w:rPr>
                <w:sz w:val="14"/>
                <w:szCs w:val="14"/>
                <w:color w:val="auto"/>
              </w:rPr>
            </w:pPr>
          </w:p>
        </w:tc>
        <w:tc>
          <w:tcPr>
            <w:tcW w:w="1000" w:type="dxa"/>
            <w:vAlign w:val="bottom"/>
            <w:shd w:val="clear" w:color="auto" w:fill="006880"/>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shd w:val="clear" w:color="auto" w:fill="006880"/>
          </w:tcPr>
          <w:p>
            <w:pPr>
              <w:spacing w:after="0"/>
              <w:rPr>
                <w:sz w:val="14"/>
                <w:szCs w:val="14"/>
                <w:color w:val="auto"/>
              </w:rPr>
            </w:pPr>
          </w:p>
        </w:tc>
      </w:tr>
      <w:tr>
        <w:trPr>
          <w:trHeight w:val="219"/>
        </w:trPr>
        <w:tc>
          <w:tcPr>
            <w:tcW w:w="55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Name</w:t>
            </w:r>
          </w:p>
        </w:tc>
        <w:tc>
          <w:tcPr>
            <w:tcW w:w="220" w:type="dxa"/>
            <w:vAlign w:val="bottom"/>
            <w:tcBorders>
              <w:bottom w:val="single" w:sz="8" w:color="004054"/>
            </w:tcBorders>
            <w:shd w:val="clear" w:color="auto" w:fill="004054"/>
          </w:tcPr>
          <w:p>
            <w:pPr>
              <w:spacing w:after="0"/>
              <w:rPr>
                <w:sz w:val="19"/>
                <w:szCs w:val="19"/>
                <w:color w:val="auto"/>
              </w:rPr>
            </w:pPr>
          </w:p>
        </w:tc>
        <w:tc>
          <w:tcPr>
            <w:tcW w:w="11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004054"/>
            </w:tcBorders>
            <w:shd w:val="clear" w:color="auto" w:fill="004054"/>
          </w:tcPr>
          <w:p>
            <w:pPr>
              <w:spacing w:after="0"/>
              <w:rPr>
                <w:sz w:val="19"/>
                <w:szCs w:val="19"/>
                <w:color w:val="auto"/>
              </w:rPr>
            </w:pPr>
          </w:p>
        </w:tc>
        <w:tc>
          <w:tcPr>
            <w:tcW w:w="10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w:t>
            </w:r>
          </w:p>
        </w:tc>
        <w:tc>
          <w:tcPr>
            <w:tcW w:w="320" w:type="dxa"/>
            <w:vAlign w:val="bottom"/>
            <w:tcBorders>
              <w:bottom w:val="single" w:sz="8" w:color="004054"/>
            </w:tcBorders>
            <w:shd w:val="clear" w:color="auto" w:fill="004054"/>
          </w:tcPr>
          <w:p>
            <w:pPr>
              <w:spacing w:after="0"/>
              <w:rPr>
                <w:sz w:val="19"/>
                <w:szCs w:val="19"/>
                <w:color w:val="auto"/>
              </w:rPr>
            </w:pPr>
          </w:p>
        </w:tc>
        <w:tc>
          <w:tcPr>
            <w:tcW w:w="1240" w:type="dxa"/>
            <w:vAlign w:val="bottom"/>
            <w:tcBorders>
              <w:bottom w:val="single" w:sz="8" w:color="004054"/>
              <w:right w:val="single" w:sz="8" w:color="006880"/>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006880"/>
            </w:tcBorders>
            <w:shd w:val="clear" w:color="auto" w:fill="006880"/>
          </w:tcPr>
          <w:p>
            <w:pPr>
              <w:spacing w:after="0"/>
              <w:rPr>
                <w:sz w:val="19"/>
                <w:szCs w:val="19"/>
                <w:color w:val="auto"/>
              </w:rPr>
            </w:pPr>
          </w:p>
        </w:tc>
        <w:tc>
          <w:tcPr>
            <w:tcW w:w="1000" w:type="dxa"/>
            <w:vAlign w:val="bottom"/>
            <w:tcBorders>
              <w:bottom w:val="single" w:sz="8" w:color="006880"/>
            </w:tcBorders>
            <w:shd w:val="clear" w:color="auto" w:fill="006880"/>
          </w:tcPr>
          <w:p>
            <w:pPr>
              <w:jc w:val="right"/>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006880"/>
            </w:tcBorders>
            <w:shd w:val="clear" w:color="auto" w:fill="006880"/>
          </w:tcPr>
          <w:p>
            <w:pPr>
              <w:spacing w:after="0"/>
              <w:rPr>
                <w:sz w:val="19"/>
                <w:szCs w:val="19"/>
                <w:color w:val="auto"/>
              </w:rPr>
            </w:pPr>
          </w:p>
        </w:tc>
      </w:tr>
      <w:tr>
        <w:trPr>
          <w:trHeight w:val="324"/>
        </w:trPr>
        <w:tc>
          <w:tcPr>
            <w:tcW w:w="556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Deneen M. DeFiore</w:t>
            </w:r>
          </w:p>
        </w:tc>
        <w:tc>
          <w:tcPr>
            <w:tcW w:w="220" w:type="dxa"/>
            <w:vAlign w:val="bottom"/>
            <w:shd w:val="clear" w:color="auto" w:fill="EBFBFF"/>
          </w:tcPr>
          <w:p>
            <w:pPr>
              <w:jc w:val="right"/>
              <w:ind w:right="10"/>
              <w:spacing w:after="0"/>
              <w:rPr>
                <w:sz w:val="20"/>
                <w:szCs w:val="20"/>
                <w:color w:val="auto"/>
              </w:rPr>
            </w:pPr>
            <w:r>
              <w:rPr>
                <w:rFonts w:ascii="Arial" w:cs="Arial" w:eastAsia="Arial" w:hAnsi="Arial"/>
                <w:sz w:val="18"/>
                <w:szCs w:val="18"/>
                <w:color w:val="51555C"/>
                <w:w w:val="99"/>
              </w:rPr>
              <w:t>$</w:t>
            </w:r>
          </w:p>
        </w:tc>
        <w:tc>
          <w:tcPr>
            <w:tcW w:w="11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85,000</w:t>
            </w:r>
          </w:p>
        </w:tc>
        <w:tc>
          <w:tcPr>
            <w:tcW w:w="360" w:type="dxa"/>
            <w:vAlign w:val="bottom"/>
            <w:shd w:val="clear" w:color="auto" w:fill="EBFBFF"/>
          </w:tcPr>
          <w:p>
            <w:pPr>
              <w:jc w:val="right"/>
              <w:ind w:right="150"/>
              <w:spacing w:after="0"/>
              <w:rPr>
                <w:sz w:val="20"/>
                <w:szCs w:val="20"/>
                <w:color w:val="auto"/>
              </w:rPr>
            </w:pPr>
            <w:r>
              <w:rPr>
                <w:rFonts w:ascii="Arial" w:cs="Arial" w:eastAsia="Arial" w:hAnsi="Arial"/>
                <w:sz w:val="18"/>
                <w:szCs w:val="18"/>
                <w:color w:val="51555C"/>
                <w:w w:val="99"/>
              </w:rPr>
              <w:t>$</w:t>
            </w:r>
          </w:p>
        </w:tc>
        <w:tc>
          <w:tcPr>
            <w:tcW w:w="102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239,578</w:t>
            </w:r>
          </w:p>
        </w:tc>
        <w:tc>
          <w:tcPr>
            <w:tcW w:w="320" w:type="dxa"/>
            <w:vAlign w:val="bottom"/>
            <w:shd w:val="clear" w:color="auto" w:fill="EBFBFF"/>
          </w:tcPr>
          <w:p>
            <w:pPr>
              <w:jc w:val="right"/>
              <w:ind w:right="110"/>
              <w:spacing w:after="0"/>
              <w:rPr>
                <w:sz w:val="20"/>
                <w:szCs w:val="20"/>
                <w:color w:val="auto"/>
              </w:rPr>
            </w:pPr>
            <w:r>
              <w:rPr>
                <w:rFonts w:ascii="Arial" w:cs="Arial" w:eastAsia="Arial" w:hAnsi="Arial"/>
                <w:sz w:val="18"/>
                <w:szCs w:val="18"/>
                <w:color w:val="51555C"/>
                <w:w w:val="99"/>
              </w:rPr>
              <w:t>$</w:t>
            </w:r>
          </w:p>
        </w:tc>
        <w:tc>
          <w:tcPr>
            <w:tcW w:w="1600" w:type="dxa"/>
            <w:vAlign w:val="bottom"/>
            <w:gridSpan w:val="2"/>
            <w:shd w:val="clear" w:color="auto" w:fill="EBFBFF"/>
          </w:tcPr>
          <w:p>
            <w:pPr>
              <w:ind w:left="960"/>
              <w:spacing w:after="0"/>
              <w:rPr>
                <w:sz w:val="20"/>
                <w:szCs w:val="20"/>
                <w:color w:val="auto"/>
              </w:rPr>
            </w:pPr>
            <w:r>
              <w:rPr>
                <w:rFonts w:ascii="Arial" w:cs="Arial" w:eastAsia="Arial" w:hAnsi="Arial"/>
                <w:sz w:val="18"/>
                <w:szCs w:val="18"/>
                <w:color w:val="51555C"/>
              </w:rPr>
              <w:t xml:space="preserve">— </w:t>
            </w:r>
            <w:r>
              <w:rPr>
                <w:rFonts w:ascii="Arial" w:cs="Arial" w:eastAsia="Arial" w:hAnsi="Arial"/>
                <w:sz w:val="18"/>
                <w:szCs w:val="18"/>
                <w:b w:val="1"/>
                <w:bCs w:val="1"/>
                <w:color w:val="51555C"/>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8"/>
                <w:szCs w:val="18"/>
                <w:b w:val="1"/>
                <w:bCs w:val="1"/>
                <w:color w:val="51555C"/>
              </w:rPr>
              <w:t>324,578</w:t>
            </w:r>
          </w:p>
        </w:tc>
        <w:tc>
          <w:tcPr>
            <w:tcW w:w="20" w:type="dxa"/>
            <w:vAlign w:val="bottom"/>
          </w:tcPr>
          <w:p>
            <w:pPr>
              <w:spacing w:after="0"/>
              <w:rPr>
                <w:sz w:val="24"/>
                <w:szCs w:val="24"/>
                <w:color w:val="auto"/>
              </w:rPr>
            </w:pPr>
          </w:p>
        </w:tc>
      </w:tr>
      <w:tr>
        <w:trPr>
          <w:trHeight w:val="324"/>
        </w:trPr>
        <w:tc>
          <w:tcPr>
            <w:tcW w:w="5560" w:type="dxa"/>
            <w:vAlign w:val="bottom"/>
          </w:tcPr>
          <w:p>
            <w:pPr>
              <w:ind w:left="20"/>
              <w:spacing w:after="0"/>
              <w:rPr>
                <w:sz w:val="20"/>
                <w:szCs w:val="20"/>
                <w:color w:val="auto"/>
              </w:rPr>
            </w:pPr>
            <w:r>
              <w:rPr>
                <w:rFonts w:ascii="Arial" w:cs="Arial" w:eastAsia="Arial" w:hAnsi="Arial"/>
                <w:sz w:val="18"/>
                <w:szCs w:val="18"/>
                <w:b w:val="1"/>
                <w:bCs w:val="1"/>
                <w:color w:val="51555C"/>
              </w:rPr>
              <w:t>Yogesh K. Gupta</w:t>
            </w:r>
            <w:r>
              <w:rPr>
                <w:rFonts w:ascii="Arial" w:cs="Arial" w:eastAsia="Arial" w:hAnsi="Arial"/>
                <w:sz w:val="23"/>
                <w:szCs w:val="23"/>
                <w:b w:val="1"/>
                <w:bCs w:val="1"/>
                <w:color w:val="51555C"/>
                <w:vertAlign w:val="superscript"/>
              </w:rPr>
              <w:t>(2)</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51555C"/>
              </w:rPr>
              <w:t>56,250</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239,578</w:t>
            </w:r>
          </w:p>
        </w:tc>
        <w:tc>
          <w:tcPr>
            <w:tcW w:w="320" w:type="dxa"/>
            <w:vAlign w:val="bottom"/>
          </w:tcPr>
          <w:p>
            <w:pPr>
              <w:spacing w:after="0"/>
              <w:rPr>
                <w:sz w:val="24"/>
                <w:szCs w:val="24"/>
                <w:color w:val="auto"/>
              </w:rPr>
            </w:pPr>
          </w:p>
        </w:tc>
        <w:tc>
          <w:tcPr>
            <w:tcW w:w="1600" w:type="dxa"/>
            <w:vAlign w:val="bottom"/>
            <w:gridSpan w:val="2"/>
          </w:tcPr>
          <w:p>
            <w:pPr>
              <w:ind w:left="960"/>
              <w:spacing w:after="0"/>
              <w:rPr>
                <w:sz w:val="20"/>
                <w:szCs w:val="20"/>
                <w:color w:val="auto"/>
              </w:rPr>
            </w:pPr>
            <w:r>
              <w:rPr>
                <w:rFonts w:ascii="Arial" w:cs="Arial" w:eastAsia="Arial" w:hAnsi="Arial"/>
                <w:sz w:val="18"/>
                <w:szCs w:val="18"/>
                <w:color w:val="51555C"/>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51555C"/>
              </w:rPr>
              <w:t>295,828</w:t>
            </w:r>
          </w:p>
        </w:tc>
        <w:tc>
          <w:tcPr>
            <w:tcW w:w="20" w:type="dxa"/>
            <w:vAlign w:val="bottom"/>
          </w:tcPr>
          <w:p>
            <w:pPr>
              <w:spacing w:after="0"/>
              <w:rPr>
                <w:sz w:val="24"/>
                <w:szCs w:val="24"/>
                <w:color w:val="auto"/>
              </w:rPr>
            </w:pPr>
          </w:p>
        </w:tc>
      </w:tr>
      <w:tr>
        <w:trPr>
          <w:trHeight w:val="324"/>
        </w:trPr>
        <w:tc>
          <w:tcPr>
            <w:tcW w:w="556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Rupal S. Hollenbeck</w:t>
            </w:r>
          </w:p>
        </w:tc>
        <w:tc>
          <w:tcPr>
            <w:tcW w:w="220" w:type="dxa"/>
            <w:vAlign w:val="bottom"/>
            <w:shd w:val="clear" w:color="auto" w:fill="EBFBFF"/>
          </w:tcPr>
          <w:p>
            <w:pPr>
              <w:spacing w:after="0"/>
              <w:rPr>
                <w:sz w:val="24"/>
                <w:szCs w:val="24"/>
                <w:color w:val="auto"/>
              </w:rPr>
            </w:pPr>
          </w:p>
        </w:tc>
        <w:tc>
          <w:tcPr>
            <w:tcW w:w="11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70,000</w:t>
            </w:r>
          </w:p>
        </w:tc>
        <w:tc>
          <w:tcPr>
            <w:tcW w:w="360" w:type="dxa"/>
            <w:vAlign w:val="bottom"/>
            <w:shd w:val="clear" w:color="auto" w:fill="EBFBFF"/>
          </w:tcPr>
          <w:p>
            <w:pPr>
              <w:spacing w:after="0"/>
              <w:rPr>
                <w:sz w:val="24"/>
                <w:szCs w:val="24"/>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239,578</w:t>
            </w:r>
          </w:p>
        </w:tc>
        <w:tc>
          <w:tcPr>
            <w:tcW w:w="320" w:type="dxa"/>
            <w:vAlign w:val="bottom"/>
            <w:shd w:val="clear" w:color="auto" w:fill="EBFBFF"/>
          </w:tcPr>
          <w:p>
            <w:pPr>
              <w:spacing w:after="0"/>
              <w:rPr>
                <w:sz w:val="24"/>
                <w:szCs w:val="24"/>
                <w:color w:val="auto"/>
              </w:rPr>
            </w:pPr>
          </w:p>
        </w:tc>
        <w:tc>
          <w:tcPr>
            <w:tcW w:w="1600" w:type="dxa"/>
            <w:vAlign w:val="bottom"/>
            <w:gridSpan w:val="2"/>
            <w:shd w:val="clear" w:color="auto" w:fill="EBFBFF"/>
          </w:tcPr>
          <w:p>
            <w:pPr>
              <w:ind w:left="960"/>
              <w:spacing w:after="0"/>
              <w:rPr>
                <w:sz w:val="20"/>
                <w:szCs w:val="20"/>
                <w:color w:val="auto"/>
              </w:rPr>
            </w:pPr>
            <w:r>
              <w:rPr>
                <w:rFonts w:ascii="Arial" w:cs="Arial" w:eastAsia="Arial" w:hAnsi="Arial"/>
                <w:sz w:val="18"/>
                <w:szCs w:val="18"/>
                <w:color w:val="51555C"/>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8"/>
                <w:szCs w:val="18"/>
                <w:b w:val="1"/>
                <w:bCs w:val="1"/>
                <w:color w:val="51555C"/>
              </w:rPr>
              <w:t>309,578</w:t>
            </w:r>
          </w:p>
        </w:tc>
        <w:tc>
          <w:tcPr>
            <w:tcW w:w="20" w:type="dxa"/>
            <w:vAlign w:val="bottom"/>
          </w:tcPr>
          <w:p>
            <w:pPr>
              <w:spacing w:after="0"/>
              <w:rPr>
                <w:sz w:val="24"/>
                <w:szCs w:val="24"/>
                <w:color w:val="auto"/>
              </w:rPr>
            </w:pPr>
          </w:p>
        </w:tc>
      </w:tr>
      <w:tr>
        <w:trPr>
          <w:trHeight w:val="317"/>
        </w:trPr>
        <w:tc>
          <w:tcPr>
            <w:tcW w:w="5560" w:type="dxa"/>
            <w:vAlign w:val="bottom"/>
          </w:tcPr>
          <w:p>
            <w:pPr>
              <w:ind w:left="20"/>
              <w:spacing w:after="0"/>
              <w:rPr>
                <w:sz w:val="20"/>
                <w:szCs w:val="20"/>
                <w:color w:val="auto"/>
              </w:rPr>
            </w:pPr>
            <w:r>
              <w:rPr>
                <w:rFonts w:ascii="Arial" w:cs="Arial" w:eastAsia="Arial" w:hAnsi="Arial"/>
                <w:sz w:val="18"/>
                <w:szCs w:val="18"/>
                <w:b w:val="1"/>
                <w:bCs w:val="1"/>
                <w:color w:val="51555C"/>
              </w:rPr>
              <w:t>Andrew M. Leitch</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51555C"/>
              </w:rPr>
              <w:t>320,000</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239,578</w:t>
            </w:r>
          </w:p>
        </w:tc>
        <w:tc>
          <w:tcPr>
            <w:tcW w:w="320" w:type="dxa"/>
            <w:vAlign w:val="bottom"/>
          </w:tcPr>
          <w:p>
            <w:pPr>
              <w:spacing w:after="0"/>
              <w:rPr>
                <w:sz w:val="24"/>
                <w:szCs w:val="24"/>
                <w:color w:val="auto"/>
              </w:rPr>
            </w:pPr>
          </w:p>
        </w:tc>
        <w:tc>
          <w:tcPr>
            <w:tcW w:w="1600" w:type="dxa"/>
            <w:vAlign w:val="bottom"/>
            <w:gridSpan w:val="2"/>
          </w:tcPr>
          <w:p>
            <w:pPr>
              <w:ind w:left="960"/>
              <w:spacing w:after="0"/>
              <w:rPr>
                <w:sz w:val="20"/>
                <w:szCs w:val="20"/>
                <w:color w:val="auto"/>
              </w:rPr>
            </w:pPr>
            <w:r>
              <w:rPr>
                <w:rFonts w:ascii="Arial" w:cs="Arial" w:eastAsia="Arial" w:hAnsi="Arial"/>
                <w:sz w:val="18"/>
                <w:szCs w:val="18"/>
                <w:color w:val="51555C"/>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51555C"/>
              </w:rPr>
              <w:t>559,578</w:t>
            </w:r>
          </w:p>
        </w:tc>
        <w:tc>
          <w:tcPr>
            <w:tcW w:w="20" w:type="dxa"/>
            <w:vAlign w:val="bottom"/>
          </w:tcPr>
          <w:p>
            <w:pPr>
              <w:spacing w:after="0"/>
              <w:rPr>
                <w:sz w:val="24"/>
                <w:szCs w:val="24"/>
                <w:color w:val="auto"/>
              </w:rPr>
            </w:pPr>
          </w:p>
        </w:tc>
      </w:tr>
      <w:tr>
        <w:trPr>
          <w:trHeight w:val="332"/>
        </w:trPr>
        <w:tc>
          <w:tcPr>
            <w:tcW w:w="556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D. Roger Nanney</w:t>
            </w:r>
          </w:p>
        </w:tc>
        <w:tc>
          <w:tcPr>
            <w:tcW w:w="220" w:type="dxa"/>
            <w:vAlign w:val="bottom"/>
            <w:shd w:val="clear" w:color="auto" w:fill="EBFBFF"/>
          </w:tcPr>
          <w:p>
            <w:pPr>
              <w:spacing w:after="0"/>
              <w:rPr>
                <w:sz w:val="24"/>
                <w:szCs w:val="24"/>
                <w:color w:val="auto"/>
              </w:rPr>
            </w:pPr>
          </w:p>
        </w:tc>
        <w:tc>
          <w:tcPr>
            <w:tcW w:w="11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82,500</w:t>
            </w:r>
          </w:p>
        </w:tc>
        <w:tc>
          <w:tcPr>
            <w:tcW w:w="360" w:type="dxa"/>
            <w:vAlign w:val="bottom"/>
            <w:shd w:val="clear" w:color="auto" w:fill="EBFBFF"/>
          </w:tcPr>
          <w:p>
            <w:pPr>
              <w:spacing w:after="0"/>
              <w:rPr>
                <w:sz w:val="24"/>
                <w:szCs w:val="24"/>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239,578</w:t>
            </w:r>
          </w:p>
        </w:tc>
        <w:tc>
          <w:tcPr>
            <w:tcW w:w="320" w:type="dxa"/>
            <w:vAlign w:val="bottom"/>
            <w:shd w:val="clear" w:color="auto" w:fill="EBFBFF"/>
          </w:tcPr>
          <w:p>
            <w:pPr>
              <w:spacing w:after="0"/>
              <w:rPr>
                <w:sz w:val="24"/>
                <w:szCs w:val="24"/>
                <w:color w:val="auto"/>
              </w:rPr>
            </w:pPr>
          </w:p>
        </w:tc>
        <w:tc>
          <w:tcPr>
            <w:tcW w:w="1600" w:type="dxa"/>
            <w:vAlign w:val="bottom"/>
            <w:gridSpan w:val="2"/>
            <w:shd w:val="clear" w:color="auto" w:fill="EBFBFF"/>
          </w:tcPr>
          <w:p>
            <w:pPr>
              <w:ind w:left="960"/>
              <w:spacing w:after="0"/>
              <w:rPr>
                <w:sz w:val="20"/>
                <w:szCs w:val="20"/>
                <w:color w:val="auto"/>
              </w:rPr>
            </w:pPr>
            <w:r>
              <w:rPr>
                <w:rFonts w:ascii="Arial" w:cs="Arial" w:eastAsia="Arial" w:hAnsi="Arial"/>
                <w:sz w:val="18"/>
                <w:szCs w:val="18"/>
                <w:color w:val="51555C"/>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8"/>
                <w:szCs w:val="18"/>
                <w:b w:val="1"/>
                <w:bCs w:val="1"/>
                <w:color w:val="51555C"/>
              </w:rPr>
              <w:t>322,078</w:t>
            </w:r>
          </w:p>
        </w:tc>
        <w:tc>
          <w:tcPr>
            <w:tcW w:w="20" w:type="dxa"/>
            <w:vAlign w:val="bottom"/>
          </w:tcPr>
          <w:p>
            <w:pPr>
              <w:spacing w:after="0"/>
              <w:rPr>
                <w:sz w:val="24"/>
                <w:szCs w:val="24"/>
                <w:color w:val="auto"/>
              </w:rPr>
            </w:pPr>
          </w:p>
        </w:tc>
      </w:tr>
      <w:tr>
        <w:trPr>
          <w:trHeight w:val="324"/>
        </w:trPr>
        <w:tc>
          <w:tcPr>
            <w:tcW w:w="5560" w:type="dxa"/>
            <w:vAlign w:val="bottom"/>
          </w:tcPr>
          <w:p>
            <w:pPr>
              <w:ind w:left="20"/>
              <w:spacing w:after="0"/>
              <w:rPr>
                <w:sz w:val="20"/>
                <w:szCs w:val="20"/>
                <w:color w:val="auto"/>
              </w:rPr>
            </w:pPr>
            <w:r>
              <w:rPr>
                <w:rFonts w:ascii="Arial" w:cs="Arial" w:eastAsia="Arial" w:hAnsi="Arial"/>
                <w:sz w:val="18"/>
                <w:szCs w:val="18"/>
                <w:b w:val="1"/>
                <w:bCs w:val="1"/>
                <w:color w:val="51555C"/>
              </w:rPr>
              <w:t>Sarah E. Nash</w:t>
            </w:r>
            <w:r>
              <w:rPr>
                <w:rFonts w:ascii="Arial" w:cs="Arial" w:eastAsia="Arial" w:hAnsi="Arial"/>
                <w:sz w:val="23"/>
                <w:szCs w:val="23"/>
                <w:b w:val="1"/>
                <w:bCs w:val="1"/>
                <w:color w:val="51555C"/>
                <w:vertAlign w:val="superscript"/>
              </w:rPr>
              <w:t>(3)</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51555C"/>
              </w:rPr>
              <w:t>47,500</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w:t>
            </w:r>
          </w:p>
        </w:tc>
        <w:tc>
          <w:tcPr>
            <w:tcW w:w="320" w:type="dxa"/>
            <w:vAlign w:val="bottom"/>
          </w:tcPr>
          <w:p>
            <w:pPr>
              <w:spacing w:after="0"/>
              <w:rPr>
                <w:sz w:val="24"/>
                <w:szCs w:val="24"/>
                <w:color w:val="auto"/>
              </w:rPr>
            </w:pPr>
          </w:p>
        </w:tc>
        <w:tc>
          <w:tcPr>
            <w:tcW w:w="1600" w:type="dxa"/>
            <w:vAlign w:val="bottom"/>
            <w:gridSpan w:val="2"/>
          </w:tcPr>
          <w:p>
            <w:pPr>
              <w:ind w:left="960"/>
              <w:spacing w:after="0"/>
              <w:rPr>
                <w:sz w:val="20"/>
                <w:szCs w:val="20"/>
                <w:color w:val="auto"/>
              </w:rPr>
            </w:pPr>
            <w:r>
              <w:rPr>
                <w:rFonts w:ascii="Arial" w:cs="Arial" w:eastAsia="Arial" w:hAnsi="Arial"/>
                <w:sz w:val="18"/>
                <w:szCs w:val="18"/>
                <w:color w:val="51555C"/>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51555C"/>
              </w:rPr>
              <w:t>47,500</w:t>
            </w:r>
          </w:p>
        </w:tc>
        <w:tc>
          <w:tcPr>
            <w:tcW w:w="20" w:type="dxa"/>
            <w:vAlign w:val="bottom"/>
          </w:tcPr>
          <w:p>
            <w:pPr>
              <w:spacing w:after="0"/>
              <w:rPr>
                <w:sz w:val="24"/>
                <w:szCs w:val="24"/>
                <w:color w:val="auto"/>
              </w:rPr>
            </w:pPr>
          </w:p>
        </w:tc>
      </w:tr>
      <w:tr>
        <w:trPr>
          <w:trHeight w:val="324"/>
        </w:trPr>
        <w:tc>
          <w:tcPr>
            <w:tcW w:w="556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Bradley L. Pyburn</w:t>
            </w:r>
          </w:p>
        </w:tc>
        <w:tc>
          <w:tcPr>
            <w:tcW w:w="220" w:type="dxa"/>
            <w:vAlign w:val="bottom"/>
            <w:shd w:val="clear" w:color="auto" w:fill="EBFBFF"/>
          </w:tcPr>
          <w:p>
            <w:pPr>
              <w:spacing w:after="0"/>
              <w:rPr>
                <w:sz w:val="24"/>
                <w:szCs w:val="24"/>
                <w:color w:val="auto"/>
              </w:rPr>
            </w:pPr>
          </w:p>
        </w:tc>
        <w:tc>
          <w:tcPr>
            <w:tcW w:w="11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75,000</w:t>
            </w:r>
          </w:p>
        </w:tc>
        <w:tc>
          <w:tcPr>
            <w:tcW w:w="360" w:type="dxa"/>
            <w:vAlign w:val="bottom"/>
            <w:shd w:val="clear" w:color="auto" w:fill="EBFBFF"/>
          </w:tcPr>
          <w:p>
            <w:pPr>
              <w:spacing w:after="0"/>
              <w:rPr>
                <w:sz w:val="24"/>
                <w:szCs w:val="24"/>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239,578</w:t>
            </w:r>
          </w:p>
        </w:tc>
        <w:tc>
          <w:tcPr>
            <w:tcW w:w="320" w:type="dxa"/>
            <w:vAlign w:val="bottom"/>
            <w:shd w:val="clear" w:color="auto" w:fill="EBFBFF"/>
          </w:tcPr>
          <w:p>
            <w:pPr>
              <w:spacing w:after="0"/>
              <w:rPr>
                <w:sz w:val="24"/>
                <w:szCs w:val="24"/>
                <w:color w:val="auto"/>
              </w:rPr>
            </w:pPr>
          </w:p>
        </w:tc>
        <w:tc>
          <w:tcPr>
            <w:tcW w:w="1600" w:type="dxa"/>
            <w:vAlign w:val="bottom"/>
            <w:gridSpan w:val="2"/>
            <w:shd w:val="clear" w:color="auto" w:fill="EBFBFF"/>
          </w:tcPr>
          <w:p>
            <w:pPr>
              <w:ind w:left="960"/>
              <w:spacing w:after="0"/>
              <w:rPr>
                <w:sz w:val="20"/>
                <w:szCs w:val="20"/>
                <w:color w:val="auto"/>
              </w:rPr>
            </w:pPr>
            <w:r>
              <w:rPr>
                <w:rFonts w:ascii="Arial" w:cs="Arial" w:eastAsia="Arial" w:hAnsi="Arial"/>
                <w:sz w:val="18"/>
                <w:szCs w:val="18"/>
                <w:color w:val="51555C"/>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8"/>
                <w:szCs w:val="18"/>
                <w:b w:val="1"/>
                <w:bCs w:val="1"/>
                <w:color w:val="51555C"/>
              </w:rPr>
              <w:t>314,578</w:t>
            </w:r>
          </w:p>
        </w:tc>
        <w:tc>
          <w:tcPr>
            <w:tcW w:w="20" w:type="dxa"/>
            <w:vAlign w:val="bottom"/>
          </w:tcPr>
          <w:p>
            <w:pPr>
              <w:spacing w:after="0"/>
              <w:rPr>
                <w:sz w:val="24"/>
                <w:szCs w:val="24"/>
                <w:color w:val="auto"/>
              </w:rPr>
            </w:pPr>
          </w:p>
        </w:tc>
      </w:tr>
      <w:tr>
        <w:trPr>
          <w:trHeight w:val="318"/>
        </w:trPr>
        <w:tc>
          <w:tcPr>
            <w:tcW w:w="556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51555C"/>
              </w:rPr>
              <w:t>Kristian P. Talvitie</w:t>
            </w:r>
          </w:p>
        </w:tc>
        <w:tc>
          <w:tcPr>
            <w:tcW w:w="220" w:type="dxa"/>
            <w:vAlign w:val="bottom"/>
            <w:tcBorders>
              <w:bottom w:val="single" w:sz="8" w:color="0CD973"/>
            </w:tcBorders>
          </w:tcPr>
          <w:p>
            <w:pPr>
              <w:spacing w:after="0"/>
              <w:rPr>
                <w:sz w:val="24"/>
                <w:szCs w:val="24"/>
                <w:color w:val="auto"/>
              </w:rPr>
            </w:pPr>
          </w:p>
        </w:tc>
        <w:tc>
          <w:tcPr>
            <w:tcW w:w="1160" w:type="dxa"/>
            <w:vAlign w:val="bottom"/>
            <w:tcBorders>
              <w:bottom w:val="single" w:sz="8" w:color="0CD973"/>
            </w:tcBorders>
          </w:tcPr>
          <w:p>
            <w:pPr>
              <w:jc w:val="right"/>
              <w:spacing w:after="0"/>
              <w:rPr>
                <w:sz w:val="20"/>
                <w:szCs w:val="20"/>
                <w:color w:val="auto"/>
              </w:rPr>
            </w:pPr>
            <w:r>
              <w:rPr>
                <w:rFonts w:ascii="Arial" w:cs="Arial" w:eastAsia="Arial" w:hAnsi="Arial"/>
                <w:sz w:val="18"/>
                <w:szCs w:val="18"/>
                <w:color w:val="51555C"/>
              </w:rPr>
              <w:t>95,000</w:t>
            </w:r>
          </w:p>
        </w:tc>
        <w:tc>
          <w:tcPr>
            <w:tcW w:w="360" w:type="dxa"/>
            <w:vAlign w:val="bottom"/>
            <w:tcBorders>
              <w:bottom w:val="single" w:sz="8" w:color="0CD973"/>
            </w:tcBorders>
          </w:tcPr>
          <w:p>
            <w:pPr>
              <w:spacing w:after="0"/>
              <w:rPr>
                <w:sz w:val="24"/>
                <w:szCs w:val="24"/>
                <w:color w:val="auto"/>
              </w:rPr>
            </w:pPr>
          </w:p>
        </w:tc>
        <w:tc>
          <w:tcPr>
            <w:tcW w:w="1020" w:type="dxa"/>
            <w:vAlign w:val="bottom"/>
            <w:tcBorders>
              <w:bottom w:val="single" w:sz="8" w:color="0CD973"/>
            </w:tcBorders>
          </w:tcPr>
          <w:p>
            <w:pPr>
              <w:jc w:val="right"/>
              <w:spacing w:after="0"/>
              <w:rPr>
                <w:sz w:val="20"/>
                <w:szCs w:val="20"/>
                <w:color w:val="auto"/>
              </w:rPr>
            </w:pPr>
            <w:r>
              <w:rPr>
                <w:rFonts w:ascii="Arial" w:cs="Arial" w:eastAsia="Arial" w:hAnsi="Arial"/>
                <w:sz w:val="18"/>
                <w:szCs w:val="18"/>
                <w:color w:val="51555C"/>
              </w:rPr>
              <w:t>239,578</w:t>
            </w:r>
          </w:p>
        </w:tc>
        <w:tc>
          <w:tcPr>
            <w:tcW w:w="320" w:type="dxa"/>
            <w:vAlign w:val="bottom"/>
            <w:tcBorders>
              <w:bottom w:val="single" w:sz="8" w:color="0CD973"/>
            </w:tcBorders>
          </w:tcPr>
          <w:p>
            <w:pPr>
              <w:spacing w:after="0"/>
              <w:rPr>
                <w:sz w:val="24"/>
                <w:szCs w:val="24"/>
                <w:color w:val="auto"/>
              </w:rPr>
            </w:pPr>
          </w:p>
        </w:tc>
        <w:tc>
          <w:tcPr>
            <w:tcW w:w="1600" w:type="dxa"/>
            <w:vAlign w:val="bottom"/>
            <w:tcBorders>
              <w:bottom w:val="single" w:sz="8" w:color="0CD973"/>
            </w:tcBorders>
            <w:gridSpan w:val="2"/>
          </w:tcPr>
          <w:p>
            <w:pPr>
              <w:ind w:left="960"/>
              <w:spacing w:after="0"/>
              <w:rPr>
                <w:sz w:val="20"/>
                <w:szCs w:val="20"/>
                <w:color w:val="auto"/>
              </w:rPr>
            </w:pPr>
            <w:r>
              <w:rPr>
                <w:rFonts w:ascii="Arial" w:cs="Arial" w:eastAsia="Arial" w:hAnsi="Arial"/>
                <w:sz w:val="18"/>
                <w:szCs w:val="18"/>
                <w:color w:val="51555C"/>
              </w:rPr>
              <w:t>—</w:t>
            </w:r>
          </w:p>
        </w:tc>
        <w:tc>
          <w:tcPr>
            <w:tcW w:w="1000" w:type="dxa"/>
            <w:vAlign w:val="bottom"/>
            <w:tcBorders>
              <w:bottom w:val="single" w:sz="8" w:color="0CD973"/>
            </w:tcBorders>
          </w:tcPr>
          <w:p>
            <w:pPr>
              <w:jc w:val="right"/>
              <w:spacing w:after="0"/>
              <w:rPr>
                <w:sz w:val="20"/>
                <w:szCs w:val="20"/>
                <w:color w:val="auto"/>
              </w:rPr>
            </w:pPr>
            <w:r>
              <w:rPr>
                <w:rFonts w:ascii="Arial" w:cs="Arial" w:eastAsia="Arial" w:hAnsi="Arial"/>
                <w:sz w:val="18"/>
                <w:szCs w:val="18"/>
                <w:b w:val="1"/>
                <w:bCs w:val="1"/>
                <w:color w:val="51555C"/>
              </w:rPr>
              <w:t>334,578</w:t>
            </w:r>
          </w:p>
        </w:tc>
        <w:tc>
          <w:tcPr>
            <w:tcW w:w="20" w:type="dxa"/>
            <w:vAlign w:val="bottom"/>
          </w:tcPr>
          <w:p>
            <w:pPr>
              <w:spacing w:after="0"/>
              <w:rPr>
                <w:sz w:val="24"/>
                <w:szCs w:val="24"/>
                <w:color w:val="auto"/>
              </w:rPr>
            </w:pPr>
          </w:p>
        </w:tc>
      </w:tr>
    </w:tbl>
    <w:p>
      <w:pPr>
        <w:spacing w:after="0" w:line="72" w:lineRule="exact"/>
        <w:rPr>
          <w:sz w:val="20"/>
          <w:szCs w:val="20"/>
          <w:color w:val="auto"/>
        </w:rPr>
      </w:pPr>
    </w:p>
    <w:p>
      <w:pPr>
        <w:ind w:left="340" w:right="20" w:hanging="332"/>
        <w:spacing w:after="0" w:line="272" w:lineRule="auto"/>
        <w:tabs>
          <w:tab w:leader="none" w:pos="354" w:val="left"/>
        </w:tabs>
        <w:numPr>
          <w:ilvl w:val="0"/>
          <w:numId w:val="27"/>
        </w:numPr>
        <w:rPr>
          <w:rFonts w:ascii="Arial" w:cs="Arial" w:eastAsia="Arial" w:hAnsi="Arial"/>
          <w:sz w:val="14"/>
          <w:szCs w:val="14"/>
          <w:color w:val="51555C"/>
        </w:rPr>
      </w:pPr>
      <w:r>
        <w:rPr>
          <w:rFonts w:ascii="Arial" w:cs="Arial" w:eastAsia="Arial" w:hAnsi="Arial"/>
          <w:sz w:val="14"/>
          <w:szCs w:val="14"/>
          <w:color w:val="51555C"/>
        </w:rPr>
        <w:t>On August 1, 2025, we granted each of our non-employee directors then serving 3,670 RSAs with a grant date fair value of $239,578, computed in accordance with FASB ASC Topic 718. No options to purchase shares of our common stock or SAR awards for shares of our common stock were granted to our non-employee directors in 2025.</w:t>
      </w:r>
    </w:p>
    <w:p>
      <w:pPr>
        <w:ind w:left="340" w:hanging="332"/>
        <w:spacing w:after="0"/>
        <w:tabs>
          <w:tab w:leader="none" w:pos="340" w:val="left"/>
        </w:tabs>
        <w:numPr>
          <w:ilvl w:val="0"/>
          <w:numId w:val="27"/>
        </w:numPr>
        <w:rPr>
          <w:rFonts w:ascii="Arial" w:cs="Arial" w:eastAsia="Arial" w:hAnsi="Arial"/>
          <w:sz w:val="14"/>
          <w:szCs w:val="14"/>
          <w:color w:val="51555C"/>
        </w:rPr>
      </w:pPr>
      <w:r>
        <w:rPr>
          <w:rFonts w:ascii="Arial" w:cs="Arial" w:eastAsia="Arial" w:hAnsi="Arial"/>
          <w:sz w:val="14"/>
          <w:szCs w:val="14"/>
          <w:color w:val="51555C"/>
        </w:rPr>
        <w:t>Mr. Gupta resigned from the Board of Directors effective September 11, 2025.</w:t>
      </w:r>
    </w:p>
    <w:p>
      <w:pPr>
        <w:spacing w:after="0" w:line="14" w:lineRule="exact"/>
        <w:rPr>
          <w:rFonts w:ascii="Arial" w:cs="Arial" w:eastAsia="Arial" w:hAnsi="Arial"/>
          <w:sz w:val="14"/>
          <w:szCs w:val="14"/>
          <w:color w:val="51555C"/>
        </w:rPr>
      </w:pPr>
    </w:p>
    <w:p>
      <w:pPr>
        <w:ind w:left="340" w:hanging="332"/>
        <w:spacing w:after="0"/>
        <w:tabs>
          <w:tab w:leader="none" w:pos="340" w:val="left"/>
        </w:tabs>
        <w:numPr>
          <w:ilvl w:val="0"/>
          <w:numId w:val="27"/>
        </w:numPr>
        <w:rPr>
          <w:rFonts w:ascii="Arial" w:cs="Arial" w:eastAsia="Arial" w:hAnsi="Arial"/>
          <w:sz w:val="14"/>
          <w:szCs w:val="14"/>
          <w:color w:val="51555C"/>
        </w:rPr>
      </w:pPr>
      <w:r>
        <w:rPr>
          <w:rFonts w:ascii="Arial" w:cs="Arial" w:eastAsia="Arial" w:hAnsi="Arial"/>
          <w:sz w:val="14"/>
          <w:szCs w:val="14"/>
          <w:color w:val="51555C"/>
        </w:rPr>
        <w:t>Ms. Nash retired from the Board of Directors effective June 11, 2025.</w:t>
      </w:r>
    </w:p>
    <w:p>
      <w:pPr>
        <w:spacing w:after="0" w:line="14" w:lineRule="exact"/>
        <w:rPr>
          <w:rFonts w:ascii="Arial" w:cs="Arial" w:eastAsia="Arial" w:hAnsi="Arial"/>
          <w:sz w:val="14"/>
          <w:szCs w:val="14"/>
          <w:color w:val="51555C"/>
        </w:rPr>
      </w:pPr>
    </w:p>
    <w:p>
      <w:pPr>
        <w:ind w:left="340" w:right="20" w:hanging="332"/>
        <w:spacing w:after="0" w:line="264" w:lineRule="auto"/>
        <w:tabs>
          <w:tab w:leader="none" w:pos="354" w:val="left"/>
        </w:tabs>
        <w:numPr>
          <w:ilvl w:val="0"/>
          <w:numId w:val="27"/>
        </w:numPr>
        <w:rPr>
          <w:rFonts w:ascii="Arial" w:cs="Arial" w:eastAsia="Arial" w:hAnsi="Arial"/>
          <w:sz w:val="14"/>
          <w:szCs w:val="14"/>
          <w:color w:val="51555C"/>
        </w:rPr>
      </w:pPr>
      <w:r>
        <w:rPr>
          <w:rFonts w:ascii="Arial" w:cs="Arial" w:eastAsia="Arial" w:hAnsi="Arial"/>
          <w:sz w:val="14"/>
          <w:szCs w:val="14"/>
          <w:color w:val="51555C"/>
        </w:rPr>
        <w:t>The following table shows the aggregate number of RSAs and shares held by our non-employee directors as of December 31, 2025 (no shares were received upon the exercise of options):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80" w:type="dxa"/>
            <w:vAlign w:val="bottom"/>
            <w:shd w:val="clear" w:color="auto" w:fill="004054"/>
          </w:tcPr>
          <w:p>
            <w:pPr>
              <w:spacing w:after="0"/>
              <w:rPr>
                <w:sz w:val="17"/>
                <w:szCs w:val="17"/>
                <w:color w:val="auto"/>
              </w:rPr>
            </w:pP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 of RSAs and</w:t>
            </w:r>
          </w:p>
        </w:tc>
        <w:tc>
          <w:tcPr>
            <w:tcW w:w="20" w:type="dxa"/>
            <w:vAlign w:val="bottom"/>
            <w:shd w:val="clear" w:color="auto" w:fill="004054"/>
          </w:tcPr>
          <w:p>
            <w:pPr>
              <w:spacing w:after="0"/>
              <w:rPr>
                <w:sz w:val="17"/>
                <w:szCs w:val="17"/>
                <w:color w:val="auto"/>
              </w:rPr>
            </w:pPr>
          </w:p>
        </w:tc>
      </w:tr>
      <w:tr>
        <w:trPr>
          <w:trHeight w:val="205"/>
        </w:trPr>
        <w:tc>
          <w:tcPr>
            <w:tcW w:w="95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Name</w:t>
            </w:r>
          </w:p>
        </w:tc>
        <w:tc>
          <w:tcPr>
            <w:tcW w:w="16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Shares Held</w:t>
            </w:r>
          </w:p>
        </w:tc>
        <w:tc>
          <w:tcPr>
            <w:tcW w:w="20" w:type="dxa"/>
            <w:vAlign w:val="bottom"/>
            <w:tcBorders>
              <w:bottom w:val="single" w:sz="8" w:color="004054"/>
            </w:tcBorders>
            <w:shd w:val="clear" w:color="auto" w:fill="004054"/>
          </w:tcPr>
          <w:p>
            <w:pPr>
              <w:spacing w:after="0"/>
              <w:rPr>
                <w:sz w:val="17"/>
                <w:szCs w:val="17"/>
                <w:color w:val="auto"/>
              </w:rPr>
            </w:pPr>
          </w:p>
        </w:tc>
      </w:tr>
      <w:tr>
        <w:trPr>
          <w:trHeight w:val="324"/>
        </w:trPr>
        <w:tc>
          <w:tcPr>
            <w:tcW w:w="958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Ms. DeFiore</w:t>
            </w:r>
          </w:p>
        </w:tc>
        <w:tc>
          <w:tcPr>
            <w:tcW w:w="16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10,069</w:t>
            </w:r>
          </w:p>
        </w:tc>
        <w:tc>
          <w:tcPr>
            <w:tcW w:w="20" w:type="dxa"/>
            <w:vAlign w:val="bottom"/>
          </w:tcPr>
          <w:p>
            <w:pPr>
              <w:spacing w:after="0"/>
              <w:rPr>
                <w:sz w:val="24"/>
                <w:szCs w:val="24"/>
                <w:color w:val="auto"/>
              </w:rPr>
            </w:pPr>
          </w:p>
        </w:tc>
      </w:tr>
      <w:tr>
        <w:trPr>
          <w:trHeight w:val="316"/>
        </w:trPr>
        <w:tc>
          <w:tcPr>
            <w:tcW w:w="9580" w:type="dxa"/>
            <w:vAlign w:val="bottom"/>
          </w:tcPr>
          <w:p>
            <w:pPr>
              <w:ind w:left="20"/>
              <w:spacing w:after="0"/>
              <w:rPr>
                <w:sz w:val="20"/>
                <w:szCs w:val="20"/>
                <w:color w:val="auto"/>
              </w:rPr>
            </w:pPr>
            <w:r>
              <w:rPr>
                <w:rFonts w:ascii="Arial" w:cs="Arial" w:eastAsia="Arial" w:hAnsi="Arial"/>
                <w:sz w:val="18"/>
                <w:szCs w:val="18"/>
                <w:b w:val="1"/>
                <w:bCs w:val="1"/>
                <w:color w:val="51555C"/>
              </w:rPr>
              <w:t>Mr. Gupta</w:t>
            </w:r>
          </w:p>
        </w:tc>
        <w:tc>
          <w:tcPr>
            <w:tcW w:w="1660" w:type="dxa"/>
            <w:vAlign w:val="bottom"/>
          </w:tcPr>
          <w:p>
            <w:pPr>
              <w:jc w:val="right"/>
              <w:spacing w:after="0"/>
              <w:rPr>
                <w:sz w:val="20"/>
                <w:szCs w:val="20"/>
                <w:color w:val="auto"/>
              </w:rPr>
            </w:pPr>
            <w:r>
              <w:rPr>
                <w:rFonts w:ascii="Arial" w:cs="Arial" w:eastAsia="Arial" w:hAnsi="Arial"/>
                <w:sz w:val="18"/>
                <w:szCs w:val="18"/>
                <w:color w:val="51555C"/>
              </w:rPr>
              <w:t>12,266</w:t>
            </w:r>
          </w:p>
        </w:tc>
        <w:tc>
          <w:tcPr>
            <w:tcW w:w="20" w:type="dxa"/>
            <w:vAlign w:val="bottom"/>
          </w:tcPr>
          <w:p>
            <w:pPr>
              <w:spacing w:after="0"/>
              <w:rPr>
                <w:sz w:val="24"/>
                <w:szCs w:val="24"/>
                <w:color w:val="auto"/>
              </w:rPr>
            </w:pPr>
          </w:p>
        </w:tc>
      </w:tr>
      <w:tr>
        <w:trPr>
          <w:trHeight w:val="332"/>
        </w:trPr>
        <w:tc>
          <w:tcPr>
            <w:tcW w:w="958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Ms. Hollenbeck</w:t>
            </w:r>
          </w:p>
        </w:tc>
        <w:tc>
          <w:tcPr>
            <w:tcW w:w="16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6,366</w:t>
            </w:r>
          </w:p>
        </w:tc>
        <w:tc>
          <w:tcPr>
            <w:tcW w:w="20" w:type="dxa"/>
            <w:vAlign w:val="bottom"/>
          </w:tcPr>
          <w:p>
            <w:pPr>
              <w:spacing w:after="0"/>
              <w:rPr>
                <w:sz w:val="24"/>
                <w:szCs w:val="24"/>
                <w:color w:val="auto"/>
              </w:rPr>
            </w:pPr>
          </w:p>
        </w:tc>
      </w:tr>
      <w:tr>
        <w:trPr>
          <w:trHeight w:val="317"/>
        </w:trPr>
        <w:tc>
          <w:tcPr>
            <w:tcW w:w="9580" w:type="dxa"/>
            <w:vAlign w:val="bottom"/>
          </w:tcPr>
          <w:p>
            <w:pPr>
              <w:ind w:left="20"/>
              <w:spacing w:after="0"/>
              <w:rPr>
                <w:sz w:val="20"/>
                <w:szCs w:val="20"/>
                <w:color w:val="auto"/>
              </w:rPr>
            </w:pPr>
            <w:r>
              <w:rPr>
                <w:rFonts w:ascii="Arial" w:cs="Arial" w:eastAsia="Arial" w:hAnsi="Arial"/>
                <w:sz w:val="18"/>
                <w:szCs w:val="18"/>
                <w:b w:val="1"/>
                <w:bCs w:val="1"/>
                <w:color w:val="51555C"/>
              </w:rPr>
              <w:t>Mr. Leitch</w:t>
            </w:r>
          </w:p>
        </w:tc>
        <w:tc>
          <w:tcPr>
            <w:tcW w:w="1660" w:type="dxa"/>
            <w:vAlign w:val="bottom"/>
          </w:tcPr>
          <w:p>
            <w:pPr>
              <w:jc w:val="right"/>
              <w:spacing w:after="0"/>
              <w:rPr>
                <w:sz w:val="20"/>
                <w:szCs w:val="20"/>
                <w:color w:val="auto"/>
              </w:rPr>
            </w:pPr>
            <w:r>
              <w:rPr>
                <w:rFonts w:ascii="Arial" w:cs="Arial" w:eastAsia="Arial" w:hAnsi="Arial"/>
                <w:sz w:val="18"/>
                <w:szCs w:val="18"/>
                <w:color w:val="51555C"/>
              </w:rPr>
              <w:t>40,201</w:t>
            </w:r>
          </w:p>
        </w:tc>
        <w:tc>
          <w:tcPr>
            <w:tcW w:w="20" w:type="dxa"/>
            <w:vAlign w:val="bottom"/>
          </w:tcPr>
          <w:p>
            <w:pPr>
              <w:spacing w:after="0"/>
              <w:rPr>
                <w:sz w:val="24"/>
                <w:szCs w:val="24"/>
                <w:color w:val="auto"/>
              </w:rPr>
            </w:pPr>
          </w:p>
        </w:tc>
      </w:tr>
      <w:tr>
        <w:trPr>
          <w:trHeight w:val="331"/>
        </w:trPr>
        <w:tc>
          <w:tcPr>
            <w:tcW w:w="958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Mr. Nanney</w:t>
            </w:r>
          </w:p>
        </w:tc>
        <w:tc>
          <w:tcPr>
            <w:tcW w:w="16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16,619</w:t>
            </w:r>
          </w:p>
        </w:tc>
        <w:tc>
          <w:tcPr>
            <w:tcW w:w="20" w:type="dxa"/>
            <w:vAlign w:val="bottom"/>
          </w:tcPr>
          <w:p>
            <w:pPr>
              <w:spacing w:after="0"/>
              <w:rPr>
                <w:sz w:val="24"/>
                <w:szCs w:val="24"/>
                <w:color w:val="auto"/>
              </w:rPr>
            </w:pPr>
          </w:p>
        </w:tc>
      </w:tr>
      <w:tr>
        <w:trPr>
          <w:trHeight w:val="317"/>
        </w:trPr>
        <w:tc>
          <w:tcPr>
            <w:tcW w:w="9580" w:type="dxa"/>
            <w:vAlign w:val="bottom"/>
          </w:tcPr>
          <w:p>
            <w:pPr>
              <w:ind w:left="20"/>
              <w:spacing w:after="0"/>
              <w:rPr>
                <w:sz w:val="20"/>
                <w:szCs w:val="20"/>
                <w:color w:val="auto"/>
              </w:rPr>
            </w:pPr>
            <w:r>
              <w:rPr>
                <w:rFonts w:ascii="Arial" w:cs="Arial" w:eastAsia="Arial" w:hAnsi="Arial"/>
                <w:sz w:val="18"/>
                <w:szCs w:val="18"/>
                <w:b w:val="1"/>
                <w:bCs w:val="1"/>
                <w:color w:val="51555C"/>
              </w:rPr>
              <w:t>Mr. Pyburn</w:t>
            </w:r>
          </w:p>
        </w:tc>
        <w:tc>
          <w:tcPr>
            <w:tcW w:w="1660" w:type="dxa"/>
            <w:vAlign w:val="bottom"/>
          </w:tcPr>
          <w:p>
            <w:pPr>
              <w:jc w:val="right"/>
              <w:spacing w:after="0"/>
              <w:rPr>
                <w:sz w:val="20"/>
                <w:szCs w:val="20"/>
                <w:color w:val="auto"/>
              </w:rPr>
            </w:pPr>
            <w:r>
              <w:rPr>
                <w:rFonts w:ascii="Arial" w:cs="Arial" w:eastAsia="Arial" w:hAnsi="Arial"/>
                <w:sz w:val="18"/>
                <w:szCs w:val="18"/>
                <w:color w:val="51555C"/>
              </w:rPr>
              <w:t>5,269</w:t>
            </w:r>
          </w:p>
        </w:tc>
        <w:tc>
          <w:tcPr>
            <w:tcW w:w="20" w:type="dxa"/>
            <w:vAlign w:val="bottom"/>
          </w:tcPr>
          <w:p>
            <w:pPr>
              <w:spacing w:after="0"/>
              <w:rPr>
                <w:sz w:val="24"/>
                <w:szCs w:val="24"/>
                <w:color w:val="auto"/>
              </w:rPr>
            </w:pPr>
          </w:p>
        </w:tc>
      </w:tr>
      <w:tr>
        <w:trPr>
          <w:trHeight w:val="325"/>
        </w:trPr>
        <w:tc>
          <w:tcPr>
            <w:tcW w:w="9580" w:type="dxa"/>
            <w:vAlign w:val="bottom"/>
            <w:tcBorders>
              <w:bottom w:val="single" w:sz="8" w:color="0CD973"/>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Mr. Talvitie</w:t>
            </w:r>
          </w:p>
        </w:tc>
        <w:tc>
          <w:tcPr>
            <w:tcW w:w="166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8,053</w:t>
            </w:r>
          </w:p>
        </w:tc>
        <w:tc>
          <w:tcPr>
            <w:tcW w:w="20" w:type="dxa"/>
            <w:vAlign w:val="bottom"/>
          </w:tcPr>
          <w:p>
            <w:pPr>
              <w:spacing w:after="0"/>
              <w:rPr>
                <w:sz w:val="24"/>
                <w:szCs w:val="24"/>
                <w:color w:val="auto"/>
              </w:rPr>
            </w:pPr>
          </w:p>
        </w:tc>
      </w:tr>
      <w:tr>
        <w:trPr>
          <w:trHeight w:val="653"/>
        </w:trPr>
        <w:tc>
          <w:tcPr>
            <w:tcW w:w="958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660" w:type="dxa"/>
            <w:vAlign w:val="bottom"/>
          </w:tcPr>
          <w:p>
            <w:pPr>
              <w:jc w:val="right"/>
              <w:ind w:right="35"/>
              <w:spacing w:after="0"/>
              <w:rPr>
                <w:sz w:val="20"/>
                <w:szCs w:val="20"/>
                <w:color w:val="auto"/>
              </w:rPr>
            </w:pPr>
            <w:r>
              <w:rPr>
                <w:rFonts w:ascii="Arial" w:cs="Arial" w:eastAsia="Arial" w:hAnsi="Arial"/>
                <w:sz w:val="14"/>
                <w:szCs w:val="14"/>
                <w:color w:val="51555C"/>
              </w:rPr>
              <w:t>27</w:t>
            </w:r>
          </w:p>
        </w:tc>
        <w:tc>
          <w:tcPr>
            <w:tcW w:w="20" w:type="dxa"/>
            <w:vAlign w:val="bottom"/>
          </w:tcPr>
          <w:p>
            <w:pPr>
              <w:spacing w:after="0"/>
              <w:rPr>
                <w:sz w:val="24"/>
                <w:szCs w:val="24"/>
                <w:color w:val="auto"/>
              </w:rPr>
            </w:pPr>
          </w:p>
        </w:tc>
      </w:tr>
      <w:tr>
        <w:trPr>
          <w:trHeight w:val="285"/>
        </w:trPr>
        <w:tc>
          <w:tcPr>
            <w:tcW w:w="95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-316865</wp:posOffset>
            </wp:positionV>
            <wp:extent cx="702945" cy="1111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bookmarkStart w:id="29" w:name="page30"/>
    <w:bookmarkEnd w:id="29"/>
    <w:p>
      <w:pPr>
        <w:ind w:left="1016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Director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Under our Non-Employee Directors’ Stock Ownership Guidelines, it is expected that our non-employee directors will accumulate and hold, through their receipt of equity compensation, not later than three years after first receiving his or her first annual RSA, $100,000 of our common stock. Once a non-employee director has been a director for five consecutive years, he or she is expected to accumulate and hold, through his or her receipt of equity compensation, $200,000 of our common stock. Additionally, non-employee directors should not dispose of any vested RSAs granted to such director until reaching these ownership targets, unless the disposition is to satisfy tax obligations resulting from the lapse of restrictions. As of December 31, 2025, each of our non-employee directors was in compliance with the Non-Employee Directors' Stock Ownership Guidelines.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shows the ownership levels of our non-employee directors as of December 31,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80" w:type="dxa"/>
            <w:vAlign w:val="bottom"/>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1360" w:type="dxa"/>
            <w:vAlign w:val="bottom"/>
            <w:shd w:val="clear" w:color="auto" w:fill="004054"/>
          </w:tcPr>
          <w:p>
            <w:pPr>
              <w:spacing w:after="0"/>
              <w:rPr>
                <w:sz w:val="16"/>
                <w:szCs w:val="16"/>
                <w:color w:val="auto"/>
              </w:rPr>
            </w:pPr>
          </w:p>
        </w:tc>
        <w:tc>
          <w:tcPr>
            <w:tcW w:w="1660" w:type="dxa"/>
            <w:vAlign w:val="bottom"/>
            <w:shd w:val="clear" w:color="auto" w:fill="004054"/>
          </w:tcPr>
          <w:p>
            <w:pPr>
              <w:spacing w:after="0"/>
              <w:rPr>
                <w:sz w:val="16"/>
                <w:szCs w:val="16"/>
                <w:color w:val="auto"/>
              </w:rPr>
            </w:pPr>
          </w:p>
        </w:tc>
        <w:tc>
          <w:tcPr>
            <w:tcW w:w="260" w:type="dxa"/>
            <w:vAlign w:val="bottom"/>
            <w:shd w:val="clear" w:color="auto" w:fill="004054"/>
          </w:tcPr>
          <w:p>
            <w:pPr>
              <w:spacing w:after="0"/>
              <w:rPr>
                <w:sz w:val="16"/>
                <w:szCs w:val="16"/>
                <w:color w:val="auto"/>
              </w:rPr>
            </w:pPr>
          </w:p>
        </w:tc>
        <w:tc>
          <w:tcPr>
            <w:tcW w:w="1440" w:type="dxa"/>
            <w:vAlign w:val="bottom"/>
            <w:shd w:val="clear" w:color="auto" w:fill="004054"/>
          </w:tcPr>
          <w:p>
            <w:pPr>
              <w:spacing w:after="0"/>
              <w:rPr>
                <w:sz w:val="16"/>
                <w:szCs w:val="16"/>
                <w:color w:val="auto"/>
              </w:rPr>
            </w:pPr>
          </w:p>
        </w:tc>
        <w:tc>
          <w:tcPr>
            <w:tcW w:w="1640" w:type="dxa"/>
            <w:vAlign w:val="bottom"/>
            <w:shd w:val="clear" w:color="auto" w:fill="006880"/>
          </w:tcPr>
          <w:p>
            <w:pPr>
              <w:jc w:val="right"/>
              <w:spacing w:after="0"/>
              <w:rPr>
                <w:sz w:val="20"/>
                <w:szCs w:val="20"/>
                <w:color w:val="auto"/>
              </w:rPr>
            </w:pPr>
            <w:r>
              <w:rPr>
                <w:rFonts w:ascii="Arial" w:cs="Arial" w:eastAsia="Arial" w:hAnsi="Arial"/>
                <w:sz w:val="14"/>
                <w:szCs w:val="14"/>
                <w:b w:val="1"/>
                <w:bCs w:val="1"/>
                <w:color w:val="FFFFFF"/>
              </w:rPr>
              <w:t>Ownership as a</w:t>
            </w:r>
          </w:p>
        </w:tc>
        <w:tc>
          <w:tcPr>
            <w:tcW w:w="20" w:type="dxa"/>
            <w:vAlign w:val="bottom"/>
            <w:shd w:val="clear" w:color="auto" w:fill="006880"/>
          </w:tcPr>
          <w:p>
            <w:pPr>
              <w:spacing w:after="0"/>
              <w:rPr>
                <w:sz w:val="16"/>
                <w:szCs w:val="16"/>
                <w:color w:val="auto"/>
              </w:rPr>
            </w:pPr>
          </w:p>
        </w:tc>
      </w:tr>
      <w:tr>
        <w:trPr>
          <w:trHeight w:val="162"/>
        </w:trPr>
        <w:tc>
          <w:tcPr>
            <w:tcW w:w="4580" w:type="dxa"/>
            <w:vAlign w:val="bottom"/>
            <w:shd w:val="clear" w:color="auto" w:fill="004054"/>
          </w:tcPr>
          <w:p>
            <w:pPr>
              <w:spacing w:after="0"/>
              <w:rPr>
                <w:sz w:val="14"/>
                <w:szCs w:val="14"/>
                <w:color w:val="auto"/>
              </w:rPr>
            </w:pPr>
          </w:p>
        </w:tc>
        <w:tc>
          <w:tcPr>
            <w:tcW w:w="30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Stock Ownership</w:t>
            </w: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 of Shares or</w:t>
            </w:r>
          </w:p>
        </w:tc>
        <w:tc>
          <w:tcPr>
            <w:tcW w:w="260" w:type="dxa"/>
            <w:vAlign w:val="bottom"/>
            <w:shd w:val="clear" w:color="auto" w:fill="004054"/>
          </w:tcPr>
          <w:p>
            <w:pPr>
              <w:spacing w:after="0"/>
              <w:rPr>
                <w:sz w:val="14"/>
                <w:szCs w:val="14"/>
                <w:color w:val="auto"/>
              </w:rPr>
            </w:pPr>
          </w:p>
        </w:tc>
        <w:tc>
          <w:tcPr>
            <w:tcW w:w="14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Value of Shares or</w:t>
            </w:r>
          </w:p>
        </w:tc>
        <w:tc>
          <w:tcPr>
            <w:tcW w:w="1640" w:type="dxa"/>
            <w:vAlign w:val="bottom"/>
            <w:shd w:val="clear" w:color="auto" w:fill="006880"/>
          </w:tcPr>
          <w:p>
            <w:pPr>
              <w:jc w:val="right"/>
              <w:spacing w:after="0"/>
              <w:rPr>
                <w:sz w:val="20"/>
                <w:szCs w:val="20"/>
                <w:color w:val="auto"/>
              </w:rPr>
            </w:pPr>
            <w:r>
              <w:rPr>
                <w:rFonts w:ascii="Arial" w:cs="Arial" w:eastAsia="Arial" w:hAnsi="Arial"/>
                <w:sz w:val="14"/>
                <w:szCs w:val="14"/>
                <w:b w:val="1"/>
                <w:bCs w:val="1"/>
                <w:color w:val="FFFFFF"/>
              </w:rPr>
              <w:t>Multiple of</w:t>
            </w:r>
          </w:p>
        </w:tc>
        <w:tc>
          <w:tcPr>
            <w:tcW w:w="20" w:type="dxa"/>
            <w:vAlign w:val="bottom"/>
            <w:shd w:val="clear" w:color="auto" w:fill="006880"/>
          </w:tcPr>
          <w:p>
            <w:pPr>
              <w:spacing w:after="0"/>
              <w:rPr>
                <w:sz w:val="14"/>
                <w:szCs w:val="14"/>
                <w:color w:val="auto"/>
              </w:rPr>
            </w:pPr>
          </w:p>
        </w:tc>
      </w:tr>
      <w:tr>
        <w:trPr>
          <w:trHeight w:val="219"/>
        </w:trPr>
        <w:tc>
          <w:tcPr>
            <w:tcW w:w="45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Name</w:t>
            </w:r>
          </w:p>
        </w:tc>
        <w:tc>
          <w:tcPr>
            <w:tcW w:w="300" w:type="dxa"/>
            <w:vAlign w:val="bottom"/>
            <w:tcBorders>
              <w:bottom w:val="single" w:sz="8" w:color="004054"/>
            </w:tcBorders>
            <w:shd w:val="clear" w:color="auto" w:fill="004054"/>
          </w:tcPr>
          <w:p>
            <w:pPr>
              <w:spacing w:after="0"/>
              <w:rPr>
                <w:sz w:val="19"/>
                <w:szCs w:val="19"/>
                <w:color w:val="auto"/>
              </w:rPr>
            </w:pPr>
          </w:p>
        </w:tc>
        <w:tc>
          <w:tcPr>
            <w:tcW w:w="13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Requirement</w:t>
            </w:r>
          </w:p>
        </w:tc>
        <w:tc>
          <w:tcPr>
            <w:tcW w:w="16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RSAs Owned</w:t>
            </w:r>
            <w:r>
              <w:rPr>
                <w:rFonts w:ascii="Arial" w:cs="Arial" w:eastAsia="Arial" w:hAnsi="Arial"/>
                <w:sz w:val="9"/>
                <w:szCs w:val="9"/>
                <w:b w:val="1"/>
                <w:bCs w:val="1"/>
                <w:color w:val="FFFFFF"/>
              </w:rPr>
              <w:t>(1)</w:t>
            </w:r>
          </w:p>
        </w:tc>
        <w:tc>
          <w:tcPr>
            <w:tcW w:w="260" w:type="dxa"/>
            <w:vAlign w:val="bottom"/>
            <w:tcBorders>
              <w:bottom w:val="single" w:sz="8" w:color="004054"/>
            </w:tcBorders>
            <w:shd w:val="clear" w:color="auto" w:fill="004054"/>
          </w:tcPr>
          <w:p>
            <w:pPr>
              <w:spacing w:after="0"/>
              <w:rPr>
                <w:sz w:val="19"/>
                <w:szCs w:val="19"/>
                <w:color w:val="auto"/>
              </w:rPr>
            </w:pPr>
          </w:p>
        </w:tc>
        <w:tc>
          <w:tcPr>
            <w:tcW w:w="14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RSAs Owned</w:t>
            </w:r>
            <w:r>
              <w:rPr>
                <w:rFonts w:ascii="Arial" w:cs="Arial" w:eastAsia="Arial" w:hAnsi="Arial"/>
                <w:sz w:val="9"/>
                <w:szCs w:val="9"/>
                <w:b w:val="1"/>
                <w:bCs w:val="1"/>
                <w:color w:val="FFFFFF"/>
              </w:rPr>
              <w:t>(2)</w:t>
            </w:r>
          </w:p>
        </w:tc>
        <w:tc>
          <w:tcPr>
            <w:tcW w:w="1640" w:type="dxa"/>
            <w:vAlign w:val="bottom"/>
            <w:tcBorders>
              <w:bottom w:val="single" w:sz="8" w:color="006880"/>
            </w:tcBorders>
            <w:shd w:val="clear" w:color="auto" w:fill="006880"/>
          </w:tcPr>
          <w:p>
            <w:pPr>
              <w:jc w:val="right"/>
              <w:spacing w:after="0"/>
              <w:rPr>
                <w:sz w:val="20"/>
                <w:szCs w:val="20"/>
                <w:color w:val="auto"/>
              </w:rPr>
            </w:pPr>
            <w:r>
              <w:rPr>
                <w:rFonts w:ascii="Arial" w:cs="Arial" w:eastAsia="Arial" w:hAnsi="Arial"/>
                <w:sz w:val="14"/>
                <w:szCs w:val="14"/>
                <w:b w:val="1"/>
                <w:bCs w:val="1"/>
                <w:color w:val="FFFFFF"/>
              </w:rPr>
              <w:t>Requirement</w:t>
            </w:r>
            <w:r>
              <w:rPr>
                <w:rFonts w:ascii="Arial" w:cs="Arial" w:eastAsia="Arial" w:hAnsi="Arial"/>
                <w:sz w:val="9"/>
                <w:szCs w:val="9"/>
                <w:b w:val="1"/>
                <w:bCs w:val="1"/>
                <w:color w:val="FFFFFF"/>
              </w:rPr>
              <w:t>(2)</w:t>
            </w:r>
          </w:p>
        </w:tc>
        <w:tc>
          <w:tcPr>
            <w:tcW w:w="20" w:type="dxa"/>
            <w:vAlign w:val="bottom"/>
            <w:tcBorders>
              <w:bottom w:val="single" w:sz="8" w:color="006880"/>
            </w:tcBorders>
            <w:shd w:val="clear" w:color="auto" w:fill="006880"/>
          </w:tcPr>
          <w:p>
            <w:pPr>
              <w:spacing w:after="0"/>
              <w:rPr>
                <w:sz w:val="19"/>
                <w:szCs w:val="19"/>
                <w:color w:val="auto"/>
              </w:rPr>
            </w:pPr>
          </w:p>
        </w:tc>
      </w:tr>
      <w:tr>
        <w:trPr>
          <w:trHeight w:val="324"/>
        </w:trPr>
        <w:tc>
          <w:tcPr>
            <w:tcW w:w="458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Ms. DeFiore</w:t>
            </w:r>
          </w:p>
        </w:tc>
        <w:tc>
          <w:tcPr>
            <w:tcW w:w="300" w:type="dxa"/>
            <w:vAlign w:val="bottom"/>
            <w:shd w:val="clear" w:color="auto" w:fill="EBFBFF"/>
          </w:tcPr>
          <w:p>
            <w:pPr>
              <w:jc w:val="right"/>
              <w:ind w:right="90"/>
              <w:spacing w:after="0"/>
              <w:rPr>
                <w:sz w:val="20"/>
                <w:szCs w:val="20"/>
                <w:color w:val="auto"/>
              </w:rPr>
            </w:pPr>
            <w:r>
              <w:rPr>
                <w:rFonts w:ascii="Arial" w:cs="Arial" w:eastAsia="Arial" w:hAnsi="Arial"/>
                <w:sz w:val="18"/>
                <w:szCs w:val="18"/>
                <w:color w:val="51555C"/>
                <w:w w:val="99"/>
              </w:rPr>
              <w:t>$</w:t>
            </w:r>
          </w:p>
        </w:tc>
        <w:tc>
          <w:tcPr>
            <w:tcW w:w="13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100,000</w:t>
            </w:r>
          </w:p>
        </w:tc>
        <w:tc>
          <w:tcPr>
            <w:tcW w:w="16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10,069</w:t>
            </w:r>
          </w:p>
        </w:tc>
        <w:tc>
          <w:tcPr>
            <w:tcW w:w="260" w:type="dxa"/>
            <w:vAlign w:val="bottom"/>
            <w:shd w:val="clear" w:color="auto" w:fill="EBFBFF"/>
          </w:tcPr>
          <w:p>
            <w:pPr>
              <w:jc w:val="right"/>
              <w:ind w:right="50"/>
              <w:spacing w:after="0"/>
              <w:rPr>
                <w:sz w:val="20"/>
                <w:szCs w:val="20"/>
                <w:color w:val="auto"/>
              </w:rPr>
            </w:pPr>
            <w:r>
              <w:rPr>
                <w:rFonts w:ascii="Arial" w:cs="Arial" w:eastAsia="Arial" w:hAnsi="Arial"/>
                <w:sz w:val="18"/>
                <w:szCs w:val="18"/>
                <w:color w:val="51555C"/>
                <w:w w:val="99"/>
              </w:rPr>
              <w:t>$</w:t>
            </w:r>
          </w:p>
        </w:tc>
        <w:tc>
          <w:tcPr>
            <w:tcW w:w="1440" w:type="dxa"/>
            <w:vAlign w:val="bottom"/>
            <w:shd w:val="clear" w:color="auto" w:fill="EBFBFF"/>
          </w:tcPr>
          <w:p>
            <w:pPr>
              <w:jc w:val="right"/>
              <w:ind w:right="15"/>
              <w:spacing w:after="0"/>
              <w:rPr>
                <w:sz w:val="20"/>
                <w:szCs w:val="20"/>
                <w:color w:val="auto"/>
              </w:rPr>
            </w:pPr>
            <w:r>
              <w:rPr>
                <w:rFonts w:ascii="Arial" w:cs="Arial" w:eastAsia="Arial" w:hAnsi="Arial"/>
                <w:sz w:val="18"/>
                <w:szCs w:val="18"/>
                <w:color w:val="51555C"/>
              </w:rPr>
              <w:t>637,569</w:t>
            </w:r>
          </w:p>
        </w:tc>
        <w:tc>
          <w:tcPr>
            <w:tcW w:w="1640" w:type="dxa"/>
            <w:vAlign w:val="bottom"/>
            <w:shd w:val="clear" w:color="auto" w:fill="EBFBFF"/>
          </w:tcPr>
          <w:p>
            <w:pPr>
              <w:jc w:val="right"/>
              <w:spacing w:after="0"/>
              <w:rPr>
                <w:sz w:val="20"/>
                <w:szCs w:val="20"/>
                <w:color w:val="auto"/>
              </w:rPr>
            </w:pPr>
            <w:r>
              <w:rPr>
                <w:rFonts w:ascii="Arial" w:cs="Arial" w:eastAsia="Arial" w:hAnsi="Arial"/>
                <w:sz w:val="18"/>
                <w:szCs w:val="18"/>
                <w:b w:val="1"/>
                <w:bCs w:val="1"/>
                <w:color w:val="51555C"/>
              </w:rPr>
              <w:t>6x</w:t>
            </w:r>
          </w:p>
        </w:tc>
        <w:tc>
          <w:tcPr>
            <w:tcW w:w="20" w:type="dxa"/>
            <w:vAlign w:val="bottom"/>
          </w:tcPr>
          <w:p>
            <w:pPr>
              <w:spacing w:after="0"/>
              <w:rPr>
                <w:sz w:val="24"/>
                <w:szCs w:val="24"/>
                <w:color w:val="auto"/>
              </w:rPr>
            </w:pPr>
          </w:p>
        </w:tc>
      </w:tr>
      <w:tr>
        <w:trPr>
          <w:trHeight w:val="317"/>
        </w:trPr>
        <w:tc>
          <w:tcPr>
            <w:tcW w:w="4580" w:type="dxa"/>
            <w:vAlign w:val="bottom"/>
          </w:tcPr>
          <w:p>
            <w:pPr>
              <w:ind w:left="20"/>
              <w:spacing w:after="0"/>
              <w:rPr>
                <w:sz w:val="20"/>
                <w:szCs w:val="20"/>
                <w:color w:val="auto"/>
              </w:rPr>
            </w:pPr>
            <w:r>
              <w:rPr>
                <w:rFonts w:ascii="Arial" w:cs="Arial" w:eastAsia="Arial" w:hAnsi="Arial"/>
                <w:sz w:val="18"/>
                <w:szCs w:val="18"/>
                <w:b w:val="1"/>
                <w:bCs w:val="1"/>
                <w:color w:val="51555C"/>
              </w:rPr>
              <w:t>Ms. Hollenbeck</w:t>
            </w:r>
          </w:p>
        </w:tc>
        <w:tc>
          <w:tcPr>
            <w:tcW w:w="3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51555C"/>
              </w:rPr>
              <w:t>100,000</w:t>
            </w:r>
          </w:p>
        </w:tc>
        <w:tc>
          <w:tcPr>
            <w:tcW w:w="1660" w:type="dxa"/>
            <w:vAlign w:val="bottom"/>
          </w:tcPr>
          <w:p>
            <w:pPr>
              <w:jc w:val="right"/>
              <w:spacing w:after="0"/>
              <w:rPr>
                <w:sz w:val="20"/>
                <w:szCs w:val="20"/>
                <w:color w:val="auto"/>
              </w:rPr>
            </w:pPr>
            <w:r>
              <w:rPr>
                <w:rFonts w:ascii="Arial" w:cs="Arial" w:eastAsia="Arial" w:hAnsi="Arial"/>
                <w:sz w:val="18"/>
                <w:szCs w:val="18"/>
                <w:color w:val="51555C"/>
              </w:rPr>
              <w:t>6,366</w:t>
            </w:r>
          </w:p>
        </w:tc>
        <w:tc>
          <w:tcPr>
            <w:tcW w:w="260" w:type="dxa"/>
            <w:vAlign w:val="bottom"/>
          </w:tcPr>
          <w:p>
            <w:pPr>
              <w:spacing w:after="0"/>
              <w:rPr>
                <w:sz w:val="24"/>
                <w:szCs w:val="24"/>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51555C"/>
              </w:rPr>
              <w:t>403,095</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51555C"/>
              </w:rPr>
              <w:t>4x</w:t>
            </w:r>
          </w:p>
        </w:tc>
        <w:tc>
          <w:tcPr>
            <w:tcW w:w="20" w:type="dxa"/>
            <w:vAlign w:val="bottom"/>
          </w:tcPr>
          <w:p>
            <w:pPr>
              <w:spacing w:after="0"/>
              <w:rPr>
                <w:sz w:val="24"/>
                <w:szCs w:val="24"/>
                <w:color w:val="auto"/>
              </w:rPr>
            </w:pPr>
          </w:p>
        </w:tc>
      </w:tr>
      <w:tr>
        <w:trPr>
          <w:trHeight w:val="332"/>
        </w:trPr>
        <w:tc>
          <w:tcPr>
            <w:tcW w:w="458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Mr. Leitch</w:t>
            </w:r>
          </w:p>
        </w:tc>
        <w:tc>
          <w:tcPr>
            <w:tcW w:w="300" w:type="dxa"/>
            <w:vAlign w:val="bottom"/>
            <w:shd w:val="clear" w:color="auto" w:fill="EBFBFF"/>
          </w:tcPr>
          <w:p>
            <w:pPr>
              <w:spacing w:after="0"/>
              <w:rPr>
                <w:sz w:val="24"/>
                <w:szCs w:val="24"/>
                <w:color w:val="auto"/>
              </w:rPr>
            </w:pPr>
          </w:p>
        </w:tc>
        <w:tc>
          <w:tcPr>
            <w:tcW w:w="13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200,000</w:t>
            </w:r>
          </w:p>
        </w:tc>
        <w:tc>
          <w:tcPr>
            <w:tcW w:w="16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40,201</w:t>
            </w:r>
          </w:p>
        </w:tc>
        <w:tc>
          <w:tcPr>
            <w:tcW w:w="260" w:type="dxa"/>
            <w:vAlign w:val="bottom"/>
            <w:shd w:val="clear" w:color="auto" w:fill="EBFBFF"/>
          </w:tcPr>
          <w:p>
            <w:pPr>
              <w:spacing w:after="0"/>
              <w:rPr>
                <w:sz w:val="24"/>
                <w:szCs w:val="24"/>
                <w:color w:val="auto"/>
              </w:rPr>
            </w:pPr>
          </w:p>
        </w:tc>
        <w:tc>
          <w:tcPr>
            <w:tcW w:w="1440" w:type="dxa"/>
            <w:vAlign w:val="bottom"/>
            <w:shd w:val="clear" w:color="auto" w:fill="EBFBFF"/>
          </w:tcPr>
          <w:p>
            <w:pPr>
              <w:jc w:val="right"/>
              <w:ind w:right="15"/>
              <w:spacing w:after="0"/>
              <w:rPr>
                <w:sz w:val="20"/>
                <w:szCs w:val="20"/>
                <w:color w:val="auto"/>
              </w:rPr>
            </w:pPr>
            <w:r>
              <w:rPr>
                <w:rFonts w:ascii="Arial" w:cs="Arial" w:eastAsia="Arial" w:hAnsi="Arial"/>
                <w:sz w:val="18"/>
                <w:szCs w:val="18"/>
                <w:color w:val="51555C"/>
              </w:rPr>
              <w:t>2,545,527</w:t>
            </w:r>
          </w:p>
        </w:tc>
        <w:tc>
          <w:tcPr>
            <w:tcW w:w="1640" w:type="dxa"/>
            <w:vAlign w:val="bottom"/>
            <w:shd w:val="clear" w:color="auto" w:fill="EBFBFF"/>
          </w:tcPr>
          <w:p>
            <w:pPr>
              <w:jc w:val="right"/>
              <w:spacing w:after="0"/>
              <w:rPr>
                <w:sz w:val="20"/>
                <w:szCs w:val="20"/>
                <w:color w:val="auto"/>
              </w:rPr>
            </w:pPr>
            <w:r>
              <w:rPr>
                <w:rFonts w:ascii="Arial" w:cs="Arial" w:eastAsia="Arial" w:hAnsi="Arial"/>
                <w:sz w:val="18"/>
                <w:szCs w:val="18"/>
                <w:b w:val="1"/>
                <w:bCs w:val="1"/>
                <w:color w:val="51555C"/>
              </w:rPr>
              <w:t>13x</w:t>
            </w:r>
          </w:p>
        </w:tc>
        <w:tc>
          <w:tcPr>
            <w:tcW w:w="20" w:type="dxa"/>
            <w:vAlign w:val="bottom"/>
          </w:tcPr>
          <w:p>
            <w:pPr>
              <w:spacing w:after="0"/>
              <w:rPr>
                <w:sz w:val="24"/>
                <w:szCs w:val="24"/>
                <w:color w:val="auto"/>
              </w:rPr>
            </w:pPr>
          </w:p>
        </w:tc>
      </w:tr>
      <w:tr>
        <w:trPr>
          <w:trHeight w:val="316"/>
        </w:trPr>
        <w:tc>
          <w:tcPr>
            <w:tcW w:w="4580" w:type="dxa"/>
            <w:vAlign w:val="bottom"/>
          </w:tcPr>
          <w:p>
            <w:pPr>
              <w:ind w:left="20"/>
              <w:spacing w:after="0"/>
              <w:rPr>
                <w:sz w:val="20"/>
                <w:szCs w:val="20"/>
                <w:color w:val="auto"/>
              </w:rPr>
            </w:pPr>
            <w:r>
              <w:rPr>
                <w:rFonts w:ascii="Arial" w:cs="Arial" w:eastAsia="Arial" w:hAnsi="Arial"/>
                <w:sz w:val="18"/>
                <w:szCs w:val="18"/>
                <w:b w:val="1"/>
                <w:bCs w:val="1"/>
                <w:color w:val="51555C"/>
              </w:rPr>
              <w:t>Mr. Nanney</w:t>
            </w:r>
          </w:p>
        </w:tc>
        <w:tc>
          <w:tcPr>
            <w:tcW w:w="3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51555C"/>
              </w:rPr>
              <w:t>100,000</w:t>
            </w:r>
          </w:p>
        </w:tc>
        <w:tc>
          <w:tcPr>
            <w:tcW w:w="1660" w:type="dxa"/>
            <w:vAlign w:val="bottom"/>
          </w:tcPr>
          <w:p>
            <w:pPr>
              <w:jc w:val="right"/>
              <w:spacing w:after="0"/>
              <w:rPr>
                <w:sz w:val="20"/>
                <w:szCs w:val="20"/>
                <w:color w:val="auto"/>
              </w:rPr>
            </w:pPr>
            <w:r>
              <w:rPr>
                <w:rFonts w:ascii="Arial" w:cs="Arial" w:eastAsia="Arial" w:hAnsi="Arial"/>
                <w:sz w:val="18"/>
                <w:szCs w:val="18"/>
                <w:color w:val="51555C"/>
              </w:rPr>
              <w:t>16,619</w:t>
            </w:r>
          </w:p>
        </w:tc>
        <w:tc>
          <w:tcPr>
            <w:tcW w:w="260" w:type="dxa"/>
            <w:vAlign w:val="bottom"/>
          </w:tcPr>
          <w:p>
            <w:pPr>
              <w:spacing w:after="0"/>
              <w:rPr>
                <w:sz w:val="24"/>
                <w:szCs w:val="24"/>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51555C"/>
              </w:rPr>
              <w:t>1,052,315</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51555C"/>
              </w:rPr>
              <w:t>11x</w:t>
            </w:r>
          </w:p>
        </w:tc>
        <w:tc>
          <w:tcPr>
            <w:tcW w:w="20" w:type="dxa"/>
            <w:vAlign w:val="bottom"/>
          </w:tcPr>
          <w:p>
            <w:pPr>
              <w:spacing w:after="0"/>
              <w:rPr>
                <w:sz w:val="24"/>
                <w:szCs w:val="24"/>
                <w:color w:val="auto"/>
              </w:rPr>
            </w:pPr>
          </w:p>
        </w:tc>
      </w:tr>
      <w:tr>
        <w:trPr>
          <w:trHeight w:val="332"/>
        </w:trPr>
        <w:tc>
          <w:tcPr>
            <w:tcW w:w="458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Mr. Pyburn</w:t>
            </w:r>
            <w:r>
              <w:rPr>
                <w:rFonts w:ascii="Arial" w:cs="Arial" w:eastAsia="Arial" w:hAnsi="Arial"/>
                <w:sz w:val="23"/>
                <w:szCs w:val="23"/>
                <w:b w:val="1"/>
                <w:bCs w:val="1"/>
                <w:color w:val="51555C"/>
                <w:vertAlign w:val="superscript"/>
              </w:rPr>
              <w:t>(3)</w:t>
            </w:r>
          </w:p>
        </w:tc>
        <w:tc>
          <w:tcPr>
            <w:tcW w:w="300" w:type="dxa"/>
            <w:vAlign w:val="bottom"/>
            <w:shd w:val="clear" w:color="auto" w:fill="EBFBFF"/>
          </w:tcPr>
          <w:p>
            <w:pPr>
              <w:spacing w:after="0"/>
              <w:rPr>
                <w:sz w:val="24"/>
                <w:szCs w:val="24"/>
                <w:color w:val="auto"/>
              </w:rPr>
            </w:pPr>
          </w:p>
        </w:tc>
        <w:tc>
          <w:tcPr>
            <w:tcW w:w="13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16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5,269</w:t>
            </w:r>
          </w:p>
        </w:tc>
        <w:tc>
          <w:tcPr>
            <w:tcW w:w="260" w:type="dxa"/>
            <w:vAlign w:val="bottom"/>
            <w:shd w:val="clear" w:color="auto" w:fill="EBFBFF"/>
          </w:tcPr>
          <w:p>
            <w:pPr>
              <w:spacing w:after="0"/>
              <w:rPr>
                <w:sz w:val="24"/>
                <w:szCs w:val="24"/>
                <w:color w:val="auto"/>
              </w:rPr>
            </w:pPr>
          </w:p>
        </w:tc>
        <w:tc>
          <w:tcPr>
            <w:tcW w:w="1440" w:type="dxa"/>
            <w:vAlign w:val="bottom"/>
            <w:shd w:val="clear" w:color="auto" w:fill="EBFBFF"/>
          </w:tcPr>
          <w:p>
            <w:pPr>
              <w:jc w:val="right"/>
              <w:ind w:right="15"/>
              <w:spacing w:after="0"/>
              <w:rPr>
                <w:sz w:val="20"/>
                <w:szCs w:val="20"/>
                <w:color w:val="auto"/>
              </w:rPr>
            </w:pPr>
            <w:r>
              <w:rPr>
                <w:rFonts w:ascii="Arial" w:cs="Arial" w:eastAsia="Arial" w:hAnsi="Arial"/>
                <w:sz w:val="18"/>
                <w:szCs w:val="18"/>
                <w:color w:val="51555C"/>
              </w:rPr>
              <w:t>333,633</w:t>
            </w:r>
          </w:p>
        </w:tc>
        <w:tc>
          <w:tcPr>
            <w:tcW w:w="1640" w:type="dxa"/>
            <w:vAlign w:val="bottom"/>
            <w:shd w:val="clear" w:color="auto" w:fill="EBFBFF"/>
          </w:tcPr>
          <w:p>
            <w:pPr>
              <w:jc w:val="right"/>
              <w:spacing w:after="0"/>
              <w:rPr>
                <w:sz w:val="20"/>
                <w:szCs w:val="20"/>
                <w:color w:val="auto"/>
              </w:rPr>
            </w:pPr>
            <w:r>
              <w:rPr>
                <w:rFonts w:ascii="Arial" w:cs="Arial" w:eastAsia="Arial" w:hAnsi="Arial"/>
                <w:sz w:val="18"/>
                <w:szCs w:val="18"/>
                <w:b w:val="1"/>
                <w:bCs w:val="1"/>
                <w:color w:val="51555C"/>
              </w:rPr>
              <w:t>—</w:t>
            </w:r>
          </w:p>
        </w:tc>
        <w:tc>
          <w:tcPr>
            <w:tcW w:w="20" w:type="dxa"/>
            <w:vAlign w:val="bottom"/>
          </w:tcPr>
          <w:p>
            <w:pPr>
              <w:spacing w:after="0"/>
              <w:rPr>
                <w:sz w:val="24"/>
                <w:szCs w:val="24"/>
                <w:color w:val="auto"/>
              </w:rPr>
            </w:pPr>
          </w:p>
        </w:tc>
      </w:tr>
      <w:tr>
        <w:trPr>
          <w:trHeight w:val="324"/>
        </w:trPr>
        <w:tc>
          <w:tcPr>
            <w:tcW w:w="458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51555C"/>
              </w:rPr>
              <w:t>Mr. Talvitie</w:t>
            </w:r>
            <w:r>
              <w:rPr>
                <w:rFonts w:ascii="Arial" w:cs="Arial" w:eastAsia="Arial" w:hAnsi="Arial"/>
                <w:sz w:val="23"/>
                <w:szCs w:val="23"/>
                <w:b w:val="1"/>
                <w:bCs w:val="1"/>
                <w:color w:val="51555C"/>
                <w:vertAlign w:val="superscript"/>
              </w:rPr>
              <w:t>(4)</w:t>
            </w:r>
          </w:p>
        </w:tc>
        <w:tc>
          <w:tcPr>
            <w:tcW w:w="300" w:type="dxa"/>
            <w:vAlign w:val="bottom"/>
            <w:tcBorders>
              <w:bottom w:val="single" w:sz="8" w:color="0CD973"/>
            </w:tcBorders>
          </w:tcPr>
          <w:p>
            <w:pPr>
              <w:spacing w:after="0"/>
              <w:rPr>
                <w:sz w:val="24"/>
                <w:szCs w:val="24"/>
                <w:color w:val="auto"/>
              </w:rPr>
            </w:pPr>
          </w:p>
        </w:tc>
        <w:tc>
          <w:tcPr>
            <w:tcW w:w="1360" w:type="dxa"/>
            <w:vAlign w:val="bottom"/>
            <w:tcBorders>
              <w:bottom w:val="single" w:sz="8" w:color="0CD973"/>
            </w:tcBorders>
          </w:tcPr>
          <w:p>
            <w:pPr>
              <w:jc w:val="right"/>
              <w:spacing w:after="0"/>
              <w:rPr>
                <w:sz w:val="20"/>
                <w:szCs w:val="20"/>
                <w:color w:val="auto"/>
              </w:rPr>
            </w:pPr>
            <w:r>
              <w:rPr>
                <w:rFonts w:ascii="Arial" w:cs="Arial" w:eastAsia="Arial" w:hAnsi="Arial"/>
                <w:sz w:val="18"/>
                <w:szCs w:val="18"/>
                <w:color w:val="51555C"/>
              </w:rPr>
              <w:t>—</w:t>
            </w:r>
          </w:p>
        </w:tc>
        <w:tc>
          <w:tcPr>
            <w:tcW w:w="1660" w:type="dxa"/>
            <w:vAlign w:val="bottom"/>
            <w:tcBorders>
              <w:bottom w:val="single" w:sz="8" w:color="0CD973"/>
            </w:tcBorders>
          </w:tcPr>
          <w:p>
            <w:pPr>
              <w:jc w:val="right"/>
              <w:spacing w:after="0"/>
              <w:rPr>
                <w:sz w:val="20"/>
                <w:szCs w:val="20"/>
                <w:color w:val="auto"/>
              </w:rPr>
            </w:pPr>
            <w:r>
              <w:rPr>
                <w:rFonts w:ascii="Arial" w:cs="Arial" w:eastAsia="Arial" w:hAnsi="Arial"/>
                <w:sz w:val="18"/>
                <w:szCs w:val="18"/>
                <w:color w:val="51555C"/>
              </w:rPr>
              <w:t>8,053</w:t>
            </w:r>
          </w:p>
        </w:tc>
        <w:tc>
          <w:tcPr>
            <w:tcW w:w="260" w:type="dxa"/>
            <w:vAlign w:val="bottom"/>
            <w:tcBorders>
              <w:bottom w:val="single" w:sz="8" w:color="0CD973"/>
            </w:tcBorders>
          </w:tcPr>
          <w:p>
            <w:pPr>
              <w:spacing w:after="0"/>
              <w:rPr>
                <w:sz w:val="24"/>
                <w:szCs w:val="24"/>
                <w:color w:val="auto"/>
              </w:rPr>
            </w:pPr>
          </w:p>
        </w:tc>
        <w:tc>
          <w:tcPr>
            <w:tcW w:w="1440" w:type="dxa"/>
            <w:vAlign w:val="bottom"/>
            <w:tcBorders>
              <w:bottom w:val="single" w:sz="8" w:color="0CD973"/>
            </w:tcBorders>
          </w:tcPr>
          <w:p>
            <w:pPr>
              <w:jc w:val="right"/>
              <w:ind w:right="15"/>
              <w:spacing w:after="0"/>
              <w:rPr>
                <w:sz w:val="20"/>
                <w:szCs w:val="20"/>
                <w:color w:val="auto"/>
              </w:rPr>
            </w:pPr>
            <w:r>
              <w:rPr>
                <w:rFonts w:ascii="Arial" w:cs="Arial" w:eastAsia="Arial" w:hAnsi="Arial"/>
                <w:sz w:val="18"/>
                <w:szCs w:val="18"/>
                <w:color w:val="51555C"/>
              </w:rPr>
              <w:t>509,916</w:t>
            </w:r>
          </w:p>
        </w:tc>
        <w:tc>
          <w:tcPr>
            <w:tcW w:w="1640" w:type="dxa"/>
            <w:vAlign w:val="bottom"/>
            <w:tcBorders>
              <w:bottom w:val="single" w:sz="8" w:color="0CD973"/>
            </w:tcBorders>
          </w:tcPr>
          <w:p>
            <w:pPr>
              <w:jc w:val="right"/>
              <w:spacing w:after="0"/>
              <w:rPr>
                <w:sz w:val="20"/>
                <w:szCs w:val="20"/>
                <w:color w:val="auto"/>
              </w:rPr>
            </w:pPr>
            <w:r>
              <w:rPr>
                <w:rFonts w:ascii="Arial" w:cs="Arial" w:eastAsia="Arial" w:hAnsi="Arial"/>
                <w:sz w:val="18"/>
                <w:szCs w:val="18"/>
                <w:b w:val="1"/>
                <w:bCs w:val="1"/>
                <w:color w:val="51555C"/>
              </w:rPr>
              <w:t>—</w:t>
            </w:r>
          </w:p>
        </w:tc>
        <w:tc>
          <w:tcPr>
            <w:tcW w:w="20" w:type="dxa"/>
            <w:vAlign w:val="bottom"/>
          </w:tcPr>
          <w:p>
            <w:pPr>
              <w:spacing w:after="0"/>
              <w:rPr>
                <w:sz w:val="24"/>
                <w:szCs w:val="24"/>
                <w:color w:val="auto"/>
              </w:rPr>
            </w:pPr>
          </w:p>
        </w:tc>
      </w:tr>
    </w:tbl>
    <w:p>
      <w:pPr>
        <w:spacing w:after="0" w:line="72"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51555C"/>
        </w:rPr>
      </w:pPr>
      <w:r>
        <w:rPr>
          <w:rFonts w:ascii="Arial" w:cs="Arial" w:eastAsia="Arial" w:hAnsi="Arial"/>
          <w:sz w:val="14"/>
          <w:szCs w:val="14"/>
          <w:color w:val="51555C"/>
        </w:rPr>
        <w:t>Includes vested and unvested shares of our common stock subject to RSAs beneficially owned.</w:t>
      </w:r>
    </w:p>
    <w:p>
      <w:pPr>
        <w:spacing w:after="0" w:line="28" w:lineRule="exact"/>
        <w:rPr>
          <w:rFonts w:ascii="Arial" w:cs="Arial" w:eastAsia="Arial" w:hAnsi="Arial"/>
          <w:sz w:val="14"/>
          <w:szCs w:val="14"/>
          <w:color w:val="51555C"/>
        </w:rPr>
      </w:pPr>
    </w:p>
    <w:p>
      <w:pPr>
        <w:ind w:left="340" w:right="20" w:hanging="332"/>
        <w:spacing w:after="0" w:line="261" w:lineRule="auto"/>
        <w:tabs>
          <w:tab w:leader="none" w:pos="354" w:val="left"/>
        </w:tabs>
        <w:numPr>
          <w:ilvl w:val="0"/>
          <w:numId w:val="28"/>
        </w:numPr>
        <w:rPr>
          <w:rFonts w:ascii="Arial" w:cs="Arial" w:eastAsia="Arial" w:hAnsi="Arial"/>
          <w:sz w:val="14"/>
          <w:szCs w:val="14"/>
          <w:color w:val="51555C"/>
        </w:rPr>
      </w:pPr>
      <w:r>
        <w:rPr>
          <w:rFonts w:ascii="Arial" w:cs="Arial" w:eastAsia="Arial" w:hAnsi="Arial"/>
          <w:sz w:val="14"/>
          <w:szCs w:val="14"/>
          <w:color w:val="51555C"/>
        </w:rPr>
        <w:t>Based on $63.32 per share, which was the closing market price of our common stock on the Nasdaq Global Select Market on December 31, 2025, the last trading day of that fiscal year.</w:t>
      </w:r>
    </w:p>
    <w:p>
      <w:pPr>
        <w:ind w:left="340" w:right="20" w:hanging="332"/>
        <w:spacing w:after="0" w:line="251" w:lineRule="auto"/>
        <w:tabs>
          <w:tab w:leader="none" w:pos="354" w:val="left"/>
        </w:tabs>
        <w:numPr>
          <w:ilvl w:val="0"/>
          <w:numId w:val="28"/>
        </w:numPr>
        <w:rPr>
          <w:rFonts w:ascii="Arial" w:cs="Arial" w:eastAsia="Arial" w:hAnsi="Arial"/>
          <w:sz w:val="14"/>
          <w:szCs w:val="14"/>
          <w:color w:val="51555C"/>
        </w:rPr>
      </w:pPr>
      <w:r>
        <w:rPr>
          <w:rFonts w:ascii="Arial" w:cs="Arial" w:eastAsia="Arial" w:hAnsi="Arial"/>
          <w:sz w:val="14"/>
          <w:szCs w:val="14"/>
          <w:color w:val="51555C"/>
        </w:rPr>
        <w:t>Mr. Pyburn joined the Board of Directors effective December 4, 2024. Since Mr. Pyburn had been a director of the Company for less than three years as of December 31, 2025, he was not required to meet an ownership target. However, as of December 31, 2025, Mr. Pyburn achieved 3x the three-year requirement.</w:t>
      </w:r>
    </w:p>
    <w:p>
      <w:pPr>
        <w:ind w:left="340" w:right="20" w:hanging="332"/>
        <w:spacing w:after="0" w:line="284" w:lineRule="auto"/>
        <w:tabs>
          <w:tab w:leader="none" w:pos="354" w:val="left"/>
        </w:tabs>
        <w:numPr>
          <w:ilvl w:val="0"/>
          <w:numId w:val="28"/>
        </w:numPr>
        <w:rPr>
          <w:rFonts w:ascii="Arial" w:cs="Arial" w:eastAsia="Arial" w:hAnsi="Arial"/>
          <w:sz w:val="14"/>
          <w:szCs w:val="14"/>
          <w:color w:val="51555C"/>
        </w:rPr>
      </w:pPr>
      <w:r>
        <w:rPr>
          <w:rFonts w:ascii="Arial" w:cs="Arial" w:eastAsia="Arial" w:hAnsi="Arial"/>
          <w:sz w:val="14"/>
          <w:szCs w:val="14"/>
          <w:color w:val="51555C"/>
        </w:rPr>
        <w:t>Mr. Talvitie joined the Board of Directors effective January 11, 2024. Since Mr. Talvitie had been a director of the Company for less than three years as of December 31, 2025, he was not required to meet an ownership target. However, as of December 31, 2025, Mr. Talvitie achieved 5x the three-year requirement.</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Continuing Director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51555C"/>
        </w:rPr>
        <w:t>Our non-employee directors are encouraged to attend director education seminars that are designed to develop skills and strategies for effective service on the Board. As such, it is our policy to reimburse our non-employee directors for the reasonable and direct costs, including transportation and lodging, of attending such educational seminars. These reimbursement costs are not included in the “2025 Director Compensation Table” above.</w:t>
      </w:r>
    </w:p>
    <w:p>
      <w:pPr>
        <w:spacing w:after="0" w:line="333"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28</w:t>
      </w:r>
      <w:r>
        <w:rPr>
          <w:sz w:val="20"/>
          <w:szCs w:val="20"/>
          <w:color w:val="auto"/>
        </w:rPr>
        <w:tab/>
      </w:r>
      <w:r>
        <w:rPr>
          <w:sz w:val="1"/>
          <w:szCs w:val="1"/>
          <w:color w:val="auto"/>
        </w:rPr>
        <w:drawing>
          <wp:inline distT="0" distB="0" distL="0" distR="0">
            <wp:extent cx="702945" cy="11112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bookmarkStart w:id="30" w:name="page31"/>
    <w:bookmarkEnd w:id="30"/>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TRANSACTIONS WITH RELATED PERSONS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The written charter of our Audit Committee authorizes, and the Nasdaq Marketplace Rules require, our Audit Committee to review and approve related person transactions. In reviewing related person transactions, our Audit Committee applies the basic standard that transactions with related persons should be made on terms no less favorable to us than could have been obtained from unaffiliated parties. Therefore, the Audit Committee reviews the benefits of the transactions, terms of the transactions and the terms available from unrelated third parties, as applicable. All transactions other than compensatory arrangements and certain other specified categories of transactions between us and our executive officers, directors, principal stockholders and their affiliates must be approved by our Audit Committee or a majority of the disinterested directors, and must continue to be on terms no less favorable to us than could be obtained from unaffiliated third parties.</w:t>
      </w:r>
    </w:p>
    <w:p>
      <w:pPr>
        <w:spacing w:after="0" w:line="90" w:lineRule="exact"/>
        <w:rPr>
          <w:sz w:val="20"/>
          <w:szCs w:val="20"/>
          <w:color w:val="auto"/>
        </w:rPr>
      </w:pPr>
    </w:p>
    <w:p>
      <w:pPr>
        <w:jc w:val="both"/>
        <w:spacing w:after="0" w:line="229" w:lineRule="exact"/>
        <w:rPr>
          <w:sz w:val="20"/>
          <w:szCs w:val="20"/>
          <w:color w:val="auto"/>
        </w:rPr>
      </w:pPr>
      <w:r>
        <w:rPr>
          <w:rFonts w:ascii="Arial" w:cs="Arial" w:eastAsia="Arial" w:hAnsi="Arial"/>
          <w:sz w:val="18"/>
          <w:szCs w:val="18"/>
          <w:color w:val="51555C"/>
        </w:rPr>
        <w:t>In November 2025, the Company completed an asset purchase from an unaffiliated third</w:t>
      </w:r>
      <w:r>
        <w:rPr>
          <w:rFonts w:ascii="MS PGothic" w:cs="MS PGothic" w:eastAsia="MS PGothic" w:hAnsi="MS PGothic"/>
          <w:sz w:val="18"/>
          <w:szCs w:val="18"/>
          <w:color w:val="51555C"/>
        </w:rPr>
        <w:t>‑</w:t>
      </w:r>
      <w:r>
        <w:rPr>
          <w:rFonts w:ascii="Arial" w:cs="Arial" w:eastAsia="Arial" w:hAnsi="Arial"/>
          <w:sz w:val="18"/>
          <w:szCs w:val="18"/>
          <w:color w:val="51555C"/>
        </w:rPr>
        <w:t>party entity in which Kevin W. Mooney, a former Executive Vice President of the Company who retired effective April 1, 2025, was an investor. Mr. Mooney was considered a related person for purposes of this transaction as he served as an executive officer of the Company during fiscal year 2025. The Audit Committee reviewed and approved the transaction after determining that Mr. Mooney did not have a direct or indirect material interest in the transaction and that the terms of the transaction were no less favorable to the Company than those that could have been obtained from an unaffiliated third party.</w:t>
      </w:r>
    </w:p>
    <w:p>
      <w:pPr>
        <w:spacing w:after="0" w:line="13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51555C"/>
        </w:rPr>
        <w:t>Since January 1, 2025, we had no transactions in which we were a participant where the amount involved exceeded $120,000 and one or more of our executive officers, directors, principal stockholders or their affiliates had a direct or indirect material interest.</w:t>
      </w:r>
    </w:p>
    <w:p>
      <w:pPr>
        <w:spacing w:after="0" w:line="192"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ENVIRONMENTAL, SOCIAL AND GOVERNANCE RESPONSIBILITY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 xml:space="preserve">One of Blackbaud’s company values is being </w:t>
      </w:r>
      <w:r>
        <w:rPr>
          <w:rFonts w:ascii="Arial" w:cs="Arial" w:eastAsia="Arial" w:hAnsi="Arial"/>
          <w:sz w:val="18"/>
          <w:szCs w:val="18"/>
          <w:b w:val="1"/>
          <w:bCs w:val="1"/>
          <w:color w:val="51555C"/>
        </w:rPr>
        <w:t>powered by purpose</w:t>
      </w:r>
      <w:r>
        <w:rPr>
          <w:rFonts w:ascii="Arial" w:cs="Arial" w:eastAsia="Arial" w:hAnsi="Arial"/>
          <w:sz w:val="18"/>
          <w:szCs w:val="18"/>
          <w:color w:val="51555C"/>
        </w:rPr>
        <w:t xml:space="preserve">, and our employees are inspired by the opportunity to combine innovation with impact. As the leading software provider dedicated to powering social impact, we support organizations and individuals working to make a difference across the nonprofit, education and private sectors. We are committed to strengthening the environmental and social impact of our business by operating responsibly, investing in our people and using technology, including the responsible use of artificial intelligence, thoughtfully and transparently. Our ESG efforts focus on </w:t>
      </w:r>
      <w:r>
        <w:rPr>
          <w:rFonts w:ascii="Arial" w:cs="Arial" w:eastAsia="Arial" w:hAnsi="Arial"/>
          <w:sz w:val="18"/>
          <w:szCs w:val="18"/>
          <w:b w:val="1"/>
          <w:bCs w:val="1"/>
          <w:color w:val="51555C"/>
        </w:rPr>
        <w:t>people and culture</w:t>
      </w:r>
      <w:r>
        <w:rPr>
          <w:rFonts w:ascii="Arial" w:cs="Arial" w:eastAsia="Arial" w:hAnsi="Arial"/>
          <w:sz w:val="18"/>
          <w:szCs w:val="18"/>
          <w:color w:val="51555C"/>
        </w:rPr>
        <w:t xml:space="preserve">, </w:t>
      </w:r>
      <w:r>
        <w:rPr>
          <w:rFonts w:ascii="Arial" w:cs="Arial" w:eastAsia="Arial" w:hAnsi="Arial"/>
          <w:sz w:val="18"/>
          <w:szCs w:val="18"/>
          <w:b w:val="1"/>
          <w:bCs w:val="1"/>
          <w:color w:val="51555C"/>
        </w:rPr>
        <w:t>fueling social impact through our products</w:t>
      </w:r>
      <w:r>
        <w:rPr>
          <w:rFonts w:ascii="Arial" w:cs="Arial" w:eastAsia="Arial" w:hAnsi="Arial"/>
          <w:sz w:val="18"/>
          <w:szCs w:val="18"/>
          <w:color w:val="51555C"/>
        </w:rPr>
        <w:t xml:space="preserve"> </w:t>
      </w:r>
      <w:r>
        <w:rPr>
          <w:rFonts w:ascii="Arial" w:cs="Arial" w:eastAsia="Arial" w:hAnsi="Arial"/>
          <w:sz w:val="18"/>
          <w:szCs w:val="18"/>
          <w:b w:val="1"/>
          <w:bCs w:val="1"/>
          <w:color w:val="51555C"/>
        </w:rPr>
        <w:t>and services</w:t>
      </w:r>
      <w:r>
        <w:rPr>
          <w:rFonts w:ascii="Arial" w:cs="Arial" w:eastAsia="Arial" w:hAnsi="Arial"/>
          <w:sz w:val="18"/>
          <w:szCs w:val="18"/>
          <w:color w:val="51555C"/>
        </w:rPr>
        <w:t>,</w:t>
      </w:r>
      <w:r>
        <w:rPr>
          <w:rFonts w:ascii="Arial" w:cs="Arial" w:eastAsia="Arial" w:hAnsi="Arial"/>
          <w:sz w:val="18"/>
          <w:szCs w:val="18"/>
          <w:b w:val="1"/>
          <w:bCs w:val="1"/>
          <w:color w:val="51555C"/>
        </w:rPr>
        <w:t xml:space="preserve"> environmental sustainability and governance</w:t>
      </w:r>
      <w:r>
        <w:rPr>
          <w:rFonts w:ascii="Arial" w:cs="Arial" w:eastAsia="Arial" w:hAnsi="Arial"/>
          <w:sz w:val="18"/>
          <w:szCs w:val="18"/>
          <w:color w:val="51555C"/>
        </w:rPr>
        <w:t>,</w:t>
      </w:r>
      <w:r>
        <w:rPr>
          <w:rFonts w:ascii="Arial" w:cs="Arial" w:eastAsia="Arial" w:hAnsi="Arial"/>
          <w:sz w:val="18"/>
          <w:szCs w:val="18"/>
          <w:b w:val="1"/>
          <w:bCs w:val="1"/>
          <w:color w:val="51555C"/>
        </w:rPr>
        <w:t xml:space="preserve"> cybersecurity and data responsibility</w:t>
      </w:r>
      <w:r>
        <w:rPr>
          <w:rFonts w:ascii="Arial" w:cs="Arial" w:eastAsia="Arial" w:hAnsi="Arial"/>
          <w:sz w:val="18"/>
          <w:szCs w:val="18"/>
          <w:color w:val="51555C"/>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People and Culture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We benefit from an engaged employee population motivated to join Blackbaud by our values and the work to support organizations and individuals driving social impact. Our culture is one that embraces our remote-flexible way of work, which offers our employees opportunities to develop, grow and lead regardless of location. We are committed to ensuring our company is a great place to work with a global focus on employee engagement, development, well-being, inclusion and our long history of commitment to philanthropic work.</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We care about our people as individuals. We subscribe to a total rewards philosophy with a focus on overall well-being and pay-for-performance. We place significant importance on providing well-being benefits that support the emotional, social, intellectual, physical and financial well-being of employees and their families to enable them to thrive as they help our customers drive impact.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Our talent development approach at Blackbaud spans the full lifecycle of employees, beginning from the moment an employee accepts a position to alumni. We ensure that all employees have opportunities to support their career development through a variety of programs, and prioritize internal mobility. Our AI Literacy program offers employees certification paths through virtual and live trainings, and a global AI Together Champions community. Every employee completes the required AI policy training to enable innovation and ensure accountability and human oversight when using AI. Blackbaud’s continued growth has provided new opportunities for employees’ career paths, with teams led by managers who care and empower their people to innovate and take on new projects.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We drive social impact through our commitment to being a responsible corporate citizen across the communities where our employees live and work, as well as our participation in the UN Global Compact. Our giving, grantmaking and volunteerism, support causes that are meaningful to our employees and to the Company. Approximately 91% of employees say the fact that Blackbaud operates in a socially responsible manner is important to them. Through the Blackbaud Institute, we elevate the social impact sector by bringing together innovative experts in philanthropy to conduct research and uncover insight from the most comprehensive data set in the social impact community, helping us expand what is possible for purpose-led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230505</wp:posOffset>
            </wp:positionV>
            <wp:extent cx="702945" cy="1111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29</w:t>
            </w:r>
          </w:p>
        </w:tc>
      </w:tr>
      <w:tr>
        <w:trPr>
          <w:trHeight w:val="271"/>
        </w:trPr>
        <w:tc>
          <w:tcPr>
            <w:tcW w:w="1020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1" w:name="page32"/>
    <w:bookmarkEnd w:id="31"/>
    <w:p>
      <w:pPr>
        <w:ind w:left="1016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617220</wp:posOffset>
            </wp:positionV>
            <wp:extent cx="38100" cy="3917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100" cy="39179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606425</wp:posOffset>
            </wp:positionV>
            <wp:extent cx="805180" cy="402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0518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100" w:type="dxa"/>
            <w:vAlign w:val="bottom"/>
            <w:tcBorders>
              <w:top w:val="single" w:sz="8" w:color="0CD973"/>
              <w:left w:val="single" w:sz="8" w:color="EBFBFF"/>
            </w:tcBorders>
            <w:shd w:val="clear" w:color="auto" w:fill="EBFBFF"/>
          </w:tcPr>
          <w:p>
            <w:pPr>
              <w:spacing w:after="0"/>
              <w:rPr>
                <w:sz w:val="24"/>
                <w:szCs w:val="24"/>
                <w:color w:val="auto"/>
              </w:rPr>
            </w:pPr>
          </w:p>
        </w:tc>
        <w:tc>
          <w:tcPr>
            <w:tcW w:w="1020" w:type="dxa"/>
            <w:vAlign w:val="bottom"/>
            <w:tcBorders>
              <w:top w:val="single" w:sz="8" w:color="EBFBFF"/>
            </w:tcBorders>
            <w:shd w:val="clear" w:color="auto" w:fill="EBFBFF"/>
          </w:tcPr>
          <w:p>
            <w:pPr>
              <w:jc w:val="right"/>
              <w:ind w:right="76"/>
              <w:spacing w:after="0"/>
              <w:rPr>
                <w:sz w:val="20"/>
                <w:szCs w:val="20"/>
                <w:color w:val="auto"/>
              </w:rPr>
            </w:pPr>
            <w:r>
              <w:rPr>
                <w:rFonts w:ascii="Arial" w:cs="Arial" w:eastAsia="Arial" w:hAnsi="Arial"/>
                <w:sz w:val="29"/>
                <w:szCs w:val="29"/>
                <w:b w:val="1"/>
                <w:bCs w:val="1"/>
                <w:color w:val="004054"/>
              </w:rPr>
              <w:t>91%</w:t>
            </w:r>
          </w:p>
        </w:tc>
        <w:tc>
          <w:tcPr>
            <w:tcW w:w="9980" w:type="dxa"/>
            <w:vAlign w:val="bottom"/>
            <w:tcBorders>
              <w:top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According to our Blackbaud 2025 Employee Pulse Survey, 91% of employees say the fact that Blackbaud operates in a</w:t>
            </w:r>
          </w:p>
        </w:tc>
        <w:tc>
          <w:tcPr>
            <w:tcW w:w="160" w:type="dxa"/>
            <w:vAlign w:val="bottom"/>
            <w:tcBorders>
              <w:top w:val="single" w:sz="8" w:color="0CD973"/>
              <w:right w:val="single" w:sz="8" w:color="EBFBFF"/>
            </w:tcBorders>
            <w:shd w:val="clear" w:color="auto" w:fill="EBFBFF"/>
          </w:tcPr>
          <w:p>
            <w:pPr>
              <w:spacing w:after="0"/>
              <w:rPr>
                <w:sz w:val="24"/>
                <w:szCs w:val="24"/>
                <w:color w:val="auto"/>
              </w:rPr>
            </w:pPr>
          </w:p>
        </w:tc>
        <w:tc>
          <w:tcPr>
            <w:tcW w:w="20" w:type="dxa"/>
            <w:vAlign w:val="bottom"/>
            <w:tcBorders>
              <w:top w:val="single" w:sz="8" w:color="0CD973"/>
            </w:tcBorders>
          </w:tcPr>
          <w:p>
            <w:pPr>
              <w:spacing w:after="0"/>
              <w:rPr>
                <w:sz w:val="24"/>
                <w:szCs w:val="24"/>
                <w:color w:val="auto"/>
              </w:rPr>
            </w:pPr>
          </w:p>
        </w:tc>
      </w:tr>
      <w:tr>
        <w:trPr>
          <w:trHeight w:val="241"/>
        </w:trPr>
        <w:tc>
          <w:tcPr>
            <w:tcW w:w="100" w:type="dxa"/>
            <w:vAlign w:val="bottom"/>
            <w:tcBorders>
              <w:left w:val="single" w:sz="8" w:color="EBFBFF"/>
            </w:tcBorders>
            <w:shd w:val="clear" w:color="auto" w:fill="EBFBFF"/>
          </w:tcPr>
          <w:p>
            <w:pPr>
              <w:spacing w:after="0"/>
              <w:rPr>
                <w:sz w:val="20"/>
                <w:szCs w:val="20"/>
                <w:color w:val="auto"/>
              </w:rPr>
            </w:pPr>
          </w:p>
        </w:tc>
        <w:tc>
          <w:tcPr>
            <w:tcW w:w="1020" w:type="dxa"/>
            <w:vAlign w:val="bottom"/>
            <w:shd w:val="clear" w:color="auto" w:fill="EBFBFF"/>
          </w:tcPr>
          <w:p>
            <w:pPr>
              <w:spacing w:after="0"/>
              <w:rPr>
                <w:sz w:val="20"/>
                <w:szCs w:val="20"/>
                <w:color w:val="auto"/>
              </w:rPr>
            </w:pPr>
          </w:p>
        </w:tc>
        <w:tc>
          <w:tcPr>
            <w:tcW w:w="10140" w:type="dxa"/>
            <w:vAlign w:val="bottom"/>
            <w:tcBorders>
              <w:right w:val="single" w:sz="8" w:color="EBFBFF"/>
            </w:tcBorders>
            <w:gridSpan w:val="2"/>
            <w:shd w:val="clear" w:color="auto" w:fill="EBFBFF"/>
          </w:tcPr>
          <w:p>
            <w:pPr>
              <w:ind w:left="20"/>
              <w:spacing w:after="0"/>
              <w:rPr>
                <w:sz w:val="20"/>
                <w:szCs w:val="20"/>
                <w:color w:val="auto"/>
              </w:rPr>
            </w:pPr>
            <w:r>
              <w:rPr>
                <w:rFonts w:ascii="Arial" w:cs="Arial" w:eastAsia="Arial" w:hAnsi="Arial"/>
                <w:sz w:val="18"/>
                <w:szCs w:val="18"/>
                <w:color w:val="51555C"/>
              </w:rPr>
              <w:t>socially responsible way is important to them.</w:t>
            </w:r>
          </w:p>
        </w:tc>
        <w:tc>
          <w:tcPr>
            <w:tcW w:w="20" w:type="dxa"/>
            <w:vAlign w:val="bottom"/>
          </w:tcPr>
          <w:p>
            <w:pPr>
              <w:spacing w:after="0"/>
              <w:rPr>
                <w:sz w:val="20"/>
                <w:szCs w:val="20"/>
                <w:color w:val="auto"/>
              </w:rPr>
            </w:pPr>
          </w:p>
        </w:tc>
      </w:tr>
      <w:tr>
        <w:trPr>
          <w:trHeight w:val="70"/>
        </w:trPr>
        <w:tc>
          <w:tcPr>
            <w:tcW w:w="100" w:type="dxa"/>
            <w:vAlign w:val="bottom"/>
            <w:tcBorders>
              <w:left w:val="single" w:sz="8" w:color="0CD973"/>
            </w:tcBorders>
            <w:shd w:val="clear" w:color="auto" w:fill="EBFBFF"/>
          </w:tcPr>
          <w:p>
            <w:pPr>
              <w:spacing w:after="0"/>
              <w:rPr>
                <w:sz w:val="6"/>
                <w:szCs w:val="6"/>
                <w:color w:val="auto"/>
              </w:rPr>
            </w:pPr>
          </w:p>
        </w:tc>
        <w:tc>
          <w:tcPr>
            <w:tcW w:w="1020" w:type="dxa"/>
            <w:vAlign w:val="bottom"/>
            <w:shd w:val="clear" w:color="auto" w:fill="EBFBFF"/>
          </w:tcPr>
          <w:p>
            <w:pPr>
              <w:spacing w:after="0"/>
              <w:rPr>
                <w:sz w:val="6"/>
                <w:szCs w:val="6"/>
                <w:color w:val="auto"/>
              </w:rPr>
            </w:pPr>
          </w:p>
        </w:tc>
        <w:tc>
          <w:tcPr>
            <w:tcW w:w="9980" w:type="dxa"/>
            <w:vAlign w:val="bottom"/>
            <w:shd w:val="clear" w:color="auto" w:fill="EBFBFF"/>
          </w:tcPr>
          <w:p>
            <w:pPr>
              <w:spacing w:after="0"/>
              <w:rPr>
                <w:sz w:val="6"/>
                <w:szCs w:val="6"/>
                <w:color w:val="auto"/>
              </w:rPr>
            </w:pPr>
          </w:p>
        </w:tc>
        <w:tc>
          <w:tcPr>
            <w:tcW w:w="160" w:type="dxa"/>
            <w:vAlign w:val="bottom"/>
            <w:tcBorders>
              <w:right w:val="single" w:sz="8" w:color="0CD973"/>
            </w:tcBorders>
            <w:shd w:val="clear" w:color="auto" w:fill="EBFBFF"/>
          </w:tcPr>
          <w:p>
            <w:pPr>
              <w:spacing w:after="0"/>
              <w:rPr>
                <w:sz w:val="6"/>
                <w:szCs w:val="6"/>
                <w:color w:val="auto"/>
              </w:rPr>
            </w:pPr>
          </w:p>
        </w:tc>
        <w:tc>
          <w:tcPr>
            <w:tcW w:w="20" w:type="dxa"/>
            <w:vAlign w:val="bottom"/>
            <w:shd w:val="clear" w:color="auto" w:fill="0CD973"/>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-7620</wp:posOffset>
            </wp:positionV>
            <wp:extent cx="260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-7620</wp:posOffset>
            </wp:positionV>
            <wp:extent cx="254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-20320</wp:posOffset>
            </wp:positionV>
            <wp:extent cx="736600" cy="336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36600" cy="336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260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1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At Blackbaud, we embrace a culture of mutual respect and inclusion, valuing all voices and experiences, where people of many backgrounds and experiences deliver social impact each day. Our continued investment in hiring and promoting the best talent regardless of geography further supports our ability to focus on inclusion, sustainability and belonging for all. Blackbaud engages our leaders through our Inclusion &amp; Sustainability Council providing a platform for leaders to discuss the greater inclusion landscape. Additionally, we believe that education is foundational for fostering an inclusive culture at Blackbaud, including belonging and allyship offerings.</w:t>
      </w:r>
    </w:p>
    <w:p>
      <w:pPr>
        <w:spacing w:after="0" w:line="12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51555C"/>
        </w:rPr>
        <w:t>We are also committed to strategic partnerships and philanthropic investments that strengthen our global workforce. Since its creation, Blackbaud has prioritized giving back to communities in which it has a presence. As part of that philanthropic focus, Blackbaud has consistently responded in times of disaster that impact our employees, customers and entire communities. We have made disaster relief donations in 2025 to support communities impacted by the Los Angeles wildfires, the Myanmar earthquake, and Hurricane Melissa. Blackbaud awarded a multi-year gift in 2025 to the Center for Disaster Philanthropy (CDP). Since 2010, CDP has been helping individuals, foundations and corporations increase the effectiveness of their philanthropic response to these disasters and humanitarian crises. Our employees will engage with this organization throughout the partnership via learning and service opportunities. Additionally, Blackbaud continued a multi -year contribution to Crisis Text Line, a nonprofit that provides free, 24/7, confidential, and text-based mental health support. More information on these investments can be found in the Corporate Responsibility section of our website.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Fueling Social Impact</w:t>
      </w:r>
    </w:p>
    <w:p>
      <w:pPr>
        <w:spacing w:after="0" w:line="17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51555C"/>
        </w:rPr>
        <w:t>With four decades of expertise and powerful data intelligence-driving insight, and an ever-growing network of partners and developers accelerating flexibility, our solutions fuel social impact across the globe through fundraising, financial management, grantmaking, digital giving, corporate social responsibility, education management and more. We serve a vast array of organizations and teams including the nonprofit and education sectors, purpose-led companies and individual change makers.</w:t>
      </w:r>
    </w:p>
    <w:p>
      <w:pPr>
        <w:spacing w:after="0" w:line="12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51555C"/>
        </w:rPr>
        <w:t>As part of our commitment to being powered by purpose and to the responsible use of technology, Blackbaud leads in collaborative initiatives such as the AI Coalition for Good, which is focused on advancing the ethical and responsible application of artificial intelligence in support of social impact. Through this engagement, we contribute to shared dialogue and learning around the thoughtful use of AI, including the importance of transparency, accountability, and human oversight. This participation aligns with our broader efforts to invest in AI literacy across our workforce and to ensure that emerging technologies are used responsibly to support our employees, customers, and the communities they serve.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Environmental Solutions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Blackbaud takes proactive measures to protect the environment, both in our internal sustainable business practices and our external engagements. We drive change through decarbonization, responsible operations and strategic environmental partnerships.</w:t>
      </w:r>
    </w:p>
    <w:p>
      <w:pPr>
        <w:spacing w:after="0" w:line="9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We have significantly reduced our Scope 1 and 2 emissions year over year since 2019 with our shift to a remote-flexible workforce strategy and ongoing efficiency improvements in our global headquarters facility. In 2025, we achieved carbon neutrality across our business operations through a combination of on-site solar, Green-e-certified Environmental Attribute Certificates (EACs) and carbon offset projects.</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We are proud of our accomplishments and are excited to share our progress in more detail in our 2024 Impact Report (currently available) and our 2025 Impact Report (expected to be available in May 2026). The most current report available can be found in the Corporate Responsibility section of our website.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Governance, Cybersecurity and Data Responsibility</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Governance, cybersecurity and data responsibility is a critical part of our business and obligation to our stockholders and other stakeholders. We are committed to operating our business with integrity with a focus on corporate governance, ESG oversight, ethics and transparency, human rights, responsible sourcing, health and safety and risk management. We also believe our customers’ trust is a top priority. We are committed to providing them the confidence that their technology and data are secure with continued focus and investments in our cybersecurity program in areas of expertise, process, talent and technology.</w:t>
      </w:r>
    </w:p>
    <w:p>
      <w:pPr>
        <w:spacing w:after="0" w:line="336"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30</w:t>
      </w:r>
      <w:r>
        <w:rPr>
          <w:sz w:val="20"/>
          <w:szCs w:val="20"/>
          <w:color w:val="auto"/>
        </w:rPr>
        <w:tab/>
      </w:r>
      <w:r>
        <w:rPr>
          <w:sz w:val="1"/>
          <w:szCs w:val="1"/>
          <w:color w:val="auto"/>
        </w:rPr>
        <w:drawing>
          <wp:inline distT="0" distB="0" distL="0" distR="0">
            <wp:extent cx="702945" cy="111125"/>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bookmarkStart w:id="32" w:name="page33"/>
    <w:bookmarkEnd w:id="32"/>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Because technology, data and information security is a top priority at Blackbaud, we maintain and continuously assess and strengthen our cybersecurity program. Comprehensive cybersecurity risk management, including identification, analysis and response to risks affecting our business and our customers, provides the foundation for our program. We utilize a four-prong strategy for assessing, identifying and managing material risks from cybersecurity threats that focuses on operational security, product security, cybersecurity incident response and ongoing evaluation of changing regulations.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In addition, we incorporate data and privacy protection education into the customer experience through ongoing resources such as best practices content, one-on-one consultations with customer success managers and bbcon® sessions. We also participate in global communities and conference platforms to share information and present on best practices to improve the industry’s security awareness posture. In addition, Blackbaud employees are all engaged in on-going security and privacy awareness training campaigns to ensure they are empowered to protect both Blackbaud’s and our customers’ data.</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Blackbaud maintains a defined program and dedicated team that provides security oversight of its third-party service providers. We also regularly engage outside consultants and experts to assess and assist us regarding our cybersecurity program.</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Our multi-level cybersecurity governance and risk management structure begins with our Risk Evaluation &amp; Enterprise Framework ("REEF") Committee consisting of cross-functional management representatives throughout our Company. The REEF Committee receives detailed cybersecurity information from key security personnel and reports at least quarterly up through our Risk Steering Committee, which is made up of executives and senior management from various Blackbaud departments. The Risk Steering Committee reports to the Cyber Risk Oversight Committee of our Board of Directors at the regular quarterly meetings, or more frequently as needed. The Cyber Risk Oversight Committee communicates as appropriate with the full Board of Directors, which is ultimately responsible for cybersecurity risk oversight.</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Additionally, our cybersecurity Incident Response plan timely informs our Cybersecurity Incident Subcommittee on active cybersecurity incidents that are potentially material. Our Cybersecurity Incident Subcommittee is part of our Disclosure Committee, which is appointed by our Chief Executive Officer and Chief Financial Officer to assist our executives in their responsibility for oversight of the accuracy and timeliness of the disclosures made by Blackbaud.</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More information on cybersecurity governance and risk management can be found in Item 1C in our Company's Annual Report on Form 10-K for the fiscal year ended December 31, 2025, filed with the SEC on February 18, 2026. More information on our governance and risk management policies and practices generally can be found under Board of Directors and Committees beginning on page 20 of this Proxy Statement.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Insider Trading Arrangements and Policies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As part of our commitment to high standards of ethical business conduct and compliance with applicable laws, rules and regulations, we have adopted our Insider Trading Policy and Guidelines for Certain Securities Transactions governing the purchase, sale and other dispositions of our securities by our directors, officers and employees, which we believe is reasonably designed to promote compliance with insider trading laws, rules and regulations, and the Nasdaq’s company listing standards applicable to us. A copy of this policy, including any amendments thereto, is included as Exhibit 19.1 to our Company's Annual Report on Form 10-K for the fiscal year ended December 31, 2025, filed with the SEC on February 18, 2026. In addition, regarding the Company’s trading in our own securities, it is our policy to comply with applicable federal securities laws and Nasdaq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222250</wp:posOffset>
            </wp:positionV>
            <wp:extent cx="702945" cy="1111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31</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left="1016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sz w:val="1"/>
          <w:szCs w:val="1"/>
          <w:color w:val="auto"/>
        </w:rPr>
        <w:drawing>
          <wp:inline distT="0" distB="0" distL="0" distR="0">
            <wp:extent cx="257175" cy="25717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Arial" w:cs="Arial" w:eastAsia="Arial" w:hAnsi="Arial"/>
          <w:sz w:val="40"/>
          <w:szCs w:val="40"/>
          <w:b w:val="1"/>
          <w:bCs w:val="1"/>
          <w:color w:val="50535A"/>
        </w:rPr>
        <w:t xml:space="preserve"> STOCK OWNERSHIP</w:t>
      </w:r>
    </w:p>
    <w:p>
      <w:pPr>
        <w:spacing w:after="0" w:line="360"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OWNERSHIP OF EQUITY SECURITIES OF THE COMPANY</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Five Percent Beneficial Owners of Company Stock</w:t>
      </w:r>
      <w:r>
        <w:rPr>
          <w:rFonts w:ascii="Arial" w:cs="Arial" w:eastAsia="Arial" w:hAnsi="Arial"/>
          <w:sz w:val="28"/>
          <w:szCs w:val="28"/>
          <w:b w:val="1"/>
          <w:bCs w:val="1"/>
          <w:color w:val="00688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Set forth in the table below is information about the number of shares held by holders we know to be the beneficial owners of more than 5% of our issued and outstanding common stock as of April 13, 2026. As of April 13, 2026, there were 46,152,006 shares of our common stock outstanding.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50" w:type="dxa"/>
            <w:vAlign w:val="bottom"/>
            <w:shd w:val="clear" w:color="auto" w:fill="004054"/>
          </w:tcPr>
          <w:p>
            <w:pPr>
              <w:spacing w:after="0"/>
              <w:rPr>
                <w:sz w:val="17"/>
                <w:szCs w:val="17"/>
                <w:color w:val="auto"/>
              </w:rPr>
            </w:pPr>
          </w:p>
        </w:tc>
        <w:tc>
          <w:tcPr>
            <w:tcW w:w="119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Total Shares</w:t>
            </w: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Percentage</w:t>
            </w:r>
          </w:p>
        </w:tc>
        <w:tc>
          <w:tcPr>
            <w:tcW w:w="0" w:type="dxa"/>
            <w:vAlign w:val="bottom"/>
          </w:tcPr>
          <w:p>
            <w:pPr>
              <w:spacing w:after="0"/>
              <w:rPr>
                <w:sz w:val="1"/>
                <w:szCs w:val="1"/>
                <w:color w:val="auto"/>
              </w:rPr>
            </w:pPr>
          </w:p>
        </w:tc>
      </w:tr>
      <w:tr>
        <w:trPr>
          <w:trHeight w:val="173"/>
        </w:trPr>
        <w:tc>
          <w:tcPr>
            <w:tcW w:w="8750" w:type="dxa"/>
            <w:vAlign w:val="bottom"/>
            <w:vMerge w:val="restart"/>
            <w:shd w:val="clear" w:color="auto" w:fill="004054"/>
          </w:tcPr>
          <w:p>
            <w:pPr>
              <w:ind w:left="40"/>
              <w:spacing w:after="0"/>
              <w:rPr>
                <w:sz w:val="20"/>
                <w:szCs w:val="20"/>
                <w:color w:val="auto"/>
              </w:rPr>
            </w:pPr>
            <w:r>
              <w:rPr>
                <w:rFonts w:ascii="Arial" w:cs="Arial" w:eastAsia="Arial" w:hAnsi="Arial"/>
                <w:sz w:val="14"/>
                <w:szCs w:val="14"/>
                <w:b w:val="1"/>
                <w:bCs w:val="1"/>
                <w:color w:val="FFFFFF"/>
              </w:rPr>
              <w:t>Name and Address</w:t>
            </w:r>
          </w:p>
        </w:tc>
        <w:tc>
          <w:tcPr>
            <w:tcW w:w="119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Beneficially</w:t>
            </w: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Beneficially</w:t>
            </w:r>
          </w:p>
        </w:tc>
        <w:tc>
          <w:tcPr>
            <w:tcW w:w="0" w:type="dxa"/>
            <w:vAlign w:val="bottom"/>
          </w:tcPr>
          <w:p>
            <w:pPr>
              <w:spacing w:after="0"/>
              <w:rPr>
                <w:sz w:val="1"/>
                <w:szCs w:val="1"/>
                <w:color w:val="auto"/>
              </w:rPr>
            </w:pPr>
          </w:p>
        </w:tc>
      </w:tr>
      <w:tr>
        <w:trPr>
          <w:trHeight w:val="214"/>
        </w:trPr>
        <w:tc>
          <w:tcPr>
            <w:tcW w:w="8750" w:type="dxa"/>
            <w:vAlign w:val="bottom"/>
            <w:vMerge w:val="continue"/>
            <w:shd w:val="clear" w:color="auto" w:fill="004054"/>
          </w:tcPr>
          <w:p>
            <w:pPr>
              <w:spacing w:after="0"/>
              <w:rPr>
                <w:sz w:val="18"/>
                <w:szCs w:val="18"/>
                <w:color w:val="auto"/>
              </w:rPr>
            </w:pPr>
          </w:p>
        </w:tc>
        <w:tc>
          <w:tcPr>
            <w:tcW w:w="119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Owned</w:t>
            </w:r>
          </w:p>
        </w:tc>
        <w:tc>
          <w:tcPr>
            <w:tcW w:w="1320" w:type="dxa"/>
            <w:vAlign w:val="bottom"/>
            <w:shd w:val="clear" w:color="auto" w:fill="004054"/>
          </w:tcPr>
          <w:p>
            <w:pPr>
              <w:jc w:val="right"/>
              <w:spacing w:after="0" w:line="201" w:lineRule="exact"/>
              <w:rPr>
                <w:sz w:val="20"/>
                <w:szCs w:val="20"/>
                <w:color w:val="auto"/>
              </w:rPr>
            </w:pPr>
            <w:r>
              <w:rPr>
                <w:rFonts w:ascii="Arial" w:cs="Arial" w:eastAsia="Arial" w:hAnsi="Arial"/>
                <w:sz w:val="14"/>
                <w:szCs w:val="14"/>
                <w:b w:val="1"/>
                <w:bCs w:val="1"/>
                <w:color w:val="FFFFFF"/>
              </w:rPr>
              <w:t>Owned</w:t>
            </w:r>
            <w:r>
              <w:rPr>
                <w:rFonts w:ascii="Arial" w:cs="Arial" w:eastAsia="Arial" w:hAnsi="Arial"/>
                <w:sz w:val="18"/>
                <w:szCs w:val="18"/>
                <w:b w:val="1"/>
                <w:bCs w:val="1"/>
                <w:color w:val="FFFFFF"/>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5060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740" w:type="dxa"/>
            <w:vAlign w:val="bottom"/>
          </w:tcPr>
          <w:p>
            <w:pPr>
              <w:ind w:left="20"/>
              <w:spacing w:after="0"/>
              <w:rPr>
                <w:sz w:val="20"/>
                <w:szCs w:val="20"/>
                <w:color w:val="auto"/>
              </w:rPr>
            </w:pPr>
            <w:r>
              <w:rPr>
                <w:rFonts w:ascii="Arial" w:cs="Arial" w:eastAsia="Arial" w:hAnsi="Arial"/>
                <w:sz w:val="18"/>
                <w:szCs w:val="18"/>
                <w:b w:val="1"/>
                <w:bCs w:val="1"/>
                <w:color w:val="51555C"/>
              </w:rPr>
              <w:t>Clearlake Capital Group, L.P.</w:t>
            </w:r>
            <w:r>
              <w:rPr>
                <w:rFonts w:ascii="Arial" w:cs="Arial" w:eastAsia="Arial" w:hAnsi="Arial"/>
                <w:sz w:val="23"/>
                <w:szCs w:val="23"/>
                <w:color w:val="51555C"/>
                <w:vertAlign w:val="superscript"/>
              </w:rPr>
              <w:t>(2)</w:t>
            </w:r>
          </w:p>
        </w:tc>
        <w:tc>
          <w:tcPr>
            <w:tcW w:w="1200" w:type="dxa"/>
            <w:vAlign w:val="bottom"/>
          </w:tcPr>
          <w:p>
            <w:pPr>
              <w:jc w:val="right"/>
              <w:spacing w:after="0"/>
              <w:rPr>
                <w:sz w:val="20"/>
                <w:szCs w:val="20"/>
                <w:color w:val="auto"/>
              </w:rPr>
            </w:pPr>
            <w:r>
              <w:rPr>
                <w:rFonts w:ascii="Arial" w:cs="Arial" w:eastAsia="Arial" w:hAnsi="Arial"/>
                <w:sz w:val="18"/>
                <w:szCs w:val="18"/>
                <w:color w:val="51555C"/>
              </w:rPr>
              <w:t>9,751,837</w:t>
            </w:r>
          </w:p>
        </w:tc>
        <w:tc>
          <w:tcPr>
            <w:tcW w:w="1300" w:type="dxa"/>
            <w:vAlign w:val="bottom"/>
          </w:tcPr>
          <w:p>
            <w:pPr>
              <w:jc w:val="right"/>
              <w:spacing w:after="0"/>
              <w:rPr>
                <w:sz w:val="20"/>
                <w:szCs w:val="20"/>
                <w:color w:val="auto"/>
              </w:rPr>
            </w:pPr>
            <w:r>
              <w:rPr>
                <w:rFonts w:ascii="Arial" w:cs="Arial" w:eastAsia="Arial" w:hAnsi="Arial"/>
                <w:sz w:val="18"/>
                <w:szCs w:val="18"/>
                <w:color w:val="51555C"/>
              </w:rPr>
              <w:t>21.13 %</w:t>
            </w:r>
          </w:p>
        </w:tc>
      </w:tr>
      <w:tr>
        <w:trPr>
          <w:trHeight w:val="208"/>
        </w:trPr>
        <w:tc>
          <w:tcPr>
            <w:tcW w:w="8740" w:type="dxa"/>
            <w:vAlign w:val="bottom"/>
          </w:tcPr>
          <w:p>
            <w:pPr>
              <w:ind w:left="20"/>
              <w:spacing w:after="0"/>
              <w:rPr>
                <w:sz w:val="20"/>
                <w:szCs w:val="20"/>
                <w:color w:val="auto"/>
              </w:rPr>
            </w:pPr>
            <w:r>
              <w:rPr>
                <w:rFonts w:ascii="Arial" w:cs="Arial" w:eastAsia="Arial" w:hAnsi="Arial"/>
                <w:sz w:val="14"/>
                <w:szCs w:val="14"/>
                <w:color w:val="51555C"/>
              </w:rPr>
              <w:t>233 Wilshire Boulevard, Suite 800</w:t>
            </w:r>
          </w:p>
        </w:tc>
        <w:tc>
          <w:tcPr>
            <w:tcW w:w="1200" w:type="dxa"/>
            <w:vAlign w:val="bottom"/>
            <w:shd w:val="clear" w:color="auto" w:fill="EBFBFF"/>
          </w:tcPr>
          <w:p>
            <w:pPr>
              <w:spacing w:after="0"/>
              <w:rPr>
                <w:sz w:val="18"/>
                <w:szCs w:val="18"/>
                <w:color w:val="auto"/>
              </w:rPr>
            </w:pPr>
          </w:p>
        </w:tc>
        <w:tc>
          <w:tcPr>
            <w:tcW w:w="1300" w:type="dxa"/>
            <w:vAlign w:val="bottom"/>
            <w:shd w:val="clear" w:color="auto" w:fill="EBFBFF"/>
          </w:tcPr>
          <w:p>
            <w:pPr>
              <w:spacing w:after="0"/>
              <w:rPr>
                <w:sz w:val="18"/>
                <w:szCs w:val="18"/>
                <w:color w:val="auto"/>
              </w:rPr>
            </w:pPr>
          </w:p>
        </w:tc>
      </w:tr>
      <w:tr>
        <w:trPr>
          <w:trHeight w:val="231"/>
        </w:trPr>
        <w:tc>
          <w:tcPr>
            <w:tcW w:w="8740" w:type="dxa"/>
            <w:vAlign w:val="bottom"/>
          </w:tcPr>
          <w:p>
            <w:pPr>
              <w:ind w:left="20"/>
              <w:spacing w:after="0"/>
              <w:rPr>
                <w:sz w:val="20"/>
                <w:szCs w:val="20"/>
                <w:color w:val="auto"/>
              </w:rPr>
            </w:pPr>
            <w:r>
              <w:rPr>
                <w:rFonts w:ascii="Arial" w:cs="Arial" w:eastAsia="Arial" w:hAnsi="Arial"/>
                <w:sz w:val="14"/>
                <w:szCs w:val="14"/>
                <w:color w:val="51555C"/>
              </w:rPr>
              <w:t>Santa Monica, California 90401</w:t>
            </w:r>
          </w:p>
        </w:tc>
        <w:tc>
          <w:tcPr>
            <w:tcW w:w="1200" w:type="dxa"/>
            <w:vAlign w:val="bottom"/>
            <w:tcBorders>
              <w:bottom w:val="single" w:sz="8" w:color="EBFBFF"/>
            </w:tcBorders>
            <w:shd w:val="clear" w:color="auto" w:fill="EBFBFF"/>
          </w:tcPr>
          <w:p>
            <w:pPr>
              <w:spacing w:after="0"/>
              <w:rPr>
                <w:sz w:val="20"/>
                <w:szCs w:val="20"/>
                <w:color w:val="auto"/>
              </w:rPr>
            </w:pPr>
          </w:p>
        </w:tc>
        <w:tc>
          <w:tcPr>
            <w:tcW w:w="1300" w:type="dxa"/>
            <w:vAlign w:val="bottom"/>
            <w:tcBorders>
              <w:bottom w:val="single" w:sz="8" w:color="EBFBFF"/>
            </w:tcBorders>
            <w:shd w:val="clear" w:color="auto" w:fill="EBFBFF"/>
          </w:tcPr>
          <w:p>
            <w:pPr>
              <w:spacing w:after="0"/>
              <w:rPr>
                <w:sz w:val="20"/>
                <w:szCs w:val="20"/>
                <w:color w:val="auto"/>
              </w:rPr>
            </w:pPr>
          </w:p>
        </w:tc>
      </w:tr>
      <w:tr>
        <w:trPr>
          <w:trHeight w:val="342"/>
        </w:trPr>
        <w:tc>
          <w:tcPr>
            <w:tcW w:w="8740" w:type="dxa"/>
            <w:vAlign w:val="bottom"/>
          </w:tcPr>
          <w:p>
            <w:pPr>
              <w:ind w:left="20"/>
              <w:spacing w:after="0"/>
              <w:rPr>
                <w:sz w:val="20"/>
                <w:szCs w:val="20"/>
                <w:color w:val="auto"/>
              </w:rPr>
            </w:pPr>
            <w:r>
              <w:rPr>
                <w:rFonts w:ascii="Arial" w:cs="Arial" w:eastAsia="Arial" w:hAnsi="Arial"/>
                <w:sz w:val="18"/>
                <w:szCs w:val="18"/>
                <w:b w:val="1"/>
                <w:bCs w:val="1"/>
                <w:color w:val="51555C"/>
              </w:rPr>
              <w:t>BlackRock, Inc.</w:t>
            </w:r>
            <w:r>
              <w:rPr>
                <w:rFonts w:ascii="Arial" w:cs="Arial" w:eastAsia="Arial" w:hAnsi="Arial"/>
                <w:sz w:val="23"/>
                <w:szCs w:val="23"/>
                <w:color w:val="51555C"/>
                <w:vertAlign w:val="superscript"/>
              </w:rPr>
              <w:t>(3)</w:t>
            </w:r>
          </w:p>
        </w:tc>
        <w:tc>
          <w:tcPr>
            <w:tcW w:w="1200" w:type="dxa"/>
            <w:vAlign w:val="bottom"/>
          </w:tcPr>
          <w:p>
            <w:pPr>
              <w:jc w:val="right"/>
              <w:spacing w:after="0"/>
              <w:rPr>
                <w:sz w:val="20"/>
                <w:szCs w:val="20"/>
                <w:color w:val="auto"/>
              </w:rPr>
            </w:pPr>
            <w:r>
              <w:rPr>
                <w:rFonts w:ascii="Arial" w:cs="Arial" w:eastAsia="Arial" w:hAnsi="Arial"/>
                <w:sz w:val="18"/>
                <w:szCs w:val="18"/>
                <w:color w:val="51555C"/>
              </w:rPr>
              <w:t>5,549,640</w:t>
            </w:r>
          </w:p>
        </w:tc>
        <w:tc>
          <w:tcPr>
            <w:tcW w:w="1300" w:type="dxa"/>
            <w:vAlign w:val="bottom"/>
          </w:tcPr>
          <w:p>
            <w:pPr>
              <w:jc w:val="right"/>
              <w:spacing w:after="0"/>
              <w:rPr>
                <w:sz w:val="20"/>
                <w:szCs w:val="20"/>
                <w:color w:val="auto"/>
              </w:rPr>
            </w:pPr>
            <w:r>
              <w:rPr>
                <w:rFonts w:ascii="Arial" w:cs="Arial" w:eastAsia="Arial" w:hAnsi="Arial"/>
                <w:sz w:val="18"/>
                <w:szCs w:val="18"/>
                <w:color w:val="51555C"/>
              </w:rPr>
              <w:t>12.02 %</w:t>
            </w:r>
          </w:p>
        </w:tc>
      </w:tr>
      <w:tr>
        <w:trPr>
          <w:trHeight w:val="190"/>
        </w:trPr>
        <w:tc>
          <w:tcPr>
            <w:tcW w:w="8740" w:type="dxa"/>
            <w:vAlign w:val="bottom"/>
          </w:tcPr>
          <w:p>
            <w:pPr>
              <w:ind w:left="20"/>
              <w:spacing w:after="0"/>
              <w:rPr>
                <w:sz w:val="20"/>
                <w:szCs w:val="20"/>
                <w:color w:val="auto"/>
              </w:rPr>
            </w:pPr>
            <w:r>
              <w:rPr>
                <w:rFonts w:ascii="Arial" w:cs="Arial" w:eastAsia="Arial" w:hAnsi="Arial"/>
                <w:sz w:val="14"/>
                <w:szCs w:val="14"/>
                <w:color w:val="51555C"/>
              </w:rPr>
              <w:t>50 Hudson Yards</w:t>
            </w: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0"/>
        </w:trPr>
        <w:tc>
          <w:tcPr>
            <w:tcW w:w="8740" w:type="dxa"/>
            <w:vAlign w:val="bottom"/>
          </w:tcPr>
          <w:p>
            <w:pPr>
              <w:ind w:left="20"/>
              <w:spacing w:after="0"/>
              <w:rPr>
                <w:sz w:val="20"/>
                <w:szCs w:val="20"/>
                <w:color w:val="auto"/>
              </w:rPr>
            </w:pPr>
            <w:r>
              <w:rPr>
                <w:rFonts w:ascii="Arial" w:cs="Arial" w:eastAsia="Arial" w:hAnsi="Arial"/>
                <w:sz w:val="14"/>
                <w:szCs w:val="14"/>
                <w:color w:val="51555C"/>
              </w:rPr>
              <w:t>New York, New York 10001</w:t>
            </w:r>
          </w:p>
        </w:tc>
        <w:tc>
          <w:tcPr>
            <w:tcW w:w="1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
        </w:trPr>
        <w:tc>
          <w:tcPr>
            <w:tcW w:w="8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24"/>
        </w:trPr>
        <w:tc>
          <w:tcPr>
            <w:tcW w:w="874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Morgan Stanley</w:t>
            </w:r>
            <w:r>
              <w:rPr>
                <w:rFonts w:ascii="Arial" w:cs="Arial" w:eastAsia="Arial" w:hAnsi="Arial"/>
                <w:sz w:val="23"/>
                <w:szCs w:val="23"/>
                <w:color w:val="51555C"/>
                <w:vertAlign w:val="superscript"/>
              </w:rPr>
              <w:t>(4)</w:t>
            </w:r>
          </w:p>
        </w:tc>
        <w:tc>
          <w:tcPr>
            <w:tcW w:w="120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4,512,796</w:t>
            </w:r>
          </w:p>
        </w:tc>
        <w:tc>
          <w:tcPr>
            <w:tcW w:w="130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9.78 %</w:t>
            </w:r>
          </w:p>
        </w:tc>
      </w:tr>
      <w:tr>
        <w:trPr>
          <w:trHeight w:val="208"/>
        </w:trPr>
        <w:tc>
          <w:tcPr>
            <w:tcW w:w="874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1585 Broadway</w:t>
            </w:r>
          </w:p>
        </w:tc>
        <w:tc>
          <w:tcPr>
            <w:tcW w:w="1200" w:type="dxa"/>
            <w:vAlign w:val="bottom"/>
            <w:shd w:val="clear" w:color="auto" w:fill="EBFBFF"/>
          </w:tcPr>
          <w:p>
            <w:pPr>
              <w:spacing w:after="0"/>
              <w:rPr>
                <w:sz w:val="18"/>
                <w:szCs w:val="18"/>
                <w:color w:val="auto"/>
              </w:rPr>
            </w:pPr>
          </w:p>
        </w:tc>
        <w:tc>
          <w:tcPr>
            <w:tcW w:w="1300" w:type="dxa"/>
            <w:vAlign w:val="bottom"/>
            <w:shd w:val="clear" w:color="auto" w:fill="EBFBFF"/>
          </w:tcPr>
          <w:p>
            <w:pPr>
              <w:spacing w:after="0"/>
              <w:rPr>
                <w:sz w:val="18"/>
                <w:szCs w:val="18"/>
                <w:color w:val="auto"/>
              </w:rPr>
            </w:pPr>
          </w:p>
        </w:tc>
      </w:tr>
      <w:tr>
        <w:trPr>
          <w:trHeight w:val="231"/>
        </w:trPr>
        <w:tc>
          <w:tcPr>
            <w:tcW w:w="87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New York, New York 10036</w:t>
            </w:r>
          </w:p>
        </w:tc>
        <w:tc>
          <w:tcPr>
            <w:tcW w:w="1200" w:type="dxa"/>
            <w:vAlign w:val="bottom"/>
            <w:tcBorders>
              <w:bottom w:val="single" w:sz="8" w:color="EBFBFF"/>
            </w:tcBorders>
            <w:shd w:val="clear" w:color="auto" w:fill="EBFBFF"/>
          </w:tcPr>
          <w:p>
            <w:pPr>
              <w:spacing w:after="0"/>
              <w:rPr>
                <w:sz w:val="20"/>
                <w:szCs w:val="20"/>
                <w:color w:val="auto"/>
              </w:rPr>
            </w:pPr>
          </w:p>
        </w:tc>
        <w:tc>
          <w:tcPr>
            <w:tcW w:w="1300" w:type="dxa"/>
            <w:vAlign w:val="bottom"/>
            <w:tcBorders>
              <w:bottom w:val="single" w:sz="8" w:color="EBFBFF"/>
            </w:tcBorders>
            <w:shd w:val="clear" w:color="auto" w:fill="EBFBFF"/>
          </w:tcPr>
          <w:p>
            <w:pPr>
              <w:spacing w:after="0"/>
              <w:rPr>
                <w:sz w:val="20"/>
                <w:szCs w:val="20"/>
                <w:color w:val="auto"/>
              </w:rPr>
            </w:pPr>
          </w:p>
        </w:tc>
      </w:tr>
      <w:tr>
        <w:trPr>
          <w:trHeight w:val="20"/>
        </w:trPr>
        <w:tc>
          <w:tcPr>
            <w:tcW w:w="8740" w:type="dxa"/>
            <w:vAlign w:val="bottom"/>
            <w:shd w:val="clear" w:color="auto" w:fill="0CD973"/>
          </w:tcPr>
          <w:p>
            <w:pPr>
              <w:spacing w:after="0" w:line="20" w:lineRule="exact"/>
              <w:rPr>
                <w:sz w:val="1"/>
                <w:szCs w:val="1"/>
                <w:color w:val="auto"/>
              </w:rPr>
            </w:pPr>
          </w:p>
        </w:tc>
        <w:tc>
          <w:tcPr>
            <w:tcW w:w="1200" w:type="dxa"/>
            <w:vAlign w:val="bottom"/>
            <w:shd w:val="clear" w:color="auto" w:fill="0CD973"/>
          </w:tcPr>
          <w:p>
            <w:pPr>
              <w:spacing w:after="0" w:line="20" w:lineRule="exact"/>
              <w:rPr>
                <w:sz w:val="1"/>
                <w:szCs w:val="1"/>
                <w:color w:val="auto"/>
              </w:rPr>
            </w:pPr>
          </w:p>
        </w:tc>
        <w:tc>
          <w:tcPr>
            <w:tcW w:w="1300" w:type="dxa"/>
            <w:vAlign w:val="bottom"/>
            <w:shd w:val="clear" w:color="auto" w:fill="0CD973"/>
          </w:tcPr>
          <w:p>
            <w:pPr>
              <w:spacing w:after="0" w:line="20" w:lineRule="exact"/>
              <w:rPr>
                <w:sz w:val="1"/>
                <w:szCs w:val="1"/>
                <w:color w:val="auto"/>
              </w:rPr>
            </w:pPr>
          </w:p>
        </w:tc>
      </w:tr>
    </w:tbl>
    <w:p>
      <w:pPr>
        <w:spacing w:after="0" w:line="85" w:lineRule="exact"/>
        <w:rPr>
          <w:sz w:val="20"/>
          <w:szCs w:val="20"/>
          <w:color w:val="auto"/>
        </w:rPr>
      </w:pPr>
    </w:p>
    <w:p>
      <w:pPr>
        <w:ind w:left="340" w:right="20" w:hanging="332"/>
        <w:spacing w:after="0" w:line="261" w:lineRule="auto"/>
        <w:tabs>
          <w:tab w:leader="none" w:pos="354" w:val="left"/>
        </w:tabs>
        <w:numPr>
          <w:ilvl w:val="0"/>
          <w:numId w:val="29"/>
        </w:numPr>
        <w:rPr>
          <w:rFonts w:ascii="Arial" w:cs="Arial" w:eastAsia="Arial" w:hAnsi="Arial"/>
          <w:sz w:val="14"/>
          <w:szCs w:val="14"/>
          <w:color w:val="51555C"/>
        </w:rPr>
      </w:pPr>
      <w:r>
        <w:rPr>
          <w:rFonts w:ascii="Arial" w:cs="Arial" w:eastAsia="Arial" w:hAnsi="Arial"/>
          <w:sz w:val="14"/>
          <w:szCs w:val="14"/>
          <w:color w:val="51555C"/>
        </w:rPr>
        <w:t>The ownership percentages set forth in this column are based on the assumption that each of the stockholders continued to own the number of shares reflected in the table above on April 13, 2026.</w:t>
      </w:r>
    </w:p>
    <w:p>
      <w:pPr>
        <w:spacing w:after="0" w:line="1" w:lineRule="exact"/>
        <w:rPr>
          <w:rFonts w:ascii="Arial" w:cs="Arial" w:eastAsia="Arial" w:hAnsi="Arial"/>
          <w:sz w:val="14"/>
          <w:szCs w:val="14"/>
          <w:color w:val="51555C"/>
        </w:rPr>
      </w:pPr>
    </w:p>
    <w:p>
      <w:pPr>
        <w:jc w:val="both"/>
        <w:ind w:left="340" w:right="20" w:hanging="332"/>
        <w:spacing w:after="0" w:line="256" w:lineRule="auto"/>
        <w:tabs>
          <w:tab w:leader="none" w:pos="354" w:val="left"/>
        </w:tabs>
        <w:numPr>
          <w:ilvl w:val="0"/>
          <w:numId w:val="29"/>
        </w:numPr>
        <w:rPr>
          <w:rFonts w:ascii="Arial" w:cs="Arial" w:eastAsia="Arial" w:hAnsi="Arial"/>
          <w:sz w:val="14"/>
          <w:szCs w:val="14"/>
          <w:color w:val="51555C"/>
        </w:rPr>
      </w:pPr>
      <w:r>
        <w:rPr>
          <w:rFonts w:ascii="Arial" w:cs="Arial" w:eastAsia="Arial" w:hAnsi="Arial"/>
          <w:sz w:val="14"/>
          <w:szCs w:val="14"/>
          <w:color w:val="51555C"/>
        </w:rPr>
        <w:t>Based solely on information contained in Schedule 13D/A filed with the SEC on April 15, 2024, reporting that as of April 14, 2024, Clearlake Capital Group, L.P. ("Clearlake Capital"), José Enrique Feliciano and Behdad Eghbali each had shared voting and dispositive power over 9,751,837 shares. The shares are held for the account of Clearlake Capital Partners VI Finance, L.P. (“Clearlake Partners”). Clearlake Capital serves as the investment adviser to Clearlake Partners. Messrs. Feliciano and Eghbali are Managing Partners of Clearlake Capital.</w:t>
      </w:r>
    </w:p>
    <w:p>
      <w:pPr>
        <w:spacing w:after="0" w:line="1" w:lineRule="exact"/>
        <w:rPr>
          <w:rFonts w:ascii="Arial" w:cs="Arial" w:eastAsia="Arial" w:hAnsi="Arial"/>
          <w:sz w:val="14"/>
          <w:szCs w:val="14"/>
          <w:color w:val="51555C"/>
        </w:rPr>
      </w:pPr>
    </w:p>
    <w:p>
      <w:pPr>
        <w:ind w:left="340" w:right="20" w:hanging="332"/>
        <w:spacing w:after="0" w:line="261" w:lineRule="auto"/>
        <w:tabs>
          <w:tab w:leader="none" w:pos="354" w:val="left"/>
        </w:tabs>
        <w:numPr>
          <w:ilvl w:val="0"/>
          <w:numId w:val="29"/>
        </w:numPr>
        <w:rPr>
          <w:rFonts w:ascii="Arial" w:cs="Arial" w:eastAsia="Arial" w:hAnsi="Arial"/>
          <w:sz w:val="14"/>
          <w:szCs w:val="14"/>
          <w:color w:val="51555C"/>
        </w:rPr>
      </w:pPr>
      <w:r>
        <w:rPr>
          <w:rFonts w:ascii="Arial" w:cs="Arial" w:eastAsia="Arial" w:hAnsi="Arial"/>
          <w:sz w:val="14"/>
          <w:szCs w:val="14"/>
          <w:color w:val="51555C"/>
        </w:rPr>
        <w:t>Based solely on information contained in Schedule 13G/A filed with the SEC on January 24, 2024, reporting that as of December 31, 2023, BlackRock, Inc. had sole voting power over 5,496,611 shares and sole dispositive power over 5,549,640 shares.</w:t>
      </w:r>
    </w:p>
    <w:p>
      <w:pPr>
        <w:jc w:val="both"/>
        <w:ind w:left="340" w:right="20" w:hanging="332"/>
        <w:spacing w:after="0" w:line="256" w:lineRule="auto"/>
        <w:tabs>
          <w:tab w:leader="none" w:pos="354" w:val="left"/>
        </w:tabs>
        <w:numPr>
          <w:ilvl w:val="0"/>
          <w:numId w:val="29"/>
        </w:numPr>
        <w:rPr>
          <w:rFonts w:ascii="Arial" w:cs="Arial" w:eastAsia="Arial" w:hAnsi="Arial"/>
          <w:sz w:val="14"/>
          <w:szCs w:val="14"/>
          <w:color w:val="51555C"/>
        </w:rPr>
      </w:pPr>
      <w:r>
        <w:rPr>
          <w:rFonts w:ascii="Arial" w:cs="Arial" w:eastAsia="Arial" w:hAnsi="Arial"/>
          <w:sz w:val="14"/>
          <w:szCs w:val="14"/>
          <w:color w:val="51555C"/>
        </w:rPr>
        <w:t>Based solely on information contained in Schedule 13G/A filed with the SEC on May 5, 2025 reporting that as of March 31, 2025, Morgan Stanley had shared voting power over 4,003,614 shares and shared dispositive power over 4,313,604 shares, Atlanta Capital Management Company, LLC ("Atlanta Capital") had shared voting power over 3,813,664 shares and shared dispositive power over 4,110,242 shares and Eaton Vance Atlanta Capital SMID-Cap Fund ("Eaton Vance") has shared voting and dispositive power over 2,577,595 shares. Morgan Stanley is a parent holding company and the shares may be deemed to be beneficially owned by Atlanta Capital and Eaton Vance,</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4"/>
          <w:szCs w:val="14"/>
          <w:color w:val="51555C"/>
        </w:rPr>
        <w:t>wholly-owned subsidiaries of Morgan Stanley.</w:t>
      </w:r>
    </w:p>
    <w:p>
      <w:pPr>
        <w:spacing w:after="0" w:line="15" w:lineRule="exact"/>
        <w:rPr>
          <w:sz w:val="20"/>
          <w:szCs w:val="20"/>
          <w:color w:val="auto"/>
        </w:rPr>
      </w:pPr>
    </w:p>
    <w:p>
      <w:pPr>
        <w:jc w:val="both"/>
        <w:ind w:left="340" w:right="20" w:hanging="332"/>
        <w:spacing w:after="0" w:line="272" w:lineRule="auto"/>
        <w:tabs>
          <w:tab w:leader="none" w:pos="315" w:val="left"/>
        </w:tabs>
        <w:numPr>
          <w:ilvl w:val="0"/>
          <w:numId w:val="30"/>
        </w:numPr>
        <w:rPr>
          <w:rFonts w:ascii="Arial" w:cs="Arial" w:eastAsia="Arial" w:hAnsi="Arial"/>
          <w:sz w:val="14"/>
          <w:szCs w:val="14"/>
          <w:color w:val="51555C"/>
        </w:rPr>
      </w:pPr>
      <w:r>
        <w:rPr>
          <w:rFonts w:ascii="Arial" w:cs="Arial" w:eastAsia="Arial" w:hAnsi="Arial"/>
          <w:sz w:val="14"/>
          <w:szCs w:val="14"/>
          <w:color w:val="51555C"/>
        </w:rPr>
        <w:t>Based solely on information contained on Schedule 13G/A filed with the SEC on March 26, 2026, shares previously reported as beneficially owned by The Vanguard Group, Inc. may now be beneficially owned by subsidiaries of The Vanguard Group, Inc. One or more such subsidiaries may ultimately report beneficial ownership of more than 5% of our outstanding common stock.</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32</w:t>
      </w:r>
      <w:r>
        <w:rPr>
          <w:sz w:val="20"/>
          <w:szCs w:val="20"/>
          <w:color w:val="auto"/>
        </w:rPr>
        <w:tab/>
      </w:r>
      <w:r>
        <w:rPr>
          <w:sz w:val="1"/>
          <w:szCs w:val="1"/>
          <w:color w:val="auto"/>
        </w:rPr>
        <w:drawing>
          <wp:inline distT="0" distB="0" distL="0" distR="0">
            <wp:extent cx="702945" cy="11112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155575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34" w:name="page35"/>
    <w:bookmarkEnd w:id="34"/>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8820"/>
        <w:spacing w:after="0"/>
        <w:rPr>
          <w:sz w:val="20"/>
          <w:szCs w:val="20"/>
          <w:color w:val="auto"/>
        </w:rPr>
      </w:pPr>
      <w:r>
        <w:rPr>
          <w:rFonts w:ascii="Arial" w:cs="Arial" w:eastAsia="Arial" w:hAnsi="Arial"/>
          <w:sz w:val="18"/>
          <w:szCs w:val="18"/>
          <w:b w:val="1"/>
          <w:bCs w:val="1"/>
          <w:color w:val="51555C"/>
        </w:rPr>
        <w:t>STOCK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The following table sets forth information regarding beneficial ownership of our common stock by each individual named in the 2025 Summary Compensation Table on page 53 of this Proxy Statement, each director, and our current executive officers and directors as a group, all as of April 13, 2026. Unless otherwise noted, voting power and investment power in common stock are exercisable solely by the named person. The address for each executive officer and director is c/o Blackbaud, Inc., 65 Fairchild Street, Charleston, South Carolina 29492.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60" w:type="dxa"/>
            <w:vAlign w:val="bottom"/>
            <w:shd w:val="clear" w:color="auto" w:fill="004054"/>
          </w:tcPr>
          <w:p>
            <w:pPr>
              <w:spacing w:after="0"/>
              <w:rPr>
                <w:sz w:val="16"/>
                <w:szCs w:val="16"/>
                <w:color w:val="auto"/>
              </w:rPr>
            </w:pPr>
          </w:p>
        </w:tc>
        <w:tc>
          <w:tcPr>
            <w:tcW w:w="1360" w:type="dxa"/>
            <w:vAlign w:val="bottom"/>
            <w:shd w:val="clear" w:color="auto" w:fill="004054"/>
          </w:tcPr>
          <w:p>
            <w:pPr>
              <w:spacing w:after="0"/>
              <w:rPr>
                <w:sz w:val="16"/>
                <w:szCs w:val="16"/>
                <w:color w:val="auto"/>
              </w:rPr>
            </w:pPr>
          </w:p>
        </w:tc>
        <w:tc>
          <w:tcPr>
            <w:tcW w:w="13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154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r>
      <w:tr>
        <w:trPr>
          <w:trHeight w:val="175"/>
        </w:trPr>
        <w:tc>
          <w:tcPr>
            <w:tcW w:w="696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3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Shares</w:t>
            </w:r>
          </w:p>
        </w:tc>
        <w:tc>
          <w:tcPr>
            <w:tcW w:w="15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Percentage</w:t>
            </w:r>
          </w:p>
        </w:tc>
        <w:tc>
          <w:tcPr>
            <w:tcW w:w="20" w:type="dxa"/>
            <w:vAlign w:val="bottom"/>
            <w:shd w:val="clear" w:color="auto" w:fill="004054"/>
          </w:tcPr>
          <w:p>
            <w:pPr>
              <w:spacing w:after="0"/>
              <w:rPr>
                <w:sz w:val="15"/>
                <w:szCs w:val="15"/>
                <w:color w:val="auto"/>
              </w:rPr>
            </w:pPr>
          </w:p>
        </w:tc>
      </w:tr>
      <w:tr>
        <w:trPr>
          <w:trHeight w:val="162"/>
        </w:trPr>
        <w:tc>
          <w:tcPr>
            <w:tcW w:w="696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Shares</w:t>
            </w:r>
          </w:p>
        </w:tc>
        <w:tc>
          <w:tcPr>
            <w:tcW w:w="13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Beneficially</w:t>
            </w:r>
          </w:p>
        </w:tc>
        <w:tc>
          <w:tcPr>
            <w:tcW w:w="15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Beneficially</w:t>
            </w:r>
          </w:p>
        </w:tc>
        <w:tc>
          <w:tcPr>
            <w:tcW w:w="20" w:type="dxa"/>
            <w:vAlign w:val="bottom"/>
            <w:shd w:val="clear" w:color="auto" w:fill="004054"/>
          </w:tcPr>
          <w:p>
            <w:pPr>
              <w:spacing w:after="0"/>
              <w:rPr>
                <w:sz w:val="14"/>
                <w:szCs w:val="14"/>
                <w:color w:val="auto"/>
              </w:rPr>
            </w:pPr>
          </w:p>
        </w:tc>
      </w:tr>
      <w:tr>
        <w:trPr>
          <w:trHeight w:val="219"/>
        </w:trPr>
        <w:tc>
          <w:tcPr>
            <w:tcW w:w="69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Name</w:t>
            </w:r>
          </w:p>
        </w:tc>
        <w:tc>
          <w:tcPr>
            <w:tcW w:w="13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Owned</w:t>
            </w:r>
          </w:p>
        </w:tc>
        <w:tc>
          <w:tcPr>
            <w:tcW w:w="13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Owned</w:t>
            </w:r>
          </w:p>
        </w:tc>
        <w:tc>
          <w:tcPr>
            <w:tcW w:w="15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Owned</w:t>
            </w:r>
          </w:p>
        </w:tc>
        <w:tc>
          <w:tcPr>
            <w:tcW w:w="20" w:type="dxa"/>
            <w:vAlign w:val="bottom"/>
            <w:tcBorders>
              <w:bottom w:val="single" w:sz="8" w:color="004054"/>
            </w:tcBorders>
            <w:shd w:val="clear" w:color="auto" w:fill="004054"/>
          </w:tcPr>
          <w:p>
            <w:pPr>
              <w:spacing w:after="0"/>
              <w:rPr>
                <w:sz w:val="19"/>
                <w:szCs w:val="19"/>
                <w:color w:val="auto"/>
              </w:rPr>
            </w:pPr>
          </w:p>
        </w:tc>
      </w:tr>
      <w:tr>
        <w:trPr>
          <w:trHeight w:val="324"/>
        </w:trPr>
        <w:tc>
          <w:tcPr>
            <w:tcW w:w="696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Chad M. Anderson</w:t>
            </w:r>
          </w:p>
        </w:tc>
        <w:tc>
          <w:tcPr>
            <w:tcW w:w="13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69,782</w:t>
            </w:r>
          </w:p>
        </w:tc>
        <w:tc>
          <w:tcPr>
            <w:tcW w:w="13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69,782</w:t>
            </w:r>
          </w:p>
        </w:tc>
        <w:tc>
          <w:tcPr>
            <w:tcW w:w="15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4"/>
                <w:szCs w:val="24"/>
                <w:color w:val="auto"/>
              </w:rPr>
            </w:pPr>
          </w:p>
        </w:tc>
      </w:tr>
      <w:tr>
        <w:trPr>
          <w:trHeight w:val="317"/>
        </w:trPr>
        <w:tc>
          <w:tcPr>
            <w:tcW w:w="6960" w:type="dxa"/>
            <w:vAlign w:val="bottom"/>
          </w:tcPr>
          <w:p>
            <w:pPr>
              <w:ind w:left="20"/>
              <w:spacing w:after="0"/>
              <w:rPr>
                <w:sz w:val="20"/>
                <w:szCs w:val="20"/>
                <w:color w:val="auto"/>
              </w:rPr>
            </w:pPr>
            <w:r>
              <w:rPr>
                <w:rFonts w:ascii="Arial" w:cs="Arial" w:eastAsia="Arial" w:hAnsi="Arial"/>
                <w:sz w:val="18"/>
                <w:szCs w:val="18"/>
                <w:b w:val="1"/>
                <w:bCs w:val="1"/>
                <w:color w:val="51555C"/>
              </w:rPr>
              <w:t>David J. Benjamin</w:t>
            </w:r>
          </w:p>
        </w:tc>
        <w:tc>
          <w:tcPr>
            <w:tcW w:w="1360" w:type="dxa"/>
            <w:vAlign w:val="bottom"/>
          </w:tcPr>
          <w:p>
            <w:pPr>
              <w:jc w:val="right"/>
              <w:spacing w:after="0"/>
              <w:rPr>
                <w:sz w:val="20"/>
                <w:szCs w:val="20"/>
                <w:color w:val="auto"/>
              </w:rPr>
            </w:pPr>
            <w:r>
              <w:rPr>
                <w:rFonts w:ascii="Arial" w:cs="Arial" w:eastAsia="Arial" w:hAnsi="Arial"/>
                <w:sz w:val="18"/>
                <w:szCs w:val="18"/>
                <w:color w:val="51555C"/>
              </w:rPr>
              <w:t>73,124</w:t>
            </w:r>
          </w:p>
        </w:tc>
        <w:tc>
          <w:tcPr>
            <w:tcW w:w="1380" w:type="dxa"/>
            <w:vAlign w:val="bottom"/>
          </w:tcPr>
          <w:p>
            <w:pPr>
              <w:jc w:val="right"/>
              <w:spacing w:after="0"/>
              <w:rPr>
                <w:sz w:val="20"/>
                <w:szCs w:val="20"/>
                <w:color w:val="auto"/>
              </w:rPr>
            </w:pPr>
            <w:r>
              <w:rPr>
                <w:rFonts w:ascii="Arial" w:cs="Arial" w:eastAsia="Arial" w:hAnsi="Arial"/>
                <w:sz w:val="18"/>
                <w:szCs w:val="18"/>
                <w:color w:val="51555C"/>
              </w:rPr>
              <w:t>73,124</w:t>
            </w:r>
          </w:p>
        </w:tc>
        <w:tc>
          <w:tcPr>
            <w:tcW w:w="1540" w:type="dxa"/>
            <w:vAlign w:val="bottom"/>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4"/>
                <w:szCs w:val="24"/>
                <w:color w:val="auto"/>
              </w:rPr>
            </w:pPr>
          </w:p>
        </w:tc>
      </w:tr>
      <w:tr>
        <w:trPr>
          <w:trHeight w:val="332"/>
        </w:trPr>
        <w:tc>
          <w:tcPr>
            <w:tcW w:w="696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Deneen M. DeFiore</w:t>
            </w:r>
          </w:p>
        </w:tc>
        <w:tc>
          <w:tcPr>
            <w:tcW w:w="13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10,069</w:t>
            </w:r>
          </w:p>
        </w:tc>
        <w:tc>
          <w:tcPr>
            <w:tcW w:w="13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10,069</w:t>
            </w:r>
          </w:p>
        </w:tc>
        <w:tc>
          <w:tcPr>
            <w:tcW w:w="15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4"/>
                <w:szCs w:val="24"/>
                <w:color w:val="auto"/>
              </w:rPr>
            </w:pPr>
          </w:p>
        </w:tc>
      </w:tr>
      <w:tr>
        <w:trPr>
          <w:trHeight w:val="316"/>
        </w:trPr>
        <w:tc>
          <w:tcPr>
            <w:tcW w:w="6960" w:type="dxa"/>
            <w:vAlign w:val="bottom"/>
          </w:tcPr>
          <w:p>
            <w:pPr>
              <w:ind w:left="20"/>
              <w:spacing w:after="0"/>
              <w:rPr>
                <w:sz w:val="20"/>
                <w:szCs w:val="20"/>
                <w:color w:val="auto"/>
              </w:rPr>
            </w:pPr>
            <w:r>
              <w:rPr>
                <w:rFonts w:ascii="Arial" w:cs="Arial" w:eastAsia="Arial" w:hAnsi="Arial"/>
                <w:sz w:val="18"/>
                <w:szCs w:val="18"/>
                <w:b w:val="1"/>
                <w:bCs w:val="1"/>
                <w:color w:val="51555C"/>
              </w:rPr>
              <w:t>Michael P. Gianoni</w:t>
            </w:r>
          </w:p>
        </w:tc>
        <w:tc>
          <w:tcPr>
            <w:tcW w:w="1360" w:type="dxa"/>
            <w:vAlign w:val="bottom"/>
          </w:tcPr>
          <w:p>
            <w:pPr>
              <w:jc w:val="right"/>
              <w:spacing w:after="0"/>
              <w:rPr>
                <w:sz w:val="20"/>
                <w:szCs w:val="20"/>
                <w:color w:val="auto"/>
              </w:rPr>
            </w:pPr>
            <w:r>
              <w:rPr>
                <w:rFonts w:ascii="Arial" w:cs="Arial" w:eastAsia="Arial" w:hAnsi="Arial"/>
                <w:sz w:val="18"/>
                <w:szCs w:val="18"/>
                <w:color w:val="51555C"/>
              </w:rPr>
              <w:t>440,264</w:t>
            </w:r>
          </w:p>
        </w:tc>
        <w:tc>
          <w:tcPr>
            <w:tcW w:w="1380" w:type="dxa"/>
            <w:vAlign w:val="bottom"/>
          </w:tcPr>
          <w:p>
            <w:pPr>
              <w:jc w:val="right"/>
              <w:spacing w:after="0"/>
              <w:rPr>
                <w:sz w:val="20"/>
                <w:szCs w:val="20"/>
                <w:color w:val="auto"/>
              </w:rPr>
            </w:pPr>
            <w:r>
              <w:rPr>
                <w:rFonts w:ascii="Arial" w:cs="Arial" w:eastAsia="Arial" w:hAnsi="Arial"/>
                <w:sz w:val="18"/>
                <w:szCs w:val="18"/>
                <w:color w:val="51555C"/>
              </w:rPr>
              <w:t>440,264</w:t>
            </w:r>
          </w:p>
        </w:tc>
        <w:tc>
          <w:tcPr>
            <w:tcW w:w="1540" w:type="dxa"/>
            <w:vAlign w:val="bottom"/>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4"/>
                <w:szCs w:val="24"/>
                <w:color w:val="auto"/>
              </w:rPr>
            </w:pPr>
          </w:p>
        </w:tc>
      </w:tr>
      <w:tr>
        <w:trPr>
          <w:trHeight w:val="332"/>
        </w:trPr>
        <w:tc>
          <w:tcPr>
            <w:tcW w:w="696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Kevin P. Gregoire</w:t>
            </w:r>
          </w:p>
        </w:tc>
        <w:tc>
          <w:tcPr>
            <w:tcW w:w="13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135,194</w:t>
            </w:r>
          </w:p>
        </w:tc>
        <w:tc>
          <w:tcPr>
            <w:tcW w:w="13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135,194</w:t>
            </w:r>
          </w:p>
        </w:tc>
        <w:tc>
          <w:tcPr>
            <w:tcW w:w="15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4"/>
                <w:szCs w:val="24"/>
                <w:color w:val="auto"/>
              </w:rPr>
            </w:pPr>
          </w:p>
        </w:tc>
      </w:tr>
      <w:tr>
        <w:trPr>
          <w:trHeight w:val="317"/>
        </w:trPr>
        <w:tc>
          <w:tcPr>
            <w:tcW w:w="6960" w:type="dxa"/>
            <w:vAlign w:val="bottom"/>
          </w:tcPr>
          <w:p>
            <w:pPr>
              <w:ind w:left="20"/>
              <w:spacing w:after="0"/>
              <w:rPr>
                <w:sz w:val="20"/>
                <w:szCs w:val="20"/>
                <w:color w:val="auto"/>
              </w:rPr>
            </w:pPr>
            <w:r>
              <w:rPr>
                <w:rFonts w:ascii="Arial" w:cs="Arial" w:eastAsia="Arial" w:hAnsi="Arial"/>
                <w:sz w:val="18"/>
                <w:szCs w:val="18"/>
                <w:b w:val="1"/>
                <w:bCs w:val="1"/>
                <w:color w:val="51555C"/>
              </w:rPr>
              <w:t>Rupal S. Hollenbeck</w:t>
            </w:r>
          </w:p>
        </w:tc>
        <w:tc>
          <w:tcPr>
            <w:tcW w:w="1360" w:type="dxa"/>
            <w:vAlign w:val="bottom"/>
          </w:tcPr>
          <w:p>
            <w:pPr>
              <w:jc w:val="right"/>
              <w:spacing w:after="0"/>
              <w:rPr>
                <w:sz w:val="20"/>
                <w:szCs w:val="20"/>
                <w:color w:val="auto"/>
              </w:rPr>
            </w:pPr>
            <w:r>
              <w:rPr>
                <w:rFonts w:ascii="Arial" w:cs="Arial" w:eastAsia="Arial" w:hAnsi="Arial"/>
                <w:sz w:val="18"/>
                <w:szCs w:val="18"/>
                <w:color w:val="51555C"/>
              </w:rPr>
              <w:t>6,366</w:t>
            </w:r>
          </w:p>
        </w:tc>
        <w:tc>
          <w:tcPr>
            <w:tcW w:w="1380" w:type="dxa"/>
            <w:vAlign w:val="bottom"/>
          </w:tcPr>
          <w:p>
            <w:pPr>
              <w:jc w:val="right"/>
              <w:spacing w:after="0"/>
              <w:rPr>
                <w:sz w:val="20"/>
                <w:szCs w:val="20"/>
                <w:color w:val="auto"/>
              </w:rPr>
            </w:pPr>
            <w:r>
              <w:rPr>
                <w:rFonts w:ascii="Arial" w:cs="Arial" w:eastAsia="Arial" w:hAnsi="Arial"/>
                <w:sz w:val="18"/>
                <w:szCs w:val="18"/>
                <w:color w:val="51555C"/>
              </w:rPr>
              <w:t>6,366</w:t>
            </w:r>
          </w:p>
        </w:tc>
        <w:tc>
          <w:tcPr>
            <w:tcW w:w="1540" w:type="dxa"/>
            <w:vAlign w:val="bottom"/>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4"/>
                <w:szCs w:val="24"/>
                <w:color w:val="auto"/>
              </w:rPr>
            </w:pPr>
          </w:p>
        </w:tc>
      </w:tr>
      <w:tr>
        <w:trPr>
          <w:trHeight w:val="332"/>
        </w:trPr>
        <w:tc>
          <w:tcPr>
            <w:tcW w:w="696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Andrew M. Leitch</w:t>
            </w:r>
          </w:p>
        </w:tc>
        <w:tc>
          <w:tcPr>
            <w:tcW w:w="13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40,201</w:t>
            </w:r>
          </w:p>
        </w:tc>
        <w:tc>
          <w:tcPr>
            <w:tcW w:w="13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40,201</w:t>
            </w:r>
          </w:p>
        </w:tc>
        <w:tc>
          <w:tcPr>
            <w:tcW w:w="15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4"/>
                <w:szCs w:val="24"/>
                <w:color w:val="auto"/>
              </w:rPr>
            </w:pPr>
          </w:p>
        </w:tc>
      </w:tr>
      <w:tr>
        <w:trPr>
          <w:trHeight w:val="316"/>
        </w:trPr>
        <w:tc>
          <w:tcPr>
            <w:tcW w:w="6960" w:type="dxa"/>
            <w:vAlign w:val="bottom"/>
          </w:tcPr>
          <w:p>
            <w:pPr>
              <w:ind w:left="20"/>
              <w:spacing w:after="0"/>
              <w:rPr>
                <w:sz w:val="20"/>
                <w:szCs w:val="20"/>
                <w:color w:val="auto"/>
              </w:rPr>
            </w:pPr>
            <w:r>
              <w:rPr>
                <w:rFonts w:ascii="Arial" w:cs="Arial" w:eastAsia="Arial" w:hAnsi="Arial"/>
                <w:sz w:val="18"/>
                <w:szCs w:val="18"/>
                <w:b w:val="1"/>
                <w:bCs w:val="1"/>
                <w:color w:val="51555C"/>
              </w:rPr>
              <w:t>Kevin R. McDearis</w:t>
            </w:r>
          </w:p>
        </w:tc>
        <w:tc>
          <w:tcPr>
            <w:tcW w:w="1360" w:type="dxa"/>
            <w:vAlign w:val="bottom"/>
          </w:tcPr>
          <w:p>
            <w:pPr>
              <w:jc w:val="right"/>
              <w:spacing w:after="0"/>
              <w:rPr>
                <w:sz w:val="20"/>
                <w:szCs w:val="20"/>
                <w:color w:val="auto"/>
              </w:rPr>
            </w:pPr>
            <w:r>
              <w:rPr>
                <w:rFonts w:ascii="Arial" w:cs="Arial" w:eastAsia="Arial" w:hAnsi="Arial"/>
                <w:sz w:val="18"/>
                <w:szCs w:val="18"/>
                <w:color w:val="51555C"/>
              </w:rPr>
              <w:t>87,348</w:t>
            </w:r>
          </w:p>
        </w:tc>
        <w:tc>
          <w:tcPr>
            <w:tcW w:w="1380" w:type="dxa"/>
            <w:vAlign w:val="bottom"/>
          </w:tcPr>
          <w:p>
            <w:pPr>
              <w:jc w:val="right"/>
              <w:spacing w:after="0"/>
              <w:rPr>
                <w:sz w:val="20"/>
                <w:szCs w:val="20"/>
                <w:color w:val="auto"/>
              </w:rPr>
            </w:pPr>
            <w:r>
              <w:rPr>
                <w:rFonts w:ascii="Arial" w:cs="Arial" w:eastAsia="Arial" w:hAnsi="Arial"/>
                <w:sz w:val="18"/>
                <w:szCs w:val="18"/>
                <w:color w:val="51555C"/>
              </w:rPr>
              <w:t>87,348</w:t>
            </w:r>
          </w:p>
        </w:tc>
        <w:tc>
          <w:tcPr>
            <w:tcW w:w="1540" w:type="dxa"/>
            <w:vAlign w:val="bottom"/>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4"/>
                <w:szCs w:val="24"/>
                <w:color w:val="auto"/>
              </w:rPr>
            </w:pPr>
          </w:p>
        </w:tc>
      </w:tr>
      <w:tr>
        <w:trPr>
          <w:trHeight w:val="332"/>
        </w:trPr>
        <w:tc>
          <w:tcPr>
            <w:tcW w:w="696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D. Roger Nanney</w:t>
            </w:r>
          </w:p>
        </w:tc>
        <w:tc>
          <w:tcPr>
            <w:tcW w:w="13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16,619</w:t>
            </w:r>
          </w:p>
        </w:tc>
        <w:tc>
          <w:tcPr>
            <w:tcW w:w="13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16,619</w:t>
            </w:r>
          </w:p>
        </w:tc>
        <w:tc>
          <w:tcPr>
            <w:tcW w:w="15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4"/>
                <w:szCs w:val="24"/>
                <w:color w:val="auto"/>
              </w:rPr>
            </w:pPr>
          </w:p>
        </w:tc>
      </w:tr>
      <w:tr>
        <w:trPr>
          <w:trHeight w:val="316"/>
        </w:trPr>
        <w:tc>
          <w:tcPr>
            <w:tcW w:w="6960" w:type="dxa"/>
            <w:vAlign w:val="bottom"/>
          </w:tcPr>
          <w:p>
            <w:pPr>
              <w:ind w:left="20"/>
              <w:spacing w:after="0"/>
              <w:rPr>
                <w:sz w:val="20"/>
                <w:szCs w:val="20"/>
                <w:color w:val="auto"/>
              </w:rPr>
            </w:pPr>
            <w:r>
              <w:rPr>
                <w:rFonts w:ascii="Arial" w:cs="Arial" w:eastAsia="Arial" w:hAnsi="Arial"/>
                <w:sz w:val="18"/>
                <w:szCs w:val="18"/>
                <w:b w:val="1"/>
                <w:bCs w:val="1"/>
                <w:color w:val="51555C"/>
              </w:rPr>
              <w:t>Bradley L. Pyburn</w:t>
            </w:r>
          </w:p>
        </w:tc>
        <w:tc>
          <w:tcPr>
            <w:tcW w:w="1360" w:type="dxa"/>
            <w:vAlign w:val="bottom"/>
          </w:tcPr>
          <w:p>
            <w:pPr>
              <w:jc w:val="right"/>
              <w:spacing w:after="0"/>
              <w:rPr>
                <w:sz w:val="20"/>
                <w:szCs w:val="20"/>
                <w:color w:val="auto"/>
              </w:rPr>
            </w:pPr>
            <w:r>
              <w:rPr>
                <w:rFonts w:ascii="Arial" w:cs="Arial" w:eastAsia="Arial" w:hAnsi="Arial"/>
                <w:sz w:val="18"/>
                <w:szCs w:val="18"/>
                <w:color w:val="51555C"/>
              </w:rPr>
              <w:t>5,269</w:t>
            </w:r>
          </w:p>
        </w:tc>
        <w:tc>
          <w:tcPr>
            <w:tcW w:w="1380" w:type="dxa"/>
            <w:vAlign w:val="bottom"/>
          </w:tcPr>
          <w:p>
            <w:pPr>
              <w:jc w:val="right"/>
              <w:spacing w:after="0"/>
              <w:rPr>
                <w:sz w:val="20"/>
                <w:szCs w:val="20"/>
                <w:color w:val="auto"/>
              </w:rPr>
            </w:pPr>
            <w:r>
              <w:rPr>
                <w:rFonts w:ascii="Arial" w:cs="Arial" w:eastAsia="Arial" w:hAnsi="Arial"/>
                <w:sz w:val="18"/>
                <w:szCs w:val="18"/>
                <w:color w:val="51555C"/>
              </w:rPr>
              <w:t>5,269</w:t>
            </w:r>
          </w:p>
        </w:tc>
        <w:tc>
          <w:tcPr>
            <w:tcW w:w="1540" w:type="dxa"/>
            <w:vAlign w:val="bottom"/>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4"/>
                <w:szCs w:val="24"/>
                <w:color w:val="auto"/>
              </w:rPr>
            </w:pPr>
          </w:p>
        </w:tc>
      </w:tr>
      <w:tr>
        <w:trPr>
          <w:trHeight w:val="325"/>
        </w:trPr>
        <w:tc>
          <w:tcPr>
            <w:tcW w:w="696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Kristian P. Talvitie</w:t>
            </w:r>
          </w:p>
        </w:tc>
        <w:tc>
          <w:tcPr>
            <w:tcW w:w="13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8"/>
                <w:szCs w:val="18"/>
                <w:color w:val="51555C"/>
              </w:rPr>
              <w:t>8,053</w:t>
            </w:r>
          </w:p>
        </w:tc>
        <w:tc>
          <w:tcPr>
            <w:tcW w:w="13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8"/>
                <w:szCs w:val="18"/>
                <w:color w:val="51555C"/>
              </w:rPr>
              <w:t>8,053</w:t>
            </w:r>
          </w:p>
        </w:tc>
        <w:tc>
          <w:tcPr>
            <w:tcW w:w="15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4"/>
                <w:szCs w:val="24"/>
                <w:color w:val="auto"/>
              </w:rPr>
            </w:pPr>
          </w:p>
        </w:tc>
      </w:tr>
      <w:tr>
        <w:trPr>
          <w:trHeight w:val="318"/>
        </w:trPr>
        <w:tc>
          <w:tcPr>
            <w:tcW w:w="696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51555C"/>
              </w:rPr>
              <w:t>All current executive officers and directors as a group (12 persons)</w:t>
            </w:r>
          </w:p>
        </w:tc>
        <w:tc>
          <w:tcPr>
            <w:tcW w:w="1360" w:type="dxa"/>
            <w:vAlign w:val="bottom"/>
            <w:tcBorders>
              <w:bottom w:val="single" w:sz="8" w:color="0CD973"/>
            </w:tcBorders>
          </w:tcPr>
          <w:p>
            <w:pPr>
              <w:jc w:val="right"/>
              <w:spacing w:after="0"/>
              <w:rPr>
                <w:sz w:val="20"/>
                <w:szCs w:val="20"/>
                <w:color w:val="auto"/>
              </w:rPr>
            </w:pPr>
            <w:r>
              <w:rPr>
                <w:rFonts w:ascii="Arial" w:cs="Arial" w:eastAsia="Arial" w:hAnsi="Arial"/>
                <w:sz w:val="18"/>
                <w:szCs w:val="18"/>
                <w:color w:val="51555C"/>
              </w:rPr>
              <w:t>928,228</w:t>
            </w:r>
          </w:p>
        </w:tc>
        <w:tc>
          <w:tcPr>
            <w:tcW w:w="1380" w:type="dxa"/>
            <w:vAlign w:val="bottom"/>
            <w:tcBorders>
              <w:bottom w:val="single" w:sz="8" w:color="0CD973"/>
            </w:tcBorders>
          </w:tcPr>
          <w:p>
            <w:pPr>
              <w:jc w:val="right"/>
              <w:spacing w:after="0"/>
              <w:rPr>
                <w:sz w:val="20"/>
                <w:szCs w:val="20"/>
                <w:color w:val="auto"/>
              </w:rPr>
            </w:pPr>
            <w:r>
              <w:rPr>
                <w:rFonts w:ascii="Arial" w:cs="Arial" w:eastAsia="Arial" w:hAnsi="Arial"/>
                <w:sz w:val="18"/>
                <w:szCs w:val="18"/>
                <w:color w:val="51555C"/>
              </w:rPr>
              <w:t>928,228</w:t>
            </w:r>
          </w:p>
        </w:tc>
        <w:tc>
          <w:tcPr>
            <w:tcW w:w="1540" w:type="dxa"/>
            <w:vAlign w:val="bottom"/>
            <w:tcBorders>
              <w:bottom w:val="single" w:sz="8" w:color="0CD973"/>
            </w:tcBorders>
          </w:tcPr>
          <w:p>
            <w:pPr>
              <w:jc w:val="right"/>
              <w:spacing w:after="0"/>
              <w:rPr>
                <w:sz w:val="20"/>
                <w:szCs w:val="20"/>
                <w:color w:val="auto"/>
              </w:rPr>
            </w:pPr>
            <w:r>
              <w:rPr>
                <w:rFonts w:ascii="Arial" w:cs="Arial" w:eastAsia="Arial" w:hAnsi="Arial"/>
                <w:sz w:val="18"/>
                <w:szCs w:val="18"/>
                <w:color w:val="51555C"/>
              </w:rPr>
              <w:t>2.01 %</w:t>
            </w:r>
          </w:p>
        </w:tc>
        <w:tc>
          <w:tcPr>
            <w:tcW w:w="20" w:type="dxa"/>
            <w:vAlign w:val="bottom"/>
          </w:tcPr>
          <w:p>
            <w:pPr>
              <w:spacing w:after="0"/>
              <w:rPr>
                <w:sz w:val="24"/>
                <w:szCs w:val="24"/>
                <w:color w:val="auto"/>
              </w:rPr>
            </w:pPr>
          </w:p>
        </w:tc>
      </w:tr>
    </w:tbl>
    <w:p>
      <w:pPr>
        <w:spacing w:after="0" w:line="85" w:lineRule="exact"/>
        <w:rPr>
          <w:sz w:val="20"/>
          <w:szCs w:val="20"/>
          <w:color w:val="auto"/>
        </w:rPr>
      </w:pPr>
    </w:p>
    <w:p>
      <w:pPr>
        <w:ind w:left="160" w:hanging="152"/>
        <w:spacing w:after="0"/>
        <w:tabs>
          <w:tab w:leader="none" w:pos="160" w:val="left"/>
        </w:tabs>
        <w:numPr>
          <w:ilvl w:val="0"/>
          <w:numId w:val="31"/>
        </w:numPr>
        <w:rPr>
          <w:rFonts w:ascii="Arial" w:cs="Arial" w:eastAsia="Arial" w:hAnsi="Arial"/>
          <w:sz w:val="16"/>
          <w:szCs w:val="16"/>
          <w:color w:val="51555C"/>
        </w:rPr>
      </w:pPr>
      <w:r>
        <w:rPr>
          <w:rFonts w:ascii="Arial" w:cs="Arial" w:eastAsia="Arial" w:hAnsi="Arial"/>
          <w:sz w:val="14"/>
          <w:szCs w:val="14"/>
          <w:color w:val="51555C"/>
        </w:rPr>
        <w:t>Less than one percent.</w:t>
      </w:r>
    </w:p>
    <w:p>
      <w:pPr>
        <w:spacing w:after="0" w:line="250"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DELINQUENT SECTION 16(a) REPORTS</w:t>
      </w:r>
    </w:p>
    <w:p>
      <w:pPr>
        <w:spacing w:after="0" w:line="18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51555C"/>
        </w:rPr>
        <w:t>Section 16(a) of the Exchange Act requires our executive officers and directors and any person or entity who owns more than 10% of a registered class of our common stock to file with the SEC certain reports of ownership and changes in ownership of our securities. Executive officers, directors and stockholders who hold more than 10% of our outstanding common stock are required by the SEC to furnish us with copies of all required forms filed under Section 16(a). We prepare Section 16(a) reports on behalf of our executive officers and directors based on the information provided by them. Based solely on a review of this information and written representations from these persons that no other reports were required, we believe that, during fiscal year 2025, all our executive officers, directors and, to our knowledge, 10% stockholders complied with all applicable Section 16(a) filing requirements, with the exception of Mr. Anderson, who filed a Form 4 on May 7, 2025 reporting the acquisition of restricted stock units on May 2, 2025, representing an aggregate of 11,227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231775</wp:posOffset>
            </wp:positionV>
            <wp:extent cx="702945" cy="1111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33</w:t>
            </w:r>
          </w:p>
        </w:tc>
      </w:tr>
      <w:tr>
        <w:trPr>
          <w:trHeight w:val="272"/>
        </w:trPr>
        <w:tc>
          <w:tcPr>
            <w:tcW w:w="1020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00" w:right="319" w:bottom="1440" w:gutter="0" w:footer="0" w:header="0"/>
        </w:sectPr>
      </w:pPr>
    </w:p>
    <w:bookmarkStart w:id="35" w:name="page36"/>
    <w:bookmarkEnd w:id="35"/>
    <w:p>
      <w:pPr>
        <w:ind w:left="10160"/>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sz w:val="1"/>
          <w:szCs w:val="1"/>
          <w:color w:val="auto"/>
        </w:rPr>
        <w:drawing>
          <wp:inline distT="0" distB="0" distL="0" distR="0">
            <wp:extent cx="257175" cy="257175"/>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Arial" w:cs="Arial" w:eastAsia="Arial" w:hAnsi="Arial"/>
          <w:sz w:val="40"/>
          <w:szCs w:val="40"/>
          <w:b w:val="1"/>
          <w:bCs w:val="1"/>
          <w:color w:val="50535A"/>
        </w:rPr>
        <w:t xml:space="preserve"> EXECUTIVE COMPENSATION</w:t>
      </w:r>
    </w:p>
    <w:p>
      <w:pPr>
        <w:spacing w:after="0" w:line="360" w:lineRule="exact"/>
        <w:rPr>
          <w:sz w:val="20"/>
          <w:szCs w:val="20"/>
          <w:color w:val="auto"/>
        </w:rPr>
      </w:pPr>
    </w:p>
    <w:p>
      <w:pPr>
        <w:jc w:val="both"/>
        <w:ind w:right="20"/>
        <w:spacing w:after="0" w:line="288" w:lineRule="auto"/>
        <w:rPr>
          <w:sz w:val="20"/>
          <w:szCs w:val="20"/>
          <w:color w:val="auto"/>
        </w:rPr>
      </w:pPr>
      <w:r>
        <w:rPr>
          <w:rFonts w:ascii="Arial" w:cs="Arial" w:eastAsia="Arial" w:hAnsi="Arial"/>
          <w:sz w:val="29"/>
          <w:szCs w:val="29"/>
          <w:b w:val="1"/>
          <w:bCs w:val="1"/>
          <w:color w:val="004054"/>
        </w:rPr>
        <w:t>PROPOSAL 1 — ADVISORY VOTE TO APPROVE NAMED EXECUTIVE OFFICER COMPENSATION</w:t>
      </w:r>
    </w:p>
    <w:p>
      <w:pPr>
        <w:spacing w:after="0" w:line="6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In deciding how to vote on Proposal 1, the Board urges you to specifically consider our executive compensation philosophy, policies and practices, all of which are described in detail under “Compensation Discussion and Analysis” beginning on page 35 of this Proxy Statement.</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The Board recognizes the interest our stockholders have expressed in how we compensate our NEOs. A new advisory vote on the frequency of the Say-on-Pay vote is required every 6 years. At the 2023 Meeting of Stockholders, in accordance with the Board’s recommendation, our stockholders endorsed holding an annual Say-on-Pay vote on the compensation of our NEOs. As part of its commitment to our stockholders, the Board is submitting a Say-on-Pay proposal for stockholder consideration again this year. Each Say-on-Pay vote is being provided as required pursuant to Section 14A of the Exchange Act. The Say-on-Pay vote is not intended to address any specific item or element of compensation or the compensation of any particular Named Executive Officer, but rather our overall compensation philosophy, policies and practices as they relate to the NEOs. Although your vote is advisory and will not be binding on the Board, the Compensation Committee, or us, we strive to align our executive compensation program with the interests of our long-term stockholders. As they do every year, the Board and the Compensation Committee will take into account the outcome of this year’s Say-on-Pay vote when considering future compensation actions and decisions.</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Say-on-Pay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The Board believes that our executive compensation is a competitive advantage in attracting and retaining the high caliber of executive talent necessary to drive our business forward and build sustainable value for our stockholders. Accordingly, we are asking our stockholders to vote FOR the following resolution: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w:t>
      </w:r>
      <w:r>
        <w:rPr>
          <w:rFonts w:ascii="Arial" w:cs="Arial" w:eastAsia="Arial" w:hAnsi="Arial"/>
          <w:sz w:val="18"/>
          <w:szCs w:val="18"/>
          <w:b w:val="1"/>
          <w:bCs w:val="1"/>
          <w:color w:val="51555C"/>
        </w:rPr>
        <w:t>RESOLVED</w:t>
      </w:r>
      <w:r>
        <w:rPr>
          <w:rFonts w:ascii="Arial" w:cs="Arial" w:eastAsia="Arial" w:hAnsi="Arial"/>
          <w:sz w:val="18"/>
          <w:szCs w:val="18"/>
          <w:color w:val="51555C"/>
        </w:rPr>
        <w:t>, that the stockholders approve, on an advisory basis, the compensation of the named executive officers as disclosed in this Proxy Statement for the 2026 Annual Meeting of Stockholders pursuant to the compensation disclosure rules of the SEC (which disclosure includes the Compensation Discussion and Analysis, the 2025 Summary Compensation Table and the other related tables and disclosures).”</w:t>
      </w:r>
    </w:p>
    <w:p>
      <w:pPr>
        <w:spacing w:after="0" w:line="39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Effect of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As indicated above, the vote on Proposal 1 is advisory and will not be binding on the Board, the Compensation Committee, or us. However, because the Board values your opinions as expressed through votes and other communications with us, it and the Compensation Committee will carefully review the 2026 Say-on-Pay voting results in an effort to better understand any issues or concerns you may have with our executive compensation program. Stockholders who want to communicate with the Board on executive compensation or other matters should refer to “Communication with the Board of Directors” on page 21 of this Proxy Statement for additional information.</w:t>
      </w:r>
    </w:p>
    <w:p>
      <w:pPr>
        <w:spacing w:after="0" w:line="254" w:lineRule="exact"/>
        <w:rPr>
          <w:sz w:val="20"/>
          <w:szCs w:val="20"/>
          <w:color w:val="auto"/>
        </w:rPr>
      </w:pPr>
    </w:p>
    <w:p>
      <w:pPr>
        <w:ind w:left="580" w:right="320" w:hanging="403"/>
        <w:spacing w:after="0" w:line="182" w:lineRule="auto"/>
        <w:tabs>
          <w:tab w:leader="none" w:pos="580" w:val="left"/>
        </w:tabs>
        <w:numPr>
          <w:ilvl w:val="0"/>
          <w:numId w:val="32"/>
        </w:numPr>
        <w:rPr>
          <w:rFonts w:ascii="Wingdings" w:cs="Wingdings" w:eastAsia="Wingdings" w:hAnsi="Wingdings"/>
          <w:sz w:val="47"/>
          <w:szCs w:val="47"/>
          <w:b w:val="1"/>
          <w:bCs w:val="1"/>
          <w:color w:val="0CD973"/>
          <w:vertAlign w:val="subscript"/>
        </w:rPr>
      </w:pPr>
      <w:r>
        <w:rPr>
          <w:rFonts w:ascii="Arial" w:cs="Arial" w:eastAsia="Arial" w:hAnsi="Arial"/>
          <w:sz w:val="18"/>
          <w:szCs w:val="18"/>
          <w:b w:val="1"/>
          <w:bCs w:val="1"/>
          <w:color w:val="51555C"/>
        </w:rPr>
        <w:t>The Board of Directors unanimously recommends that stockholders vote, on an advisory basis, FOR the 2025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-405130</wp:posOffset>
            </wp:positionV>
            <wp:extent cx="7165975" cy="4622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5975" cy="462280"/>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51555C"/>
        </w:rPr>
        <w:t>The voting requirements for this Proposal 1 are described under "Additional Information" on page 81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34</w:t>
      </w:r>
      <w:r>
        <w:rPr>
          <w:sz w:val="20"/>
          <w:szCs w:val="20"/>
          <w:color w:val="auto"/>
        </w:rPr>
        <w:tab/>
      </w:r>
      <w:r>
        <w:rPr>
          <w:sz w:val="1"/>
          <w:szCs w:val="1"/>
          <w:color w:val="auto"/>
        </w:rPr>
        <w:drawing>
          <wp:inline distT="0" distB="0" distL="0" distR="0">
            <wp:extent cx="702945" cy="11176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02945" cy="111760"/>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155575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b w:val="1"/>
          <w:bCs w:val="1"/>
          <w:color w:val="5155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COMPENSATION DISCUSSION AND ANALYSIS</w:t>
      </w:r>
    </w:p>
    <w:p>
      <w:pPr>
        <w:spacing w:after="0" w:line="19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51555C"/>
        </w:rPr>
        <w:t>This Compensation Discussion and Analysis (“CD&amp;A”) describes our executive compensation program, as well as the philosophy underlying this program and our related policies and practices. It focuses on the compensation of our NEOs for 2025, who were: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7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Name</w:t>
            </w:r>
          </w:p>
        </w:tc>
        <w:tc>
          <w:tcPr>
            <w:tcW w:w="8570" w:type="dxa"/>
            <w:vAlign w:val="bottom"/>
            <w:tcBorders>
              <w:bottom w:val="single" w:sz="8" w:color="004054"/>
            </w:tcBorders>
            <w:shd w:val="clear" w:color="auto" w:fill="004054"/>
          </w:tcPr>
          <w:p>
            <w:pPr>
              <w:ind w:left="30"/>
              <w:spacing w:after="0"/>
              <w:rPr>
                <w:sz w:val="20"/>
                <w:szCs w:val="20"/>
                <w:color w:val="auto"/>
              </w:rPr>
            </w:pPr>
            <w:r>
              <w:rPr>
                <w:rFonts w:ascii="Arial" w:cs="Arial" w:eastAsia="Arial" w:hAnsi="Arial"/>
                <w:sz w:val="14"/>
                <w:szCs w:val="14"/>
                <w:b w:val="1"/>
                <w:bCs w:val="1"/>
                <w:color w:val="FFFFFF"/>
              </w:rPr>
              <w:t>Title</w:t>
            </w:r>
          </w:p>
        </w:tc>
        <w:tc>
          <w:tcPr>
            <w:tcW w:w="20" w:type="dxa"/>
            <w:vAlign w:val="bottom"/>
            <w:tcBorders>
              <w:bottom w:val="single" w:sz="8" w:color="004054"/>
            </w:tcBorders>
            <w:shd w:val="clear" w:color="auto" w:fill="004054"/>
          </w:tcPr>
          <w:p>
            <w:pPr>
              <w:spacing w:after="0"/>
              <w:rPr>
                <w:sz w:val="20"/>
                <w:szCs w:val="20"/>
                <w:color w:val="auto"/>
              </w:rPr>
            </w:pPr>
          </w:p>
        </w:tc>
      </w:tr>
      <w:tr>
        <w:trPr>
          <w:trHeight w:val="324"/>
        </w:trPr>
        <w:tc>
          <w:tcPr>
            <w:tcW w:w="267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Michael P. Gianoni</w:t>
            </w:r>
          </w:p>
        </w:tc>
        <w:tc>
          <w:tcPr>
            <w:tcW w:w="8570" w:type="dxa"/>
            <w:vAlign w:val="bottom"/>
            <w:shd w:val="clear" w:color="auto" w:fill="EBFBFF"/>
          </w:tcPr>
          <w:p>
            <w:pPr>
              <w:ind w:left="10"/>
              <w:spacing w:after="0"/>
              <w:rPr>
                <w:sz w:val="20"/>
                <w:szCs w:val="20"/>
                <w:color w:val="auto"/>
              </w:rPr>
            </w:pPr>
            <w:r>
              <w:rPr>
                <w:rFonts w:ascii="Arial" w:cs="Arial" w:eastAsia="Arial" w:hAnsi="Arial"/>
                <w:sz w:val="18"/>
                <w:szCs w:val="18"/>
                <w:color w:val="51555C"/>
              </w:rPr>
              <w:t>Chief Executive Officer, President and Vice Chairman of the Board</w:t>
            </w:r>
          </w:p>
        </w:tc>
        <w:tc>
          <w:tcPr>
            <w:tcW w:w="20" w:type="dxa"/>
            <w:vAlign w:val="bottom"/>
          </w:tcPr>
          <w:p>
            <w:pPr>
              <w:spacing w:after="0"/>
              <w:rPr>
                <w:sz w:val="24"/>
                <w:szCs w:val="24"/>
                <w:color w:val="auto"/>
              </w:rPr>
            </w:pPr>
          </w:p>
        </w:tc>
      </w:tr>
      <w:tr>
        <w:trPr>
          <w:trHeight w:val="324"/>
        </w:trPr>
        <w:tc>
          <w:tcPr>
            <w:tcW w:w="2670" w:type="dxa"/>
            <w:vAlign w:val="bottom"/>
          </w:tcPr>
          <w:p>
            <w:pPr>
              <w:ind w:left="20"/>
              <w:spacing w:after="0"/>
              <w:rPr>
                <w:sz w:val="20"/>
                <w:szCs w:val="20"/>
                <w:color w:val="auto"/>
              </w:rPr>
            </w:pPr>
            <w:r>
              <w:rPr>
                <w:rFonts w:ascii="Arial" w:cs="Arial" w:eastAsia="Arial" w:hAnsi="Arial"/>
                <w:sz w:val="18"/>
                <w:szCs w:val="18"/>
                <w:b w:val="1"/>
                <w:bCs w:val="1"/>
                <w:color w:val="51555C"/>
              </w:rPr>
              <w:t>Chad M. Anderson</w:t>
            </w:r>
            <w:r>
              <w:rPr>
                <w:rFonts w:ascii="Arial" w:cs="Arial" w:eastAsia="Arial" w:hAnsi="Arial"/>
                <w:sz w:val="23"/>
                <w:szCs w:val="23"/>
                <w:b w:val="1"/>
                <w:bCs w:val="1"/>
                <w:color w:val="51555C"/>
                <w:vertAlign w:val="superscript"/>
              </w:rPr>
              <w:t>(1)</w:t>
            </w:r>
          </w:p>
        </w:tc>
        <w:tc>
          <w:tcPr>
            <w:tcW w:w="8570" w:type="dxa"/>
            <w:vAlign w:val="bottom"/>
          </w:tcPr>
          <w:p>
            <w:pPr>
              <w:ind w:left="10"/>
              <w:spacing w:after="0"/>
              <w:rPr>
                <w:sz w:val="20"/>
                <w:szCs w:val="20"/>
                <w:color w:val="auto"/>
              </w:rPr>
            </w:pPr>
            <w:r>
              <w:rPr>
                <w:rFonts w:ascii="Arial" w:cs="Arial" w:eastAsia="Arial" w:hAnsi="Arial"/>
                <w:sz w:val="18"/>
                <w:szCs w:val="18"/>
                <w:color w:val="51555C"/>
              </w:rPr>
              <w:t>Executive Vice President and Chief Financial Officer</w:t>
            </w:r>
          </w:p>
        </w:tc>
        <w:tc>
          <w:tcPr>
            <w:tcW w:w="20" w:type="dxa"/>
            <w:vAlign w:val="bottom"/>
          </w:tcPr>
          <w:p>
            <w:pPr>
              <w:spacing w:after="0"/>
              <w:rPr>
                <w:sz w:val="24"/>
                <w:szCs w:val="24"/>
                <w:color w:val="auto"/>
              </w:rPr>
            </w:pPr>
          </w:p>
        </w:tc>
      </w:tr>
      <w:tr>
        <w:trPr>
          <w:trHeight w:val="324"/>
        </w:trPr>
        <w:tc>
          <w:tcPr>
            <w:tcW w:w="267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Anthony W. Boor</w:t>
            </w:r>
            <w:r>
              <w:rPr>
                <w:rFonts w:ascii="Arial" w:cs="Arial" w:eastAsia="Arial" w:hAnsi="Arial"/>
                <w:sz w:val="23"/>
                <w:szCs w:val="23"/>
                <w:b w:val="1"/>
                <w:bCs w:val="1"/>
                <w:color w:val="51555C"/>
                <w:vertAlign w:val="superscript"/>
              </w:rPr>
              <w:t>(2)</w:t>
            </w:r>
          </w:p>
        </w:tc>
        <w:tc>
          <w:tcPr>
            <w:tcW w:w="8570" w:type="dxa"/>
            <w:vAlign w:val="bottom"/>
            <w:shd w:val="clear" w:color="auto" w:fill="EBFBFF"/>
          </w:tcPr>
          <w:p>
            <w:pPr>
              <w:ind w:left="10"/>
              <w:spacing w:after="0"/>
              <w:rPr>
                <w:sz w:val="20"/>
                <w:szCs w:val="20"/>
                <w:color w:val="auto"/>
              </w:rPr>
            </w:pPr>
            <w:r>
              <w:rPr>
                <w:rFonts w:ascii="Arial" w:cs="Arial" w:eastAsia="Arial" w:hAnsi="Arial"/>
                <w:sz w:val="18"/>
                <w:szCs w:val="18"/>
                <w:color w:val="51555C"/>
              </w:rPr>
              <w:t>Executive Vice President of Corporate Development and Strategy</w:t>
            </w:r>
          </w:p>
        </w:tc>
        <w:tc>
          <w:tcPr>
            <w:tcW w:w="20" w:type="dxa"/>
            <w:vAlign w:val="bottom"/>
          </w:tcPr>
          <w:p>
            <w:pPr>
              <w:spacing w:after="0"/>
              <w:rPr>
                <w:sz w:val="24"/>
                <w:szCs w:val="24"/>
                <w:color w:val="auto"/>
              </w:rPr>
            </w:pPr>
          </w:p>
        </w:tc>
      </w:tr>
      <w:tr>
        <w:trPr>
          <w:trHeight w:val="316"/>
        </w:trPr>
        <w:tc>
          <w:tcPr>
            <w:tcW w:w="2670" w:type="dxa"/>
            <w:vAlign w:val="bottom"/>
          </w:tcPr>
          <w:p>
            <w:pPr>
              <w:ind w:left="20"/>
              <w:spacing w:after="0"/>
              <w:rPr>
                <w:sz w:val="20"/>
                <w:szCs w:val="20"/>
                <w:color w:val="auto"/>
              </w:rPr>
            </w:pPr>
            <w:r>
              <w:rPr>
                <w:rFonts w:ascii="Arial" w:cs="Arial" w:eastAsia="Arial" w:hAnsi="Arial"/>
                <w:sz w:val="18"/>
                <w:szCs w:val="18"/>
                <w:b w:val="1"/>
                <w:bCs w:val="1"/>
                <w:color w:val="51555C"/>
              </w:rPr>
              <w:t>David J. Benjamin</w:t>
            </w:r>
          </w:p>
        </w:tc>
        <w:tc>
          <w:tcPr>
            <w:tcW w:w="8570" w:type="dxa"/>
            <w:vAlign w:val="bottom"/>
          </w:tcPr>
          <w:p>
            <w:pPr>
              <w:ind w:left="10"/>
              <w:spacing w:after="0"/>
              <w:rPr>
                <w:sz w:val="20"/>
                <w:szCs w:val="20"/>
                <w:color w:val="auto"/>
              </w:rPr>
            </w:pPr>
            <w:r>
              <w:rPr>
                <w:rFonts w:ascii="Arial" w:cs="Arial" w:eastAsia="Arial" w:hAnsi="Arial"/>
                <w:sz w:val="18"/>
                <w:szCs w:val="18"/>
                <w:color w:val="51555C"/>
              </w:rPr>
              <w:t>Executive Vice President and Chief Commercial Officer</w:t>
            </w:r>
          </w:p>
        </w:tc>
        <w:tc>
          <w:tcPr>
            <w:tcW w:w="20" w:type="dxa"/>
            <w:vAlign w:val="bottom"/>
          </w:tcPr>
          <w:p>
            <w:pPr>
              <w:spacing w:after="0"/>
              <w:rPr>
                <w:sz w:val="24"/>
                <w:szCs w:val="24"/>
                <w:color w:val="auto"/>
              </w:rPr>
            </w:pPr>
          </w:p>
        </w:tc>
      </w:tr>
      <w:tr>
        <w:trPr>
          <w:trHeight w:val="332"/>
        </w:trPr>
        <w:tc>
          <w:tcPr>
            <w:tcW w:w="267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Kevin P. Gregoire</w:t>
            </w:r>
          </w:p>
        </w:tc>
        <w:tc>
          <w:tcPr>
            <w:tcW w:w="8570" w:type="dxa"/>
            <w:vAlign w:val="bottom"/>
            <w:shd w:val="clear" w:color="auto" w:fill="EBFBFF"/>
          </w:tcPr>
          <w:p>
            <w:pPr>
              <w:ind w:left="10"/>
              <w:spacing w:after="0"/>
              <w:rPr>
                <w:sz w:val="20"/>
                <w:szCs w:val="20"/>
                <w:color w:val="auto"/>
              </w:rPr>
            </w:pPr>
            <w:r>
              <w:rPr>
                <w:rFonts w:ascii="Arial" w:cs="Arial" w:eastAsia="Arial" w:hAnsi="Arial"/>
                <w:sz w:val="18"/>
                <w:szCs w:val="18"/>
                <w:color w:val="51555C"/>
              </w:rPr>
              <w:t>Executive Vice President and Chief Operating Officer</w:t>
            </w:r>
          </w:p>
        </w:tc>
        <w:tc>
          <w:tcPr>
            <w:tcW w:w="20" w:type="dxa"/>
            <w:vAlign w:val="bottom"/>
          </w:tcPr>
          <w:p>
            <w:pPr>
              <w:spacing w:after="0"/>
              <w:rPr>
                <w:sz w:val="24"/>
                <w:szCs w:val="24"/>
                <w:color w:val="auto"/>
              </w:rPr>
            </w:pPr>
          </w:p>
        </w:tc>
      </w:tr>
      <w:tr>
        <w:trPr>
          <w:trHeight w:val="318"/>
        </w:trPr>
        <w:tc>
          <w:tcPr>
            <w:tcW w:w="267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51555C"/>
              </w:rPr>
              <w:t>Kevin R. McDearis</w:t>
            </w:r>
          </w:p>
        </w:tc>
        <w:tc>
          <w:tcPr>
            <w:tcW w:w="8570" w:type="dxa"/>
            <w:vAlign w:val="bottom"/>
            <w:tcBorders>
              <w:bottom w:val="single" w:sz="8" w:color="0CD973"/>
            </w:tcBorders>
          </w:tcPr>
          <w:p>
            <w:pPr>
              <w:ind w:left="10"/>
              <w:spacing w:after="0"/>
              <w:rPr>
                <w:sz w:val="20"/>
                <w:szCs w:val="20"/>
                <w:color w:val="auto"/>
              </w:rPr>
            </w:pPr>
            <w:r>
              <w:rPr>
                <w:rFonts w:ascii="Arial" w:cs="Arial" w:eastAsia="Arial" w:hAnsi="Arial"/>
                <w:sz w:val="18"/>
                <w:szCs w:val="18"/>
                <w:color w:val="51555C"/>
              </w:rPr>
              <w:t>Executive Vice President and Chief Technology Officer</w:t>
            </w:r>
          </w:p>
        </w:tc>
        <w:tc>
          <w:tcPr>
            <w:tcW w:w="20" w:type="dxa"/>
            <w:vAlign w:val="bottom"/>
          </w:tcPr>
          <w:p>
            <w:pPr>
              <w:spacing w:after="0"/>
              <w:rPr>
                <w:sz w:val="24"/>
                <w:szCs w:val="24"/>
                <w:color w:val="auto"/>
              </w:rPr>
            </w:pPr>
          </w:p>
        </w:tc>
      </w:tr>
    </w:tbl>
    <w:p>
      <w:pPr>
        <w:spacing w:after="0" w:line="72" w:lineRule="exact"/>
        <w:rPr>
          <w:sz w:val="20"/>
          <w:szCs w:val="20"/>
          <w:color w:val="auto"/>
        </w:rPr>
      </w:pPr>
    </w:p>
    <w:p>
      <w:pPr>
        <w:ind w:left="340" w:right="20" w:hanging="332"/>
        <w:spacing w:after="0" w:line="272" w:lineRule="auto"/>
        <w:tabs>
          <w:tab w:leader="none" w:pos="354" w:val="left"/>
        </w:tabs>
        <w:numPr>
          <w:ilvl w:val="0"/>
          <w:numId w:val="33"/>
        </w:numPr>
        <w:rPr>
          <w:rFonts w:ascii="Arial" w:cs="Arial" w:eastAsia="Arial" w:hAnsi="Arial"/>
          <w:sz w:val="14"/>
          <w:szCs w:val="14"/>
          <w:color w:val="51555C"/>
        </w:rPr>
      </w:pPr>
      <w:r>
        <w:rPr>
          <w:rFonts w:ascii="Arial" w:cs="Arial" w:eastAsia="Arial" w:hAnsi="Arial"/>
          <w:sz w:val="14"/>
          <w:szCs w:val="14"/>
          <w:color w:val="51555C"/>
        </w:rPr>
        <w:t>Mr. Anderson was promoted to Executive Vice President and Chief Financial Officer effective April 30, 2025. Prior to his promotion, Mr. Anderson served as our Senior Vice President and Chief Accounting Officer.</w:t>
      </w:r>
    </w:p>
    <w:p>
      <w:pPr>
        <w:ind w:left="340" w:right="20" w:hanging="332"/>
        <w:spacing w:after="0" w:line="262" w:lineRule="auto"/>
        <w:tabs>
          <w:tab w:leader="none" w:pos="354" w:val="left"/>
        </w:tabs>
        <w:numPr>
          <w:ilvl w:val="0"/>
          <w:numId w:val="33"/>
        </w:numPr>
        <w:rPr>
          <w:rFonts w:ascii="Arial" w:cs="Arial" w:eastAsia="Arial" w:hAnsi="Arial"/>
          <w:sz w:val="14"/>
          <w:szCs w:val="14"/>
          <w:color w:val="51555C"/>
        </w:rPr>
      </w:pPr>
      <w:r>
        <w:rPr>
          <w:rFonts w:ascii="Arial" w:cs="Arial" w:eastAsia="Arial" w:hAnsi="Arial"/>
          <w:sz w:val="14"/>
          <w:szCs w:val="14"/>
          <w:color w:val="51555C"/>
        </w:rPr>
        <w:t>Mr. Boor transitioned from Executive Vice President and Chief Financial Officer to Executive Vice President of Corporate Development and Strategy effective April 30, 2025.</w:t>
      </w: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51555C"/>
        </w:rPr>
        <w:t>Our executive compensation program is designed to reward our executive management for effectively creating stockholder value.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2025 Business Highlights</w:t>
      </w:r>
    </w:p>
    <w:p>
      <w:pPr>
        <w:spacing w:after="0" w:line="169"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color w:val="51555C"/>
        </w:rPr>
        <w:t>We believe that through the strength of our business model and executive leadership team, we delivered on our strategic priorities in 2025. In particular, we:</w:t>
      </w:r>
    </w:p>
    <w:p>
      <w:pPr>
        <w:spacing w:after="0" w:line="1" w:lineRule="exact"/>
        <w:rPr>
          <w:sz w:val="20"/>
          <w:szCs w:val="20"/>
          <w:color w:val="auto"/>
        </w:rPr>
      </w:pPr>
    </w:p>
    <w:p>
      <w:pPr>
        <w:jc w:val="both"/>
        <w:ind w:left="500" w:right="20" w:hanging="168"/>
        <w:spacing w:after="0" w:line="262" w:lineRule="auto"/>
        <w:tabs>
          <w:tab w:leader="none" w:pos="468" w:val="left"/>
        </w:tabs>
        <w:numPr>
          <w:ilvl w:val="0"/>
          <w:numId w:val="34"/>
        </w:numPr>
        <w:rPr>
          <w:rFonts w:ascii="Arial" w:cs="Arial" w:eastAsia="Arial" w:hAnsi="Arial"/>
          <w:sz w:val="18"/>
          <w:szCs w:val="18"/>
          <w:color w:val="51555C"/>
        </w:rPr>
      </w:pPr>
      <w:r>
        <w:rPr>
          <w:rFonts w:ascii="Arial" w:cs="Arial" w:eastAsia="Arial" w:hAnsi="Arial"/>
          <w:sz w:val="18"/>
          <w:szCs w:val="18"/>
          <w:color w:val="51555C"/>
        </w:rPr>
        <w:t>Extended our position as the market leader, providing the sector's most intelligent solutions for fundraising and engagement, education solutions, financial management and CSR and grantmaking. With Blackbaud AI, we are transforming our products from systems of record into systems of intelligent action, helping our customers achieve more connection, unlock more possibilities, and gain more confidence in their use of technology to drive mission impact;</w:t>
      </w:r>
    </w:p>
    <w:p>
      <w:pPr>
        <w:spacing w:after="0" w:line="14" w:lineRule="exact"/>
        <w:rPr>
          <w:rFonts w:ascii="Arial" w:cs="Arial" w:eastAsia="Arial" w:hAnsi="Arial"/>
          <w:sz w:val="18"/>
          <w:szCs w:val="18"/>
          <w:color w:val="51555C"/>
        </w:rPr>
      </w:pPr>
    </w:p>
    <w:p>
      <w:pPr>
        <w:ind w:left="500" w:right="20" w:hanging="168"/>
        <w:spacing w:after="0" w:line="281" w:lineRule="auto"/>
        <w:tabs>
          <w:tab w:leader="none" w:pos="468" w:val="left"/>
        </w:tabs>
        <w:numPr>
          <w:ilvl w:val="0"/>
          <w:numId w:val="34"/>
        </w:numPr>
        <w:rPr>
          <w:rFonts w:ascii="Arial" w:cs="Arial" w:eastAsia="Arial" w:hAnsi="Arial"/>
          <w:sz w:val="18"/>
          <w:szCs w:val="18"/>
          <w:color w:val="51555C"/>
        </w:rPr>
      </w:pPr>
      <w:r>
        <w:rPr>
          <w:rFonts w:ascii="Arial" w:cs="Arial" w:eastAsia="Arial" w:hAnsi="Arial"/>
          <w:sz w:val="18"/>
          <w:szCs w:val="18"/>
          <w:color w:val="51555C"/>
        </w:rPr>
        <w:t>Announced Agents for Good™, our agentic AI suite, designed to augment customer teams with virtual AI-driven assistants capable of autonomously executing complex workflows across fundraising, finance and corporate impact functions;</w:t>
      </w:r>
    </w:p>
    <w:p>
      <w:pPr>
        <w:spacing w:after="0" w:line="1" w:lineRule="exact"/>
        <w:rPr>
          <w:rFonts w:ascii="Arial" w:cs="Arial" w:eastAsia="Arial" w:hAnsi="Arial"/>
          <w:sz w:val="18"/>
          <w:szCs w:val="18"/>
          <w:color w:val="51555C"/>
        </w:rPr>
      </w:pPr>
    </w:p>
    <w:p>
      <w:pPr>
        <w:ind w:left="460" w:hanging="128"/>
        <w:spacing w:after="0"/>
        <w:tabs>
          <w:tab w:leader="none" w:pos="460" w:val="left"/>
        </w:tabs>
        <w:numPr>
          <w:ilvl w:val="0"/>
          <w:numId w:val="34"/>
        </w:numPr>
        <w:rPr>
          <w:rFonts w:ascii="Arial" w:cs="Arial" w:eastAsia="Arial" w:hAnsi="Arial"/>
          <w:sz w:val="18"/>
          <w:szCs w:val="18"/>
          <w:color w:val="51555C"/>
        </w:rPr>
      </w:pPr>
      <w:r>
        <w:rPr>
          <w:rFonts w:ascii="Arial" w:cs="Arial" w:eastAsia="Arial" w:hAnsi="Arial"/>
          <w:sz w:val="18"/>
          <w:szCs w:val="18"/>
          <w:color w:val="51555C"/>
        </w:rPr>
        <w:t>Achieved full-year Rule of 40* for the first time and two years ahead of expectations;</w:t>
      </w:r>
    </w:p>
    <w:p>
      <w:pPr>
        <w:spacing w:after="0" w:line="63" w:lineRule="exact"/>
        <w:rPr>
          <w:rFonts w:ascii="Arial" w:cs="Arial" w:eastAsia="Arial" w:hAnsi="Arial"/>
          <w:sz w:val="18"/>
          <w:szCs w:val="18"/>
          <w:color w:val="51555C"/>
        </w:rPr>
      </w:pPr>
    </w:p>
    <w:p>
      <w:pPr>
        <w:jc w:val="both"/>
        <w:ind w:left="500" w:right="40" w:hanging="168"/>
        <w:spacing w:after="0" w:line="268" w:lineRule="auto"/>
        <w:tabs>
          <w:tab w:leader="none" w:pos="468" w:val="left"/>
        </w:tabs>
        <w:numPr>
          <w:ilvl w:val="0"/>
          <w:numId w:val="34"/>
        </w:numPr>
        <w:rPr>
          <w:rFonts w:ascii="Arial" w:cs="Arial" w:eastAsia="Arial" w:hAnsi="Arial"/>
          <w:sz w:val="18"/>
          <w:szCs w:val="18"/>
          <w:color w:val="51555C"/>
        </w:rPr>
      </w:pPr>
      <w:r>
        <w:rPr>
          <w:rFonts w:ascii="Arial" w:cs="Arial" w:eastAsia="Arial" w:hAnsi="Arial"/>
          <w:sz w:val="18"/>
          <w:szCs w:val="18"/>
          <w:color w:val="51555C"/>
        </w:rPr>
        <w:t>Delivered solid financial performance, including organic recurring revenue growth of 5.8% which reflects our continued growth in transactional revenue from donation processing, consumer giving and tuition management and growth in contractual revenue due to the positive impact of our pricing initiatives and new subscription sales of our cloud solutions; and</w:t>
      </w:r>
    </w:p>
    <w:p>
      <w:pPr>
        <w:spacing w:after="0" w:line="8" w:lineRule="exact"/>
        <w:rPr>
          <w:rFonts w:ascii="Arial" w:cs="Arial" w:eastAsia="Arial" w:hAnsi="Arial"/>
          <w:sz w:val="18"/>
          <w:szCs w:val="18"/>
          <w:color w:val="51555C"/>
        </w:rPr>
      </w:pPr>
    </w:p>
    <w:p>
      <w:pPr>
        <w:ind w:left="500" w:right="40" w:hanging="168"/>
        <w:spacing w:after="0" w:line="287" w:lineRule="auto"/>
        <w:tabs>
          <w:tab w:leader="none" w:pos="468" w:val="left"/>
        </w:tabs>
        <w:numPr>
          <w:ilvl w:val="0"/>
          <w:numId w:val="34"/>
        </w:numPr>
        <w:rPr>
          <w:rFonts w:ascii="Arial" w:cs="Arial" w:eastAsia="Arial" w:hAnsi="Arial"/>
          <w:sz w:val="18"/>
          <w:szCs w:val="18"/>
          <w:color w:val="51555C"/>
        </w:rPr>
      </w:pPr>
      <w:r>
        <w:rPr>
          <w:rFonts w:ascii="Arial" w:cs="Arial" w:eastAsia="Arial" w:hAnsi="Arial"/>
          <w:sz w:val="18"/>
          <w:szCs w:val="18"/>
          <w:color w:val="51555C"/>
        </w:rPr>
        <w:t>Repurchased approximately 7.9% of common stock that was outstanding as of December 31, 2024, including the net share settlement on employee stock-based compensation.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51555C"/>
        </w:rPr>
        <w:t>These accomplishments contributed to a year of solid financial performance for us. In comparison to fiscal year 2024, we:</w:t>
      </w:r>
    </w:p>
    <w:p>
      <w:pPr>
        <w:spacing w:after="0" w:line="63" w:lineRule="exact"/>
        <w:rPr>
          <w:sz w:val="20"/>
          <w:szCs w:val="20"/>
          <w:color w:val="auto"/>
        </w:rPr>
      </w:pPr>
    </w:p>
    <w:p>
      <w:pPr>
        <w:ind w:left="460" w:hanging="128"/>
        <w:spacing w:after="0"/>
        <w:tabs>
          <w:tab w:leader="none" w:pos="460" w:val="left"/>
        </w:tabs>
        <w:numPr>
          <w:ilvl w:val="0"/>
          <w:numId w:val="35"/>
        </w:numPr>
        <w:rPr>
          <w:rFonts w:ascii="Arial" w:cs="Arial" w:eastAsia="Arial" w:hAnsi="Arial"/>
          <w:sz w:val="18"/>
          <w:szCs w:val="18"/>
          <w:color w:val="51555C"/>
        </w:rPr>
      </w:pPr>
      <w:r>
        <w:rPr>
          <w:rFonts w:ascii="Arial" w:cs="Arial" w:eastAsia="Arial" w:hAnsi="Arial"/>
          <w:sz w:val="18"/>
          <w:szCs w:val="18"/>
          <w:color w:val="51555C"/>
        </w:rPr>
        <w:t>Grew recurring revenue to 98.0% of total revenue;</w:t>
      </w:r>
    </w:p>
    <w:p>
      <w:pPr>
        <w:spacing w:after="0" w:line="63" w:lineRule="exact"/>
        <w:rPr>
          <w:rFonts w:ascii="Arial" w:cs="Arial" w:eastAsia="Arial" w:hAnsi="Arial"/>
          <w:sz w:val="18"/>
          <w:szCs w:val="18"/>
          <w:color w:val="51555C"/>
        </w:rPr>
      </w:pPr>
    </w:p>
    <w:p>
      <w:pPr>
        <w:ind w:left="460" w:hanging="128"/>
        <w:spacing w:after="0"/>
        <w:tabs>
          <w:tab w:leader="none" w:pos="460" w:val="left"/>
        </w:tabs>
        <w:numPr>
          <w:ilvl w:val="0"/>
          <w:numId w:val="35"/>
        </w:numPr>
        <w:rPr>
          <w:rFonts w:ascii="Arial" w:cs="Arial" w:eastAsia="Arial" w:hAnsi="Arial"/>
          <w:sz w:val="18"/>
          <w:szCs w:val="18"/>
          <w:color w:val="51555C"/>
        </w:rPr>
      </w:pPr>
      <w:r>
        <w:rPr>
          <w:rFonts w:ascii="Arial" w:cs="Arial" w:eastAsia="Arial" w:hAnsi="Arial"/>
          <w:sz w:val="18"/>
          <w:szCs w:val="18"/>
          <w:color w:val="51555C"/>
        </w:rPr>
        <w:t>Achieved a Gross Dollar Retention rate of 91.8% versus 89.5%;</w:t>
      </w:r>
    </w:p>
    <w:p>
      <w:pPr>
        <w:spacing w:after="0" w:line="63" w:lineRule="exact"/>
        <w:rPr>
          <w:rFonts w:ascii="Arial" w:cs="Arial" w:eastAsia="Arial" w:hAnsi="Arial"/>
          <w:sz w:val="18"/>
          <w:szCs w:val="18"/>
          <w:color w:val="51555C"/>
        </w:rPr>
      </w:pPr>
    </w:p>
    <w:p>
      <w:pPr>
        <w:ind w:left="460" w:hanging="128"/>
        <w:spacing w:after="0"/>
        <w:tabs>
          <w:tab w:leader="none" w:pos="460" w:val="left"/>
        </w:tabs>
        <w:numPr>
          <w:ilvl w:val="0"/>
          <w:numId w:val="35"/>
        </w:numPr>
        <w:rPr>
          <w:rFonts w:ascii="Arial" w:cs="Arial" w:eastAsia="Arial" w:hAnsi="Arial"/>
          <w:sz w:val="18"/>
          <w:szCs w:val="18"/>
          <w:color w:val="51555C"/>
        </w:rPr>
      </w:pPr>
      <w:r>
        <w:rPr>
          <w:rFonts w:ascii="Arial" w:cs="Arial" w:eastAsia="Arial" w:hAnsi="Arial"/>
          <w:sz w:val="18"/>
          <w:szCs w:val="18"/>
          <w:color w:val="51555C"/>
        </w:rPr>
        <w:t>Increased our non-GAAP organic recurring revenue* by 5.8%; and</w:t>
      </w:r>
    </w:p>
    <w:p>
      <w:pPr>
        <w:spacing w:after="0" w:line="63" w:lineRule="exact"/>
        <w:rPr>
          <w:rFonts w:ascii="Arial" w:cs="Arial" w:eastAsia="Arial" w:hAnsi="Arial"/>
          <w:sz w:val="18"/>
          <w:szCs w:val="18"/>
          <w:color w:val="51555C"/>
        </w:rPr>
      </w:pPr>
    </w:p>
    <w:p>
      <w:pPr>
        <w:ind w:left="460" w:hanging="128"/>
        <w:spacing w:after="0"/>
        <w:tabs>
          <w:tab w:leader="none" w:pos="460" w:val="left"/>
        </w:tabs>
        <w:numPr>
          <w:ilvl w:val="0"/>
          <w:numId w:val="35"/>
        </w:numPr>
        <w:rPr>
          <w:rFonts w:ascii="Arial" w:cs="Arial" w:eastAsia="Arial" w:hAnsi="Arial"/>
          <w:sz w:val="18"/>
          <w:szCs w:val="18"/>
          <w:color w:val="51555C"/>
        </w:rPr>
      </w:pPr>
      <w:r>
        <w:rPr>
          <w:rFonts w:ascii="Arial" w:cs="Arial" w:eastAsia="Arial" w:hAnsi="Arial"/>
          <w:sz w:val="18"/>
          <w:szCs w:val="18"/>
          <w:color w:val="51555C"/>
        </w:rPr>
        <w:t>Achieved a Rule of 40* profile of 41.4% versus 38.6%.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1555C"/>
        </w:rPr>
        <w:t>Total revenue decreased by 2.3%, although the decrease was due to our sale of EVERFI on December 31, 2024.</w:t>
      </w: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color w:val="51555C"/>
        </w:rPr>
        <w:t>*See Appendix A for a reconciliation of non-GAAP financial measures to results reported in accordance with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765175</wp:posOffset>
            </wp:positionV>
            <wp:extent cx="702945" cy="1117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02945"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35</w:t>
            </w:r>
          </w:p>
        </w:tc>
      </w:tr>
      <w:tr>
        <w:trPr>
          <w:trHeight w:val="271"/>
        </w:trPr>
        <w:tc>
          <w:tcPr>
            <w:tcW w:w="1020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00" w:right="319" w:bottom="1440" w:gutter="0" w:footer="0" w:header="0"/>
        </w:sectPr>
      </w:pPr>
    </w:p>
    <w:bookmarkStart w:id="37" w:name="page38"/>
    <w:bookmarkEnd w:id="37"/>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EXECUTIVE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7"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Other 2025 Highlights</w:t>
      </w:r>
    </w:p>
    <w:p>
      <w:pPr>
        <w:spacing w:after="0" w:line="61" w:lineRule="exact"/>
        <w:rPr>
          <w:sz w:val="20"/>
          <w:szCs w:val="20"/>
          <w:color w:val="auto"/>
        </w:rPr>
      </w:pPr>
    </w:p>
    <w:p>
      <w:pPr>
        <w:jc w:val="both"/>
        <w:ind w:left="500" w:hanging="168"/>
        <w:spacing w:after="0" w:line="268" w:lineRule="auto"/>
        <w:tabs>
          <w:tab w:leader="none" w:pos="468" w:val="left"/>
        </w:tabs>
        <w:numPr>
          <w:ilvl w:val="0"/>
          <w:numId w:val="36"/>
        </w:numPr>
        <w:rPr>
          <w:rFonts w:ascii="Arial" w:cs="Arial" w:eastAsia="Arial" w:hAnsi="Arial"/>
          <w:sz w:val="18"/>
          <w:szCs w:val="18"/>
          <w:color w:val="51555C"/>
        </w:rPr>
      </w:pPr>
      <w:r>
        <w:rPr>
          <w:rFonts w:ascii="Arial" w:cs="Arial" w:eastAsia="Arial" w:hAnsi="Arial"/>
          <w:sz w:val="18"/>
          <w:szCs w:val="18"/>
          <w:color w:val="51555C"/>
        </w:rPr>
        <w:t>Our leadership and impact were recognized throughout the year, being named to Newsweek’s list of World’s Greenest Companies 2025 and TIME’s list of America’s Best Mid-Size Companies 2025, being recognized on Fast Company’s 2025 Best Workplaces for Innovators list and making the Newsweek America’s Most Responsible Companies list for the fifth consecutive year;</w:t>
      </w:r>
    </w:p>
    <w:p>
      <w:pPr>
        <w:spacing w:after="0" w:line="8" w:lineRule="exact"/>
        <w:rPr>
          <w:rFonts w:ascii="Arial" w:cs="Arial" w:eastAsia="Arial" w:hAnsi="Arial"/>
          <w:sz w:val="18"/>
          <w:szCs w:val="18"/>
          <w:color w:val="51555C"/>
        </w:rPr>
      </w:pPr>
    </w:p>
    <w:p>
      <w:pPr>
        <w:jc w:val="both"/>
        <w:ind w:left="500" w:hanging="168"/>
        <w:spacing w:after="0" w:line="256" w:lineRule="auto"/>
        <w:tabs>
          <w:tab w:leader="none" w:pos="468" w:val="left"/>
        </w:tabs>
        <w:numPr>
          <w:ilvl w:val="0"/>
          <w:numId w:val="36"/>
        </w:numPr>
        <w:rPr>
          <w:rFonts w:ascii="Arial" w:cs="Arial" w:eastAsia="Arial" w:hAnsi="Arial"/>
          <w:sz w:val="18"/>
          <w:szCs w:val="18"/>
          <w:color w:val="51555C"/>
        </w:rPr>
      </w:pPr>
      <w:r>
        <w:rPr>
          <w:rFonts w:ascii="Arial" w:cs="Arial" w:eastAsia="Arial" w:hAnsi="Arial"/>
          <w:sz w:val="18"/>
          <w:szCs w:val="18"/>
          <w:color w:val="51555C"/>
        </w:rPr>
        <w:t>At bbcon 2025, we put a spotlight on the role of AI in helping organizations raise more funds, operate more efficiently, and make better informed decisions, rolling out 70+ embedded, sector-specific capabilities and delivering on our vision for agentic AI with Blackbaud Agents for Good™—virtual team members that can proactively take on complex tasks, workflows and initiatives, built seamlessly into Blackbaud products. In addition, we announced the AI Coalition for Social Impact—a convening of companies, organizations, and leaders who share the vision of removing obstacles to responsible AI adoption for the nonprofit sector—and shared that the Coalition’s flagship initiative would be a free, platform-agnostic AI for Social Impact Certification Course to help practitioners build skills and grow confidence;</w:t>
      </w:r>
    </w:p>
    <w:p>
      <w:pPr>
        <w:spacing w:after="0" w:line="20" w:lineRule="exact"/>
        <w:rPr>
          <w:rFonts w:ascii="Arial" w:cs="Arial" w:eastAsia="Arial" w:hAnsi="Arial"/>
          <w:sz w:val="18"/>
          <w:szCs w:val="18"/>
          <w:color w:val="51555C"/>
        </w:rPr>
      </w:pPr>
    </w:p>
    <w:p>
      <w:pPr>
        <w:jc w:val="both"/>
        <w:ind w:left="500" w:hanging="168"/>
        <w:spacing w:after="0" w:line="257" w:lineRule="auto"/>
        <w:tabs>
          <w:tab w:leader="none" w:pos="468" w:val="left"/>
        </w:tabs>
        <w:numPr>
          <w:ilvl w:val="0"/>
          <w:numId w:val="36"/>
        </w:numPr>
        <w:rPr>
          <w:rFonts w:ascii="Arial" w:cs="Arial" w:eastAsia="Arial" w:hAnsi="Arial"/>
          <w:sz w:val="18"/>
          <w:szCs w:val="18"/>
          <w:color w:val="51555C"/>
        </w:rPr>
      </w:pPr>
      <w:r>
        <w:rPr>
          <w:rFonts w:ascii="Arial" w:cs="Arial" w:eastAsia="Arial" w:hAnsi="Arial"/>
          <w:sz w:val="18"/>
          <w:szCs w:val="18"/>
          <w:color w:val="51555C"/>
        </w:rPr>
        <w:t>We continued to invest aggressively in product development, focusing on AI-powered innovation and intelligent workflows, creating deeper platform connectivity and enhancing user experiences throughout our product portfolio. We launched an expanded payments solution, Blackbaud Integrated Payments, and announced a strategic integration between our flagship fundraising solution Blackbaud Raiser’s Edge NXT® and Constant Contact to put best-in-class AI-Powered digital marketing tools into the hands of fundraisers. We unveiled powerful updates and integrations to transform K–12 learning and rolled out new AI updates and integrations for our Impact Edge™ CSR reporting tool for purpose driven companies; and</w:t>
      </w:r>
    </w:p>
    <w:p>
      <w:pPr>
        <w:spacing w:after="0" w:line="20" w:lineRule="exact"/>
        <w:rPr>
          <w:rFonts w:ascii="Arial" w:cs="Arial" w:eastAsia="Arial" w:hAnsi="Arial"/>
          <w:sz w:val="18"/>
          <w:szCs w:val="18"/>
          <w:color w:val="51555C"/>
        </w:rPr>
      </w:pPr>
    </w:p>
    <w:p>
      <w:pPr>
        <w:jc w:val="both"/>
        <w:ind w:left="500" w:hanging="168"/>
        <w:spacing w:after="0" w:line="262" w:lineRule="auto"/>
        <w:tabs>
          <w:tab w:leader="none" w:pos="468" w:val="left"/>
        </w:tabs>
        <w:numPr>
          <w:ilvl w:val="0"/>
          <w:numId w:val="36"/>
        </w:numPr>
        <w:rPr>
          <w:rFonts w:ascii="Arial" w:cs="Arial" w:eastAsia="Arial" w:hAnsi="Arial"/>
          <w:sz w:val="18"/>
          <w:szCs w:val="18"/>
          <w:color w:val="51555C"/>
        </w:rPr>
      </w:pPr>
      <w:r>
        <w:rPr>
          <w:rFonts w:ascii="Arial" w:cs="Arial" w:eastAsia="Arial" w:hAnsi="Arial"/>
          <w:sz w:val="18"/>
          <w:szCs w:val="18"/>
          <w:color w:val="51555C"/>
        </w:rPr>
        <w:t>We and our employees continued to give back—supporting global communities through volunteerism, charitable grants, and high profile moments such as ringing the Nasdaq closing bell for GivingTuesday and making a major donation to the Center for Disaster Philanthropy to support disaster response and resilience in global communities. In addition, our customers created significant impact in the wake of the Los Angeles Wildfires, raising millions of dollars for relief and recovery.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2025 Executive Compensation Actions</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For 2025, the Compensation Committee continued to use our executive compensation program to focus on creating incentives for our executive officers to achieve our financial and operational objectives and foster sustainable stockholder value creation.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51555C"/>
        </w:rPr>
        <w:t>The key compensation decisions of the Compensation Committee for 2025 for our NEOs were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Base Salaries</w:t>
      </w:r>
    </w:p>
    <w:p>
      <w:pPr>
        <w:spacing w:after="0" w:line="27" w:lineRule="exact"/>
        <w:rPr>
          <w:sz w:val="20"/>
          <w:szCs w:val="20"/>
          <w:color w:val="auto"/>
        </w:rPr>
      </w:pPr>
    </w:p>
    <w:p>
      <w:pPr>
        <w:ind w:left="460" w:hanging="128"/>
        <w:spacing w:after="0"/>
        <w:tabs>
          <w:tab w:leader="none" w:pos="460" w:val="left"/>
        </w:tabs>
        <w:numPr>
          <w:ilvl w:val="0"/>
          <w:numId w:val="37"/>
        </w:numPr>
        <w:rPr>
          <w:rFonts w:ascii="Arial" w:cs="Arial" w:eastAsia="Arial" w:hAnsi="Arial"/>
          <w:sz w:val="18"/>
          <w:szCs w:val="18"/>
          <w:color w:val="51555C"/>
        </w:rPr>
      </w:pPr>
      <w:r>
        <w:rPr>
          <w:rFonts w:ascii="Arial" w:cs="Arial" w:eastAsia="Arial" w:hAnsi="Arial"/>
          <w:sz w:val="18"/>
          <w:szCs w:val="18"/>
          <w:color w:val="51555C"/>
        </w:rPr>
        <w:t>Maintained the base salaries of our NEOs at their 2024 levels (excluding Mr. Anderson); and</w:t>
      </w:r>
    </w:p>
    <w:p>
      <w:pPr>
        <w:spacing w:after="0" w:line="9" w:lineRule="exact"/>
        <w:rPr>
          <w:rFonts w:ascii="Arial" w:cs="Arial" w:eastAsia="Arial" w:hAnsi="Arial"/>
          <w:sz w:val="18"/>
          <w:szCs w:val="18"/>
          <w:color w:val="51555C"/>
        </w:rPr>
      </w:pPr>
    </w:p>
    <w:p>
      <w:pPr>
        <w:ind w:left="500" w:hanging="168"/>
        <w:spacing w:after="0" w:line="266" w:lineRule="auto"/>
        <w:tabs>
          <w:tab w:leader="none" w:pos="468" w:val="left"/>
        </w:tabs>
        <w:numPr>
          <w:ilvl w:val="0"/>
          <w:numId w:val="37"/>
        </w:numPr>
        <w:rPr>
          <w:rFonts w:ascii="Arial" w:cs="Arial" w:eastAsia="Arial" w:hAnsi="Arial"/>
          <w:sz w:val="18"/>
          <w:szCs w:val="18"/>
          <w:color w:val="51555C"/>
        </w:rPr>
      </w:pPr>
      <w:r>
        <w:rPr>
          <w:rFonts w:ascii="Arial" w:cs="Arial" w:eastAsia="Arial" w:hAnsi="Arial"/>
          <w:sz w:val="18"/>
          <w:szCs w:val="18"/>
          <w:color w:val="51555C"/>
        </w:rPr>
        <w:t>Increased the base salary of Chad M. Anderson to $425,000 effective July 1, 2025 due to his promotion to Executive Vice President and CFO.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STI Compensation</w:t>
      </w:r>
    </w:p>
    <w:p>
      <w:pPr>
        <w:spacing w:after="0" w:line="27" w:lineRule="exact"/>
        <w:rPr>
          <w:sz w:val="20"/>
          <w:szCs w:val="20"/>
          <w:color w:val="auto"/>
        </w:rPr>
      </w:pPr>
    </w:p>
    <w:p>
      <w:pPr>
        <w:jc w:val="both"/>
        <w:ind w:left="500" w:hanging="168"/>
        <w:spacing w:after="0" w:line="250" w:lineRule="auto"/>
        <w:tabs>
          <w:tab w:leader="none" w:pos="468" w:val="left"/>
        </w:tabs>
        <w:numPr>
          <w:ilvl w:val="0"/>
          <w:numId w:val="38"/>
        </w:numPr>
        <w:rPr>
          <w:rFonts w:ascii="Arial" w:cs="Arial" w:eastAsia="Arial" w:hAnsi="Arial"/>
          <w:sz w:val="18"/>
          <w:szCs w:val="18"/>
          <w:color w:val="51555C"/>
        </w:rPr>
      </w:pPr>
      <w:r>
        <w:rPr>
          <w:rFonts w:ascii="Arial" w:cs="Arial" w:eastAsia="Arial" w:hAnsi="Arial"/>
          <w:sz w:val="18"/>
          <w:szCs w:val="18"/>
          <w:color w:val="51555C"/>
        </w:rPr>
        <w:t>Provided our NEOs the opportunity to earn annual variable compensation in the form of PRSUs granted in February 2025 (2025 STI PRSUs) that were eligible to be earned based on overall Company financial performance in fiscal 2025. Based on overall Company performance in 2025, the 2025 STI PRSU payout factor was 102.3% and the earned 2025 STI PRSUs will vest in February 2026, subject to each NEO's continued employment as of the vesting date. See the discussion of the 2025 STI PRSU awards on page 43 for more information; and</w:t>
      </w:r>
    </w:p>
    <w:p>
      <w:pPr>
        <w:spacing w:after="0" w:line="1" w:lineRule="exact"/>
        <w:rPr>
          <w:rFonts w:ascii="Arial" w:cs="Arial" w:eastAsia="Arial" w:hAnsi="Arial"/>
          <w:sz w:val="18"/>
          <w:szCs w:val="18"/>
          <w:color w:val="51555C"/>
        </w:rPr>
      </w:pPr>
    </w:p>
    <w:p>
      <w:pPr>
        <w:jc w:val="both"/>
        <w:ind w:left="500" w:hanging="168"/>
        <w:spacing w:after="0" w:line="254" w:lineRule="auto"/>
        <w:tabs>
          <w:tab w:leader="none" w:pos="468" w:val="left"/>
        </w:tabs>
        <w:numPr>
          <w:ilvl w:val="0"/>
          <w:numId w:val="38"/>
        </w:numPr>
        <w:rPr>
          <w:rFonts w:ascii="Arial" w:cs="Arial" w:eastAsia="Arial" w:hAnsi="Arial"/>
          <w:sz w:val="18"/>
          <w:szCs w:val="18"/>
          <w:color w:val="51555C"/>
        </w:rPr>
      </w:pPr>
      <w:r>
        <w:rPr>
          <w:rFonts w:ascii="Arial" w:cs="Arial" w:eastAsia="Arial" w:hAnsi="Arial"/>
          <w:sz w:val="18"/>
          <w:szCs w:val="18"/>
          <w:color w:val="51555C"/>
        </w:rPr>
        <w:t>Granted an additional prorated award of STI PRSUs (May 2025 Promotion STI) to Mr. Anderson in recognition of his increased responsibilities due to his promotion to Executive Vice President and CFO, with such award eligible to be earned based on overall Company financial performance in fiscal 2025 on the same basis as the 2025 STI PRSUs, described above. The earned May 2025 Promotion STI PRSUs will vest in May 2026, subject to Mr. Anderson's continued employment as of the vesting date. See the discussion of the May 2025 Promotion STI beginning on page 44 for more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LTI Compensation</w:t>
      </w:r>
    </w:p>
    <w:p>
      <w:pPr>
        <w:spacing w:after="0" w:line="27" w:lineRule="exact"/>
        <w:rPr>
          <w:sz w:val="20"/>
          <w:szCs w:val="20"/>
          <w:color w:val="auto"/>
        </w:rPr>
      </w:pPr>
    </w:p>
    <w:p>
      <w:pPr>
        <w:jc w:val="both"/>
        <w:ind w:left="500" w:hanging="168"/>
        <w:spacing w:after="0" w:line="253" w:lineRule="auto"/>
        <w:tabs>
          <w:tab w:leader="none" w:pos="468" w:val="left"/>
        </w:tabs>
        <w:numPr>
          <w:ilvl w:val="0"/>
          <w:numId w:val="39"/>
        </w:numPr>
        <w:rPr>
          <w:rFonts w:ascii="Arial" w:cs="Arial" w:eastAsia="Arial" w:hAnsi="Arial"/>
          <w:sz w:val="18"/>
          <w:szCs w:val="18"/>
          <w:color w:val="51555C"/>
        </w:rPr>
      </w:pPr>
      <w:r>
        <w:rPr>
          <w:rFonts w:ascii="Arial" w:cs="Arial" w:eastAsia="Arial" w:hAnsi="Arial"/>
          <w:sz w:val="18"/>
          <w:szCs w:val="18"/>
          <w:color w:val="51555C"/>
        </w:rPr>
        <w:t>Granted our NEOs annual long-term equity awards in February 2025 consisting of 50% RSAs or RSUs and 50% PRSUs (2025 LTI PRSUs). This design is intended to be aligned with competitive market practices, support our retention objectives and reward overall Company performance. Based on overall Company performance in 2025, determined that 100.01% of the target number of shares of our common stock subject to the 2025 LTI PRSUs based on one-year performance and 104.76% of the target number of shares of our common stock subject to the 2025 LTI PRSUs based on the first of three one-year performance periods were earned and would vest in February 2026 subject to each NEO's continued employment as of the vesting date. See the discussion of the 2025 LTI PRSU awards to NEOs beginning on page</w:t>
      </w:r>
    </w:p>
    <w:p>
      <w:pPr>
        <w:spacing w:after="0" w:line="339"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36</w:t>
      </w:r>
      <w:r>
        <w:rPr>
          <w:sz w:val="20"/>
          <w:szCs w:val="20"/>
          <w:color w:val="auto"/>
        </w:rPr>
        <w:tab/>
      </w:r>
      <w:r>
        <w:rPr>
          <w:sz w:val="1"/>
          <w:szCs w:val="1"/>
          <w:color w:val="auto"/>
        </w:rPr>
        <w:drawing>
          <wp:inline distT="0" distB="0" distL="0" distR="0">
            <wp:extent cx="702945" cy="11176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02945" cy="111760"/>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8" w:name="page39"/>
    <w:bookmarkEnd w:id="38"/>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b w:val="1"/>
          <w:bCs w:val="1"/>
          <w:color w:val="51555C"/>
        </w:rPr>
        <w:t>EXECUTIVE COMPENSATION</w:t>
      </w:r>
    </w:p>
    <w:p>
      <w:pPr>
        <w:spacing w:after="0" w:line="200" w:lineRule="exact"/>
        <w:rPr>
          <w:sz w:val="20"/>
          <w:szCs w:val="20"/>
          <w:color w:val="auto"/>
        </w:rPr>
      </w:pPr>
    </w:p>
    <w:p>
      <w:pPr>
        <w:spacing w:after="0" w:line="399" w:lineRule="exact"/>
        <w:rPr>
          <w:sz w:val="20"/>
          <w:szCs w:val="20"/>
          <w:color w:val="auto"/>
        </w:rPr>
      </w:pPr>
    </w:p>
    <w:p>
      <w:pPr>
        <w:ind w:left="500"/>
        <w:spacing w:after="0"/>
        <w:rPr>
          <w:sz w:val="20"/>
          <w:szCs w:val="20"/>
          <w:color w:val="auto"/>
        </w:rPr>
      </w:pPr>
      <w:r>
        <w:rPr>
          <w:rFonts w:ascii="Arial" w:cs="Arial" w:eastAsia="Arial" w:hAnsi="Arial"/>
          <w:sz w:val="18"/>
          <w:szCs w:val="18"/>
          <w:color w:val="51555C"/>
        </w:rPr>
        <w:t>45 of this Proxy Statement for more information;</w:t>
      </w:r>
    </w:p>
    <w:p>
      <w:pPr>
        <w:spacing w:after="0" w:line="27" w:lineRule="exact"/>
        <w:rPr>
          <w:sz w:val="20"/>
          <w:szCs w:val="20"/>
          <w:color w:val="auto"/>
        </w:rPr>
      </w:pPr>
    </w:p>
    <w:p>
      <w:pPr>
        <w:jc w:val="both"/>
        <w:ind w:left="500" w:hanging="168"/>
        <w:spacing w:after="0" w:line="250" w:lineRule="auto"/>
        <w:tabs>
          <w:tab w:leader="none" w:pos="469" w:val="left"/>
        </w:tabs>
        <w:numPr>
          <w:ilvl w:val="0"/>
          <w:numId w:val="40"/>
        </w:numPr>
        <w:rPr>
          <w:rFonts w:ascii="Arial" w:cs="Arial" w:eastAsia="Arial" w:hAnsi="Arial"/>
          <w:sz w:val="14"/>
          <w:szCs w:val="14"/>
          <w:color w:val="51555C"/>
        </w:rPr>
      </w:pPr>
      <w:r>
        <w:rPr>
          <w:rFonts w:ascii="Arial" w:cs="Arial" w:eastAsia="Arial" w:hAnsi="Arial"/>
          <w:sz w:val="18"/>
          <w:szCs w:val="18"/>
          <w:color w:val="51555C"/>
        </w:rPr>
        <w:t>Granted a one-time RSA (May 2025 Promotion LTI) to Mr. Anderson in recognition of his increased responsibilities due to his promotion to Executive Vice President and CFO. See the discussion of the May 2025 Promotion LTI beginning on page 44 for more information; and</w:t>
      </w:r>
    </w:p>
    <w:p>
      <w:pPr>
        <w:spacing w:after="0" w:line="1" w:lineRule="exact"/>
        <w:rPr>
          <w:rFonts w:ascii="Arial" w:cs="Arial" w:eastAsia="Arial" w:hAnsi="Arial"/>
          <w:sz w:val="14"/>
          <w:szCs w:val="14"/>
          <w:color w:val="51555C"/>
        </w:rPr>
      </w:pPr>
    </w:p>
    <w:p>
      <w:pPr>
        <w:jc w:val="both"/>
        <w:ind w:left="500" w:hanging="168"/>
        <w:spacing w:after="0" w:line="255" w:lineRule="auto"/>
        <w:tabs>
          <w:tab w:leader="none" w:pos="468" w:val="left"/>
        </w:tabs>
        <w:numPr>
          <w:ilvl w:val="0"/>
          <w:numId w:val="40"/>
        </w:numPr>
        <w:rPr>
          <w:rFonts w:ascii="Arial" w:cs="Arial" w:eastAsia="Arial" w:hAnsi="Arial"/>
          <w:sz w:val="18"/>
          <w:szCs w:val="18"/>
          <w:color w:val="51555C"/>
        </w:rPr>
      </w:pPr>
      <w:r>
        <w:rPr>
          <w:rFonts w:ascii="Arial" w:cs="Arial" w:eastAsia="Arial" w:hAnsi="Arial"/>
          <w:sz w:val="18"/>
          <w:szCs w:val="18"/>
          <w:color w:val="51555C"/>
        </w:rPr>
        <w:t>Determined, based on the Company's Rule of 40 performance in 2025, that 103.87% of the shares of our common stock subject to the 2024 LTI Three-year PRSUs based on the second of three one-year performance periods and 143.47% of the shares of our common stock subject to the 2023 LTI Three-year PRSUs based on the third of three one-year performance periods were earned and would vest in February 2026 subject to each NEO's continued employment as of each vesting date.</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51555C"/>
        </w:rPr>
        <w:t>Amended and Restated CEO Employment Agreement</w:t>
      </w:r>
    </w:p>
    <w:p>
      <w:pPr>
        <w:spacing w:after="0" w:line="27" w:lineRule="exact"/>
        <w:rPr>
          <w:sz w:val="20"/>
          <w:szCs w:val="20"/>
          <w:color w:val="auto"/>
        </w:rPr>
      </w:pPr>
    </w:p>
    <w:p>
      <w:pPr>
        <w:ind w:left="500" w:right="860" w:hanging="168"/>
        <w:spacing w:after="0" w:line="266" w:lineRule="auto"/>
        <w:tabs>
          <w:tab w:leader="none" w:pos="468" w:val="left"/>
        </w:tabs>
        <w:numPr>
          <w:ilvl w:val="0"/>
          <w:numId w:val="41"/>
        </w:numPr>
        <w:rPr>
          <w:rFonts w:ascii="Arial" w:cs="Arial" w:eastAsia="Arial" w:hAnsi="Arial"/>
          <w:sz w:val="18"/>
          <w:szCs w:val="18"/>
          <w:color w:val="51555C"/>
        </w:rPr>
      </w:pPr>
      <w:r>
        <w:rPr>
          <w:rFonts w:ascii="Arial" w:cs="Arial" w:eastAsia="Arial" w:hAnsi="Arial"/>
          <w:sz w:val="18"/>
          <w:szCs w:val="18"/>
          <w:color w:val="51555C"/>
        </w:rPr>
        <w:t>Entered into an amended and restated employment and noncompetition agreement with our CEO. For more information, see discussion beginning on page 62.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Stockholder Engagement and Consideration of Last Year's Say-on-Pay Vote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Throughout each year, we actively participate in a structured and regular stockholder engagement program. In addition to current topics of relevance (including our business performance and initiatives, strategy and capital allocation, Board composition and governance, and executive compensation), we invite stockholders to share their perspectives with our Board and management. Our goal is to be responsive to all of our stockholders and ensure we understand and address their concerns and observations. Stockholder feedback, including through direct engagement and annual voting results, is reported to the Board periodically throughout the year.</w:t>
      </w:r>
    </w:p>
    <w:p>
      <w:pPr>
        <w:spacing w:after="0" w:line="12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51555C"/>
        </w:rPr>
        <w:t>At the June 11, 2025 Annual Meeting of Stockholders, our stockholders approved, on an advisory basis, the 2024 compensation of our NEOs. Based on the vote tabulation method we have historically disclosed, approximately 74% of the shares present and entitled to vote supported our Say-on-Pay proposal. This percentage was meaningfully lower than our prior</w:t>
      </w:r>
      <w:r>
        <w:rPr>
          <w:rFonts w:ascii="MS PGothic" w:cs="MS PGothic" w:eastAsia="MS PGothic" w:hAnsi="MS PGothic"/>
          <w:sz w:val="18"/>
          <w:szCs w:val="18"/>
          <w:color w:val="51555C"/>
        </w:rPr>
        <w:t>‑</w:t>
      </w:r>
      <w:r>
        <w:rPr>
          <w:rFonts w:ascii="Arial" w:cs="Arial" w:eastAsia="Arial" w:hAnsi="Arial"/>
          <w:sz w:val="18"/>
          <w:szCs w:val="18"/>
          <w:color w:val="51555C"/>
        </w:rPr>
        <w:t>year result primarily due to an abstention by a single significant stockholder. Under the tabulation methodology used for this disclosure, abstentions are included in the denominator, and therefore have the effect of reducing the reported “for” percentage even when the number of “against” votes is not elevated. Consistent with voting in recent years, approximately 5% of the shares present and entitled to vote were voted “against” the 2024 compensation of our NEOs.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Consistent with our focus on understanding stockholder perspectives, following the 2025 Annual Meeting and in preparation for our fiscal 2026 executive compensation decisions, we actively engaged with our stockholders to discuss their views and any potential areas of concern with our business, including executive compensation. We reached out to stockholders representing approximately 91% of our outstanding shares as of the end of 2025, including many of our largest institutional holders, and we discussed topics that included: (i) pay-for-performance alignment, (ii) the structure and rigor of our incentive plans and performance goals, (iii) equity program design and share usage,</w:t>
      </w:r>
    </w:p>
    <w:p>
      <w:pPr>
        <w:spacing w:after="0" w:line="3" w:lineRule="exact"/>
        <w:rPr>
          <w:sz w:val="20"/>
          <w:szCs w:val="20"/>
          <w:color w:val="auto"/>
        </w:rPr>
      </w:pPr>
    </w:p>
    <w:p>
      <w:pPr>
        <w:jc w:val="both"/>
        <w:ind w:firstLine="8"/>
        <w:spacing w:after="0" w:line="258" w:lineRule="auto"/>
        <w:tabs>
          <w:tab w:leader="none" w:pos="307" w:val="left"/>
        </w:tabs>
        <w:numPr>
          <w:ilvl w:val="0"/>
          <w:numId w:val="42"/>
        </w:numPr>
        <w:rPr>
          <w:rFonts w:ascii="Arial" w:cs="Arial" w:eastAsia="Arial" w:hAnsi="Arial"/>
          <w:sz w:val="18"/>
          <w:szCs w:val="18"/>
          <w:color w:val="51555C"/>
        </w:rPr>
      </w:pPr>
      <w:r>
        <w:rPr>
          <w:rFonts w:ascii="Arial" w:cs="Arial" w:eastAsia="Arial" w:hAnsi="Arial"/>
          <w:sz w:val="18"/>
          <w:szCs w:val="18"/>
          <w:color w:val="51555C"/>
        </w:rPr>
        <w:t>governance and disclosure considerations, and (v) recent company performance and publicly disclosed long-term strategic and financial objectives. Feedback from these discussions, along with the annual meeting voting results, was shared with our Compensation Committee and the full Board.</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In addition to the feedback received, the Compensation Committee also considered the input and recommendations of its independent compensation consultant in evaluating our executive compensation program. Based on this assessment, the Compensation Committee determined that our executive compensation program continues to effectively align pay outcomes with performance and long-term stockholder value creation. We will continue to engage with our stockholders, including on executive compensation matters, and will consider their input in the ongoing evolution of our program and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219710</wp:posOffset>
            </wp:positionV>
            <wp:extent cx="702945" cy="1111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37</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39" w:name="page40"/>
    <w:bookmarkEnd w:id="39"/>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8"/>
          <w:szCs w:val="18"/>
          <w:b w:val="1"/>
          <w:bCs w:val="1"/>
          <w:color w:val="5155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Overview of Compensation Philosophy and Executive Compensation Program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1319" w:lineRule="exact"/>
        <w:rPr>
          <w:sz w:val="20"/>
          <w:szCs w:val="20"/>
          <w:color w:val="auto"/>
        </w:rPr>
      </w:pPr>
    </w:p>
    <w:p>
      <w:pPr>
        <w:sectPr>
          <w:pgSz w:w="11900" w:h="16838" w:orient="portrait"/>
          <w:cols w:equalWidth="0" w:num="2">
            <w:col w:w="9440" w:space="720"/>
            <w:col w:w="1100"/>
          </w:cols>
          <w:pgMar w:left="320" w:top="338" w:right="319" w:bottom="1440" w:gutter="0" w:footer="0" w:header="0"/>
        </w:sectPr>
      </w:pPr>
    </w:p>
    <w:p>
      <w:pPr>
        <w:ind w:right="20"/>
        <w:spacing w:after="0" w:line="263" w:lineRule="auto"/>
        <w:rPr>
          <w:sz w:val="20"/>
          <w:szCs w:val="20"/>
          <w:color w:val="auto"/>
        </w:rPr>
      </w:pPr>
      <w:r>
        <w:rPr>
          <w:rFonts w:ascii="Arial" w:cs="Arial" w:eastAsia="Arial" w:hAnsi="Arial"/>
          <w:sz w:val="18"/>
          <w:szCs w:val="18"/>
          <w:color w:val="51555C"/>
        </w:rPr>
        <w:t>We are committed to a philosophy of pay-for-performance as it relates to executive compensation. Our executive compensation program is designed to achieve three primary objectives:</w:t>
      </w:r>
    </w:p>
    <w:p>
      <w:pPr>
        <w:spacing w:after="0" w:line="1" w:lineRule="exact"/>
        <w:rPr>
          <w:sz w:val="20"/>
          <w:szCs w:val="20"/>
          <w:color w:val="auto"/>
        </w:rPr>
      </w:pPr>
    </w:p>
    <w:p>
      <w:pPr>
        <w:jc w:val="both"/>
        <w:ind w:left="620" w:right="1880" w:hanging="245"/>
        <w:spacing w:after="0" w:line="198" w:lineRule="auto"/>
        <w:rPr>
          <w:sz w:val="20"/>
          <w:szCs w:val="20"/>
          <w:color w:val="auto"/>
        </w:rPr>
      </w:pPr>
      <w:r>
        <w:rPr>
          <w:rFonts w:ascii="Arial" w:cs="Arial" w:eastAsia="Arial" w:hAnsi="Arial"/>
          <w:sz w:val="50"/>
          <w:szCs w:val="50"/>
          <w:b w:val="1"/>
          <w:bCs w:val="1"/>
          <w:color w:val="006880"/>
          <w:vertAlign w:val="subscript"/>
        </w:rPr>
        <w:t>1.</w:t>
      </w:r>
      <w:r>
        <w:rPr>
          <w:rFonts w:ascii="Arial" w:cs="Arial" w:eastAsia="Arial" w:hAnsi="Arial"/>
          <w:sz w:val="18"/>
          <w:szCs w:val="18"/>
          <w:b w:val="1"/>
          <w:bCs w:val="1"/>
          <w:color w:val="006880"/>
        </w:rPr>
        <w:t xml:space="preserve"> </w:t>
      </w:r>
      <w:r>
        <w:rPr>
          <w:rFonts w:ascii="Arial" w:cs="Arial" w:eastAsia="Arial" w:hAnsi="Arial"/>
          <w:sz w:val="18"/>
          <w:szCs w:val="18"/>
          <w:b w:val="1"/>
          <w:bCs w:val="1"/>
          <w:u w:val="single" w:color="auto"/>
          <w:color w:val="006880"/>
        </w:rPr>
        <w:t>Market Competitiveness.</w:t>
      </w:r>
      <w:r>
        <w:rPr>
          <w:rFonts w:ascii="Arial" w:cs="Arial" w:eastAsia="Arial" w:hAnsi="Arial"/>
          <w:sz w:val="18"/>
          <w:szCs w:val="18"/>
          <w:b w:val="1"/>
          <w:bCs w:val="1"/>
          <w:color w:val="006880"/>
        </w:rPr>
        <w:t xml:space="preserve"> </w:t>
      </w:r>
      <w:r>
        <w:rPr>
          <w:rFonts w:ascii="Arial" w:cs="Arial" w:eastAsia="Arial" w:hAnsi="Arial"/>
          <w:sz w:val="18"/>
          <w:szCs w:val="18"/>
          <w:color w:val="51555C"/>
        </w:rPr>
        <w:t>Provide market competitive compensation opportunities to attract and retain</w:t>
      </w:r>
      <w:r>
        <w:rPr>
          <w:rFonts w:ascii="Arial" w:cs="Arial" w:eastAsia="Arial" w:hAnsi="Arial"/>
          <w:sz w:val="18"/>
          <w:szCs w:val="18"/>
          <w:b w:val="1"/>
          <w:bCs w:val="1"/>
          <w:color w:val="006880"/>
        </w:rPr>
        <w:t xml:space="preserve"> </w:t>
      </w:r>
      <w:r>
        <w:rPr>
          <w:rFonts w:ascii="Arial" w:cs="Arial" w:eastAsia="Arial" w:hAnsi="Arial"/>
          <w:sz w:val="18"/>
          <w:szCs w:val="18"/>
          <w:color w:val="51555C"/>
        </w:rPr>
        <w:t>executive officers and motivate them to perform at their highest level.</w:t>
      </w:r>
    </w:p>
    <w:p>
      <w:pPr>
        <w:spacing w:after="0" w:line="3" w:lineRule="exact"/>
        <w:rPr>
          <w:sz w:val="20"/>
          <w:szCs w:val="20"/>
          <w:color w:val="auto"/>
        </w:rPr>
      </w:pPr>
    </w:p>
    <w:p>
      <w:pPr>
        <w:jc w:val="both"/>
        <w:ind w:left="620" w:right="1880" w:hanging="245"/>
        <w:spacing w:after="0" w:line="239" w:lineRule="auto"/>
        <w:rPr>
          <w:sz w:val="20"/>
          <w:szCs w:val="20"/>
          <w:color w:val="auto"/>
        </w:rPr>
      </w:pPr>
      <w:r>
        <w:rPr>
          <w:rFonts w:ascii="Arial" w:cs="Arial" w:eastAsia="Arial" w:hAnsi="Arial"/>
          <w:sz w:val="50"/>
          <w:szCs w:val="50"/>
          <w:b w:val="1"/>
          <w:bCs w:val="1"/>
          <w:color w:val="006880"/>
          <w:vertAlign w:val="subscript"/>
        </w:rPr>
        <w:t>2.</w:t>
      </w:r>
      <w:r>
        <w:rPr>
          <w:rFonts w:ascii="Arial" w:cs="Arial" w:eastAsia="Arial" w:hAnsi="Arial"/>
          <w:sz w:val="18"/>
          <w:szCs w:val="18"/>
          <w:b w:val="1"/>
          <w:bCs w:val="1"/>
          <w:color w:val="006880"/>
        </w:rPr>
        <w:t xml:space="preserve"> </w:t>
      </w:r>
      <w:r>
        <w:rPr>
          <w:rFonts w:ascii="Arial" w:cs="Arial" w:eastAsia="Arial" w:hAnsi="Arial"/>
          <w:sz w:val="18"/>
          <w:szCs w:val="18"/>
          <w:b w:val="1"/>
          <w:bCs w:val="1"/>
          <w:u w:val="single" w:color="auto"/>
          <w:color w:val="006880"/>
        </w:rPr>
        <w:t>Stockholder Value Creation.</w:t>
      </w:r>
      <w:r>
        <w:rPr>
          <w:rFonts w:ascii="Arial" w:cs="Arial" w:eastAsia="Arial" w:hAnsi="Arial"/>
          <w:sz w:val="18"/>
          <w:szCs w:val="18"/>
          <w:b w:val="1"/>
          <w:bCs w:val="1"/>
          <w:color w:val="006880"/>
        </w:rPr>
        <w:t xml:space="preserve"> </w:t>
      </w:r>
      <w:r>
        <w:rPr>
          <w:rFonts w:ascii="Arial" w:cs="Arial" w:eastAsia="Arial" w:hAnsi="Arial"/>
          <w:sz w:val="18"/>
          <w:szCs w:val="18"/>
          <w:color w:val="51555C"/>
        </w:rPr>
        <w:t>Structure compensation through base salary and a combination of</w:t>
      </w:r>
      <w:r>
        <w:rPr>
          <w:rFonts w:ascii="Arial" w:cs="Arial" w:eastAsia="Arial" w:hAnsi="Arial"/>
          <w:sz w:val="18"/>
          <w:szCs w:val="18"/>
          <w:b w:val="1"/>
          <w:bCs w:val="1"/>
          <w:color w:val="006880"/>
        </w:rPr>
        <w:t xml:space="preserve"> </w:t>
      </w:r>
      <w:r>
        <w:rPr>
          <w:rFonts w:ascii="Arial" w:cs="Arial" w:eastAsia="Arial" w:hAnsi="Arial"/>
          <w:sz w:val="18"/>
          <w:szCs w:val="18"/>
          <w:color w:val="51555C"/>
        </w:rPr>
        <w:t>performance-based and time-based equity awards, which we expect to ultimately promote increased value for our stockholders.</w:t>
      </w:r>
    </w:p>
    <w:p>
      <w:pPr>
        <w:spacing w:after="0" w:line="1" w:lineRule="exact"/>
        <w:rPr>
          <w:sz w:val="20"/>
          <w:szCs w:val="20"/>
          <w:color w:val="auto"/>
        </w:rPr>
      </w:pPr>
    </w:p>
    <w:p>
      <w:pPr>
        <w:jc w:val="both"/>
        <w:ind w:left="620" w:right="1880" w:hanging="245"/>
        <w:spacing w:after="0" w:line="235" w:lineRule="auto"/>
        <w:rPr>
          <w:sz w:val="20"/>
          <w:szCs w:val="20"/>
          <w:color w:val="auto"/>
        </w:rPr>
      </w:pPr>
      <w:r>
        <w:rPr>
          <w:rFonts w:ascii="Arial" w:cs="Arial" w:eastAsia="Arial" w:hAnsi="Arial"/>
          <w:sz w:val="50"/>
          <w:szCs w:val="50"/>
          <w:b w:val="1"/>
          <w:bCs w:val="1"/>
          <w:color w:val="006880"/>
          <w:vertAlign w:val="subscript"/>
        </w:rPr>
        <w:t>3.</w:t>
      </w:r>
      <w:r>
        <w:rPr>
          <w:rFonts w:ascii="Arial" w:cs="Arial" w:eastAsia="Arial" w:hAnsi="Arial"/>
          <w:sz w:val="18"/>
          <w:szCs w:val="18"/>
          <w:b w:val="1"/>
          <w:bCs w:val="1"/>
          <w:color w:val="006880"/>
        </w:rPr>
        <w:t xml:space="preserve"> </w:t>
      </w:r>
      <w:r>
        <w:rPr>
          <w:rFonts w:ascii="Arial" w:cs="Arial" w:eastAsia="Arial" w:hAnsi="Arial"/>
          <w:sz w:val="18"/>
          <w:szCs w:val="18"/>
          <w:b w:val="1"/>
          <w:bCs w:val="1"/>
          <w:u w:val="single" w:color="auto"/>
          <w:color w:val="006880"/>
        </w:rPr>
        <w:t>Pay-for-Performance.</w:t>
      </w:r>
      <w:r>
        <w:rPr>
          <w:rFonts w:ascii="Arial" w:cs="Arial" w:eastAsia="Arial" w:hAnsi="Arial"/>
          <w:sz w:val="18"/>
          <w:szCs w:val="18"/>
          <w:b w:val="1"/>
          <w:bCs w:val="1"/>
          <w:color w:val="006880"/>
        </w:rPr>
        <w:t xml:space="preserve"> </w:t>
      </w:r>
      <w:r>
        <w:rPr>
          <w:rFonts w:ascii="Arial" w:cs="Arial" w:eastAsia="Arial" w:hAnsi="Arial"/>
          <w:sz w:val="18"/>
          <w:szCs w:val="18"/>
          <w:color w:val="51555C"/>
        </w:rPr>
        <w:t>Ensure actual compensation realized by our executive officers is linked to the</w:t>
      </w:r>
      <w:r>
        <w:rPr>
          <w:rFonts w:ascii="Arial" w:cs="Arial" w:eastAsia="Arial" w:hAnsi="Arial"/>
          <w:sz w:val="18"/>
          <w:szCs w:val="18"/>
          <w:b w:val="1"/>
          <w:bCs w:val="1"/>
          <w:color w:val="006880"/>
        </w:rPr>
        <w:t xml:space="preserve"> </w:t>
      </w:r>
      <w:r>
        <w:rPr>
          <w:rFonts w:ascii="Arial" w:cs="Arial" w:eastAsia="Arial" w:hAnsi="Arial"/>
          <w:sz w:val="18"/>
          <w:szCs w:val="18"/>
          <w:color w:val="51555C"/>
        </w:rPr>
        <w:t>attainment and furtherance of our short-term and long-term business strategies thereby enhancing operational performance and stockholder return.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describes the components of our executive compensation program and how they support these objectives: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70" w:type="dxa"/>
            <w:vAlign w:val="bottom"/>
            <w:shd w:val="clear" w:color="auto" w:fill="004054"/>
          </w:tcPr>
          <w:p>
            <w:pPr>
              <w:spacing w:after="0"/>
              <w:rPr>
                <w:sz w:val="17"/>
                <w:szCs w:val="17"/>
                <w:color w:val="auto"/>
              </w:rPr>
            </w:pPr>
          </w:p>
        </w:tc>
        <w:tc>
          <w:tcPr>
            <w:tcW w:w="7210" w:type="dxa"/>
            <w:vAlign w:val="bottom"/>
            <w:shd w:val="clear" w:color="auto" w:fill="004054"/>
          </w:tcPr>
          <w:p>
            <w:pPr>
              <w:spacing w:after="0"/>
              <w:rPr>
                <w:sz w:val="17"/>
                <w:szCs w:val="17"/>
                <w:color w:val="auto"/>
              </w:rPr>
            </w:pPr>
          </w:p>
        </w:tc>
        <w:tc>
          <w:tcPr>
            <w:tcW w:w="136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Compensation</w:t>
            </w:r>
          </w:p>
        </w:tc>
        <w:tc>
          <w:tcPr>
            <w:tcW w:w="20" w:type="dxa"/>
            <w:vAlign w:val="bottom"/>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670" w:type="dxa"/>
            <w:vAlign w:val="bottom"/>
            <w:vMerge w:val="restart"/>
            <w:shd w:val="clear" w:color="auto" w:fill="004054"/>
          </w:tcPr>
          <w:p>
            <w:pPr>
              <w:ind w:left="40"/>
              <w:spacing w:after="0"/>
              <w:rPr>
                <w:sz w:val="20"/>
                <w:szCs w:val="20"/>
                <w:color w:val="auto"/>
              </w:rPr>
            </w:pPr>
            <w:r>
              <w:rPr>
                <w:rFonts w:ascii="Arial" w:cs="Arial" w:eastAsia="Arial" w:hAnsi="Arial"/>
                <w:sz w:val="14"/>
                <w:szCs w:val="14"/>
                <w:b w:val="1"/>
                <w:bCs w:val="1"/>
                <w:color w:val="FFFFFF"/>
              </w:rPr>
              <w:t>Component</w:t>
            </w:r>
          </w:p>
        </w:tc>
        <w:tc>
          <w:tcPr>
            <w:tcW w:w="7210" w:type="dxa"/>
            <w:vAlign w:val="bottom"/>
            <w:vMerge w:val="restart"/>
            <w:shd w:val="clear" w:color="auto" w:fill="004054"/>
          </w:tcPr>
          <w:p>
            <w:pPr>
              <w:ind w:left="30"/>
              <w:spacing w:after="0"/>
              <w:rPr>
                <w:sz w:val="20"/>
                <w:szCs w:val="20"/>
                <w:color w:val="auto"/>
              </w:rPr>
            </w:pPr>
            <w:r>
              <w:rPr>
                <w:rFonts w:ascii="Arial" w:cs="Arial" w:eastAsia="Arial" w:hAnsi="Arial"/>
                <w:sz w:val="14"/>
                <w:szCs w:val="14"/>
                <w:b w:val="1"/>
                <w:bCs w:val="1"/>
                <w:color w:val="FFFFFF"/>
              </w:rPr>
              <w:t>Description</w:t>
            </w:r>
          </w:p>
        </w:tc>
        <w:tc>
          <w:tcPr>
            <w:tcW w:w="136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Objective(s)</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670" w:type="dxa"/>
            <w:vAlign w:val="bottom"/>
            <w:vMerge w:val="continue"/>
            <w:shd w:val="clear" w:color="auto" w:fill="004054"/>
          </w:tcPr>
          <w:p>
            <w:pPr>
              <w:spacing w:after="0"/>
              <w:rPr>
                <w:sz w:val="18"/>
                <w:szCs w:val="18"/>
                <w:color w:val="auto"/>
              </w:rPr>
            </w:pPr>
          </w:p>
        </w:tc>
        <w:tc>
          <w:tcPr>
            <w:tcW w:w="7210" w:type="dxa"/>
            <w:vAlign w:val="bottom"/>
            <w:vMerge w:val="continue"/>
            <w:shd w:val="clear" w:color="auto" w:fill="004054"/>
          </w:tcPr>
          <w:p>
            <w:pPr>
              <w:spacing w:after="0"/>
              <w:rPr>
                <w:sz w:val="18"/>
                <w:szCs w:val="18"/>
                <w:color w:val="auto"/>
              </w:rPr>
            </w:pPr>
          </w:p>
        </w:tc>
        <w:tc>
          <w:tcPr>
            <w:tcW w:w="136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Supported</w:t>
            </w:r>
          </w:p>
        </w:tc>
        <w:tc>
          <w:tcPr>
            <w:tcW w:w="20" w:type="dxa"/>
            <w:vAlign w:val="bottom"/>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67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Base Salary</w:t>
            </w:r>
          </w:p>
        </w:tc>
        <w:tc>
          <w:tcPr>
            <w:tcW w:w="7210" w:type="dxa"/>
            <w:vAlign w:val="bottom"/>
            <w:shd w:val="clear" w:color="auto" w:fill="EBFBFF"/>
          </w:tcPr>
          <w:p>
            <w:pPr>
              <w:ind w:left="10"/>
              <w:spacing w:after="0"/>
              <w:rPr>
                <w:sz w:val="20"/>
                <w:szCs w:val="20"/>
                <w:color w:val="auto"/>
              </w:rPr>
            </w:pPr>
            <w:r>
              <w:rPr>
                <w:rFonts w:ascii="Arial" w:cs="Arial" w:eastAsia="Arial" w:hAnsi="Arial"/>
                <w:sz w:val="18"/>
                <w:szCs w:val="18"/>
                <w:color w:val="51555C"/>
              </w:rPr>
              <w:t>Provide competitive fixed compensation payable in cash based on individual experience</w:t>
            </w:r>
          </w:p>
        </w:tc>
        <w:tc>
          <w:tcPr>
            <w:tcW w:w="1360" w:type="dxa"/>
            <w:vAlign w:val="bottom"/>
            <w:vMerge w:val="restart"/>
            <w:shd w:val="clear" w:color="auto" w:fill="EBFBFF"/>
          </w:tcPr>
          <w:p>
            <w:pPr>
              <w:jc w:val="center"/>
              <w:spacing w:after="0"/>
              <w:rPr>
                <w:sz w:val="20"/>
                <w:szCs w:val="20"/>
                <w:color w:val="auto"/>
              </w:rPr>
            </w:pPr>
            <w:r>
              <w:rPr>
                <w:rFonts w:ascii="Arial" w:cs="Arial" w:eastAsia="Arial" w:hAnsi="Arial"/>
                <w:sz w:val="25"/>
                <w:szCs w:val="25"/>
                <w:b w:val="1"/>
                <w:bCs w:val="1"/>
                <w:color w:val="006880"/>
                <w:w w:val="96"/>
              </w:rPr>
              <w:t xml:space="preserve">1 </w:t>
            </w:r>
            <w:r>
              <w:rPr>
                <w:rFonts w:ascii="Arial" w:cs="Arial" w:eastAsia="Arial" w:hAnsi="Arial"/>
                <w:sz w:val="17"/>
                <w:szCs w:val="17"/>
                <w:color w:val="51555C"/>
                <w:w w:val="96"/>
              </w:rPr>
              <w:t>and</w:t>
            </w:r>
            <w:r>
              <w:rPr>
                <w:rFonts w:ascii="Arial" w:cs="Arial" w:eastAsia="Arial" w:hAnsi="Arial"/>
                <w:sz w:val="25"/>
                <w:szCs w:val="25"/>
                <w:b w:val="1"/>
                <w:bCs w:val="1"/>
                <w:color w:val="006880"/>
                <w:w w:val="96"/>
              </w:rPr>
              <w:t xml:space="preserve"> 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70" w:type="dxa"/>
            <w:vAlign w:val="bottom"/>
            <w:shd w:val="clear" w:color="auto" w:fill="EBFBFF"/>
          </w:tcPr>
          <w:p>
            <w:pPr>
              <w:spacing w:after="0"/>
              <w:rPr>
                <w:sz w:val="18"/>
                <w:szCs w:val="18"/>
                <w:color w:val="auto"/>
              </w:rPr>
            </w:pPr>
          </w:p>
        </w:tc>
        <w:tc>
          <w:tcPr>
            <w:tcW w:w="7210" w:type="dxa"/>
            <w:vAlign w:val="bottom"/>
            <w:shd w:val="clear" w:color="auto" w:fill="EBFBFF"/>
          </w:tcPr>
          <w:p>
            <w:pPr>
              <w:ind w:left="10"/>
              <w:spacing w:after="0"/>
              <w:rPr>
                <w:sz w:val="20"/>
                <w:szCs w:val="20"/>
                <w:color w:val="auto"/>
              </w:rPr>
            </w:pPr>
            <w:r>
              <w:rPr>
                <w:rFonts w:ascii="Arial" w:cs="Arial" w:eastAsia="Arial" w:hAnsi="Arial"/>
                <w:sz w:val="18"/>
                <w:szCs w:val="18"/>
                <w:color w:val="51555C"/>
              </w:rPr>
              <w:t>and contributions, historical compensation practices for our executive officers and an</w:t>
            </w:r>
          </w:p>
        </w:tc>
        <w:tc>
          <w:tcPr>
            <w:tcW w:w="1360" w:type="dxa"/>
            <w:vAlign w:val="bottom"/>
            <w:vMerge w:val="continue"/>
            <w:shd w:val="clear" w:color="auto" w:fill="EBFB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670" w:type="dxa"/>
            <w:vAlign w:val="bottom"/>
            <w:shd w:val="clear" w:color="auto" w:fill="EBFBFF"/>
          </w:tcPr>
          <w:p>
            <w:pPr>
              <w:spacing w:after="0"/>
              <w:rPr>
                <w:sz w:val="20"/>
                <w:szCs w:val="20"/>
                <w:color w:val="auto"/>
              </w:rPr>
            </w:pPr>
          </w:p>
        </w:tc>
        <w:tc>
          <w:tcPr>
            <w:tcW w:w="7210" w:type="dxa"/>
            <w:vAlign w:val="bottom"/>
            <w:shd w:val="clear" w:color="auto" w:fill="EBFBFF"/>
          </w:tcPr>
          <w:p>
            <w:pPr>
              <w:ind w:left="10"/>
              <w:spacing w:after="0"/>
              <w:rPr>
                <w:sz w:val="20"/>
                <w:szCs w:val="20"/>
                <w:color w:val="auto"/>
              </w:rPr>
            </w:pPr>
            <w:r>
              <w:rPr>
                <w:rFonts w:ascii="Arial" w:cs="Arial" w:eastAsia="Arial" w:hAnsi="Arial"/>
                <w:sz w:val="18"/>
                <w:szCs w:val="18"/>
                <w:color w:val="51555C"/>
              </w:rPr>
              <w:t>analysis of competitive market practices.</w:t>
            </w:r>
          </w:p>
        </w:tc>
        <w:tc>
          <w:tcPr>
            <w:tcW w:w="1360" w:type="dxa"/>
            <w:vAlign w:val="bottom"/>
            <w:shd w:val="clear" w:color="auto" w:fill="EBFB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670" w:type="dxa"/>
            <w:vAlign w:val="bottom"/>
            <w:shd w:val="clear" w:color="auto" w:fill="EBFBFF"/>
          </w:tcPr>
          <w:p>
            <w:pPr>
              <w:spacing w:after="0"/>
              <w:rPr>
                <w:sz w:val="2"/>
                <w:szCs w:val="2"/>
                <w:color w:val="auto"/>
              </w:rPr>
            </w:pPr>
          </w:p>
        </w:tc>
        <w:tc>
          <w:tcPr>
            <w:tcW w:w="7210" w:type="dxa"/>
            <w:vAlign w:val="bottom"/>
            <w:shd w:val="clear" w:color="auto" w:fill="EBFBFF"/>
          </w:tcPr>
          <w:p>
            <w:pPr>
              <w:spacing w:after="0"/>
              <w:rPr>
                <w:sz w:val="2"/>
                <w:szCs w:val="2"/>
                <w:color w:val="auto"/>
              </w:rPr>
            </w:pPr>
          </w:p>
        </w:tc>
        <w:tc>
          <w:tcPr>
            <w:tcW w:w="1360" w:type="dxa"/>
            <w:vAlign w:val="bottom"/>
            <w:shd w:val="clear" w:color="auto" w:fill="EBFB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ectPr>
          <w:pgSz w:w="11900" w:h="16838" w:orient="portrait"/>
          <w:cols w:equalWidth="0" w:num="1">
            <w:col w:w="11260"/>
          </w:cols>
          <w:pgMar w:left="320" w:top="338" w:right="319" w:bottom="1440" w:gutter="0" w:footer="0" w:header="0"/>
          <w:type w:val="continuous"/>
        </w:sectPr>
      </w:pPr>
    </w:p>
    <w:p>
      <w:pPr>
        <w:ind w:left="20"/>
        <w:spacing w:after="0"/>
        <w:tabs>
          <w:tab w:leader="none" w:pos="2660" w:val="left"/>
        </w:tabs>
        <w:rPr>
          <w:sz w:val="20"/>
          <w:szCs w:val="20"/>
          <w:color w:val="auto"/>
        </w:rPr>
      </w:pPr>
      <w:r>
        <w:rPr>
          <w:rFonts w:ascii="Arial" w:cs="Arial" w:eastAsia="Arial" w:hAnsi="Arial"/>
          <w:sz w:val="18"/>
          <w:szCs w:val="18"/>
          <w:b w:val="1"/>
          <w:bCs w:val="1"/>
          <w:color w:val="51555C"/>
        </w:rPr>
        <w:t>STI Compensation</w:t>
      </w:r>
      <w:r>
        <w:rPr>
          <w:sz w:val="20"/>
          <w:szCs w:val="20"/>
          <w:color w:val="auto"/>
        </w:rPr>
        <w:tab/>
      </w:r>
      <w:r>
        <w:rPr>
          <w:rFonts w:ascii="Arial" w:cs="Arial" w:eastAsia="Arial" w:hAnsi="Arial"/>
          <w:sz w:val="18"/>
          <w:szCs w:val="18"/>
          <w:color w:val="51555C"/>
        </w:rPr>
        <w:t>Provide variable short-term incentives consisting of PRSUs based on performance</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color w:val="51555C"/>
        </w:rPr>
        <w:t>against pre-established short-term corporate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7543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79" w:lineRule="exact"/>
        <w:rPr>
          <w:sz w:val="20"/>
          <w:szCs w:val="20"/>
          <w:color w:val="auto"/>
        </w:rPr>
      </w:pPr>
    </w:p>
    <w:p>
      <w:pPr>
        <w:ind w:left="20"/>
        <w:spacing w:after="0"/>
        <w:tabs>
          <w:tab w:leader="none" w:pos="2660" w:val="left"/>
        </w:tabs>
        <w:rPr>
          <w:sz w:val="20"/>
          <w:szCs w:val="20"/>
          <w:color w:val="auto"/>
        </w:rPr>
      </w:pPr>
      <w:r>
        <w:rPr>
          <w:rFonts w:ascii="Arial" w:cs="Arial" w:eastAsia="Arial" w:hAnsi="Arial"/>
          <w:sz w:val="18"/>
          <w:szCs w:val="18"/>
          <w:b w:val="1"/>
          <w:bCs w:val="1"/>
          <w:color w:val="51555C"/>
        </w:rPr>
        <w:t>LTI Compensation</w:t>
      </w:r>
      <w:r>
        <w:rPr>
          <w:sz w:val="20"/>
          <w:szCs w:val="20"/>
          <w:color w:val="auto"/>
        </w:rPr>
        <w:tab/>
      </w:r>
      <w:r>
        <w:rPr>
          <w:rFonts w:ascii="Arial" w:cs="Arial" w:eastAsia="Arial" w:hAnsi="Arial"/>
          <w:sz w:val="18"/>
          <w:szCs w:val="18"/>
          <w:color w:val="51555C"/>
        </w:rPr>
        <w:t>Provide variable long-term incentives aligned with stockholder interests consisting of a</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51555C"/>
        </w:rPr>
        <w:t>combination of 1) time-based RSAs or RSUs; and 2) at least 50% PRSUs that are based</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51555C"/>
        </w:rPr>
        <w:t>on separate performance metrics than the STI, and for which one half of the PRSU</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51555C"/>
        </w:rPr>
        <w:t>awards are measured over multi-year periods. Recipients of RSAs have the right to vote</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51555C"/>
        </w:rPr>
        <w:t>such shares.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center"/>
        <w:ind w:right="240"/>
        <w:spacing w:after="0"/>
        <w:rPr>
          <w:sz w:val="20"/>
          <w:szCs w:val="20"/>
          <w:color w:val="auto"/>
        </w:rPr>
      </w:pPr>
      <w:r>
        <w:rPr>
          <w:rFonts w:ascii="Arial" w:cs="Arial" w:eastAsia="Arial" w:hAnsi="Arial"/>
          <w:sz w:val="24"/>
          <w:szCs w:val="24"/>
          <w:b w:val="1"/>
          <w:bCs w:val="1"/>
          <w:color w:val="006880"/>
        </w:rPr>
        <w:t>1</w:t>
      </w:r>
      <w:r>
        <w:rPr>
          <w:rFonts w:ascii="Arial" w:cs="Arial" w:eastAsia="Arial" w:hAnsi="Arial"/>
          <w:sz w:val="16"/>
          <w:szCs w:val="16"/>
          <w:color w:val="51555C"/>
        </w:rPr>
        <w:t>,</w:t>
      </w:r>
      <w:r>
        <w:rPr>
          <w:rFonts w:ascii="Arial" w:cs="Arial" w:eastAsia="Arial" w:hAnsi="Arial"/>
          <w:sz w:val="24"/>
          <w:szCs w:val="24"/>
          <w:b w:val="1"/>
          <w:bCs w:val="1"/>
          <w:color w:val="006880"/>
        </w:rPr>
        <w:t xml:space="preserve"> 2 </w:t>
      </w:r>
      <w:r>
        <w:rPr>
          <w:rFonts w:ascii="Arial" w:cs="Arial" w:eastAsia="Arial" w:hAnsi="Arial"/>
          <w:sz w:val="16"/>
          <w:szCs w:val="16"/>
          <w:color w:val="51555C"/>
        </w:rPr>
        <w:t>and</w:t>
      </w:r>
      <w:r>
        <w:rPr>
          <w:rFonts w:ascii="Arial" w:cs="Arial" w:eastAsia="Arial" w:hAnsi="Arial"/>
          <w:sz w:val="24"/>
          <w:szCs w:val="24"/>
          <w:b w:val="1"/>
          <w:bCs w:val="1"/>
          <w:color w:val="006880"/>
        </w:rPr>
        <w:t xml:space="preserve"> 3</w:t>
      </w:r>
    </w:p>
    <w:p>
      <w:pPr>
        <w:spacing w:after="0" w:line="200" w:lineRule="exact"/>
        <w:rPr>
          <w:sz w:val="20"/>
          <w:szCs w:val="20"/>
          <w:color w:val="auto"/>
        </w:rPr>
      </w:pPr>
    </w:p>
    <w:p>
      <w:pPr>
        <w:spacing w:after="0" w:line="388" w:lineRule="exact"/>
        <w:rPr>
          <w:sz w:val="20"/>
          <w:szCs w:val="20"/>
          <w:color w:val="auto"/>
        </w:rPr>
      </w:pPr>
    </w:p>
    <w:p>
      <w:pPr>
        <w:jc w:val="center"/>
        <w:ind w:right="240"/>
        <w:spacing w:after="0"/>
        <w:rPr>
          <w:sz w:val="20"/>
          <w:szCs w:val="20"/>
          <w:color w:val="auto"/>
        </w:rPr>
      </w:pPr>
      <w:r>
        <w:rPr>
          <w:rFonts w:ascii="Arial" w:cs="Arial" w:eastAsia="Arial" w:hAnsi="Arial"/>
          <w:sz w:val="24"/>
          <w:szCs w:val="24"/>
          <w:b w:val="1"/>
          <w:bCs w:val="1"/>
          <w:color w:val="006880"/>
        </w:rPr>
        <w:t>1</w:t>
      </w:r>
      <w:r>
        <w:rPr>
          <w:rFonts w:ascii="Arial" w:cs="Arial" w:eastAsia="Arial" w:hAnsi="Arial"/>
          <w:sz w:val="16"/>
          <w:szCs w:val="16"/>
          <w:color w:val="51555C"/>
        </w:rPr>
        <w:t>,</w:t>
      </w:r>
      <w:r>
        <w:rPr>
          <w:rFonts w:ascii="Arial" w:cs="Arial" w:eastAsia="Arial" w:hAnsi="Arial"/>
          <w:sz w:val="24"/>
          <w:szCs w:val="24"/>
          <w:b w:val="1"/>
          <w:bCs w:val="1"/>
          <w:color w:val="006880"/>
        </w:rPr>
        <w:t xml:space="preserve"> 2 </w:t>
      </w:r>
      <w:r>
        <w:rPr>
          <w:rFonts w:ascii="Arial" w:cs="Arial" w:eastAsia="Arial" w:hAnsi="Arial"/>
          <w:sz w:val="16"/>
          <w:szCs w:val="16"/>
          <w:color w:val="51555C"/>
        </w:rPr>
        <w:t>and</w:t>
      </w:r>
      <w:r>
        <w:rPr>
          <w:rFonts w:ascii="Arial" w:cs="Arial" w:eastAsia="Arial" w:hAnsi="Arial"/>
          <w:sz w:val="24"/>
          <w:szCs w:val="24"/>
          <w:b w:val="1"/>
          <w:bCs w:val="1"/>
          <w:color w:val="006880"/>
        </w:rPr>
        <w:t xml:space="preserve"> 3</w:t>
      </w:r>
    </w:p>
    <w:p>
      <w:pPr>
        <w:spacing w:after="0" w:line="499" w:lineRule="exact"/>
        <w:rPr>
          <w:sz w:val="20"/>
          <w:szCs w:val="20"/>
          <w:color w:val="auto"/>
        </w:rPr>
      </w:pPr>
    </w:p>
    <w:p>
      <w:pPr>
        <w:sectPr>
          <w:pgSz w:w="11900" w:h="16838" w:orient="portrait"/>
          <w:cols w:equalWidth="0" w:num="2">
            <w:col w:w="9860" w:space="240"/>
            <w:col w:w="1160"/>
          </w:cols>
          <w:pgMar w:left="320" w:top="338" w:right="31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51555C"/>
        </w:rPr>
        <w:t>“Double-Trigger”</w:t>
      </w:r>
    </w:p>
    <w:p>
      <w:pPr>
        <w:spacing w:after="0" w:line="27" w:lineRule="exact"/>
        <w:rPr>
          <w:sz w:val="20"/>
          <w:szCs w:val="20"/>
          <w:color w:val="auto"/>
        </w:rPr>
      </w:pPr>
    </w:p>
    <w:p>
      <w:pPr>
        <w:ind w:left="20"/>
        <w:spacing w:after="0" w:line="275" w:lineRule="auto"/>
        <w:rPr>
          <w:sz w:val="20"/>
          <w:szCs w:val="20"/>
          <w:color w:val="auto"/>
        </w:rPr>
      </w:pPr>
      <w:r>
        <w:rPr>
          <w:rFonts w:ascii="Arial" w:cs="Arial" w:eastAsia="Arial" w:hAnsi="Arial"/>
          <w:sz w:val="18"/>
          <w:szCs w:val="18"/>
          <w:b w:val="1"/>
          <w:bCs w:val="1"/>
          <w:color w:val="51555C"/>
        </w:rPr>
        <w:t>Change in Control Severance Arrangements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Other Benefits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Provide change in control payments and benefits to our executive officers generally only upon a qualifying termination of employment within 12 months after a change in control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0</wp:posOffset>
            </wp:positionV>
            <wp:extent cx="7132320" cy="3429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Generally provide the same health and welfare benefits as offered to all of our full-time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-10160</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360"/>
        <w:spacing w:after="0"/>
        <w:rPr>
          <w:sz w:val="20"/>
          <w:szCs w:val="20"/>
          <w:color w:val="auto"/>
        </w:rPr>
      </w:pPr>
      <w:r>
        <w:rPr>
          <w:rFonts w:ascii="Arial" w:cs="Arial" w:eastAsia="Arial" w:hAnsi="Arial"/>
          <w:sz w:val="24"/>
          <w:szCs w:val="24"/>
          <w:b w:val="1"/>
          <w:bCs w:val="1"/>
          <w:color w:val="006880"/>
        </w:rPr>
        <w:t xml:space="preserve">1 </w:t>
      </w:r>
      <w:r>
        <w:rPr>
          <w:rFonts w:ascii="Arial" w:cs="Arial" w:eastAsia="Arial" w:hAnsi="Arial"/>
          <w:sz w:val="16"/>
          <w:szCs w:val="16"/>
          <w:color w:val="51555C"/>
        </w:rPr>
        <w:t>and</w:t>
      </w:r>
      <w:r>
        <w:rPr>
          <w:rFonts w:ascii="Arial" w:cs="Arial" w:eastAsia="Arial" w:hAnsi="Arial"/>
          <w:sz w:val="24"/>
          <w:szCs w:val="24"/>
          <w:b w:val="1"/>
          <w:bCs w:val="1"/>
          <w:color w:val="006880"/>
        </w:rPr>
        <w:t xml:space="preserve"> 2</w:t>
      </w:r>
    </w:p>
    <w:p>
      <w:pPr>
        <w:spacing w:after="0" w:line="372" w:lineRule="exact"/>
        <w:rPr>
          <w:sz w:val="20"/>
          <w:szCs w:val="20"/>
          <w:color w:val="auto"/>
        </w:rPr>
      </w:pPr>
    </w:p>
    <w:p>
      <w:pPr>
        <w:jc w:val="center"/>
        <w:ind w:right="360"/>
        <w:spacing w:after="0"/>
        <w:rPr>
          <w:sz w:val="20"/>
          <w:szCs w:val="20"/>
          <w:color w:val="auto"/>
        </w:rPr>
      </w:pPr>
      <w:r>
        <w:rPr>
          <w:rFonts w:ascii="Arial" w:cs="Arial" w:eastAsia="Arial" w:hAnsi="Arial"/>
          <w:sz w:val="25"/>
          <w:szCs w:val="25"/>
          <w:b w:val="1"/>
          <w:bCs w:val="1"/>
          <w:color w:val="006880"/>
        </w:rPr>
        <w:t>1</w:t>
      </w:r>
    </w:p>
    <w:p>
      <w:pPr>
        <w:spacing w:after="0" w:line="372" w:lineRule="exact"/>
        <w:rPr>
          <w:sz w:val="20"/>
          <w:szCs w:val="20"/>
          <w:color w:val="auto"/>
        </w:rPr>
      </w:pPr>
    </w:p>
    <w:p>
      <w:pPr>
        <w:sectPr>
          <w:pgSz w:w="11900" w:h="16838" w:orient="portrait"/>
          <w:cols w:equalWidth="0" w:num="3">
            <w:col w:w="2540" w:space="140"/>
            <w:col w:w="7180" w:space="360"/>
            <w:col w:w="1040"/>
          </w:cols>
          <w:pgMar w:left="320" w:top="338" w:right="31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2025 Corporate Governance Policies and Practices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51555C"/>
        </w:rPr>
        <w:t>During 2025, we maintained robust compensation-related corporate governance policies and practices including:</w:t>
      </w:r>
    </w:p>
    <w:p>
      <w:pPr>
        <w:spacing w:after="0" w:line="63" w:lineRule="exact"/>
        <w:rPr>
          <w:sz w:val="20"/>
          <w:szCs w:val="20"/>
          <w:color w:val="auto"/>
        </w:rPr>
      </w:pPr>
    </w:p>
    <w:p>
      <w:pPr>
        <w:ind w:left="460" w:hanging="128"/>
        <w:spacing w:after="0"/>
        <w:tabs>
          <w:tab w:leader="none" w:pos="460" w:val="left"/>
        </w:tabs>
        <w:numPr>
          <w:ilvl w:val="0"/>
          <w:numId w:val="43"/>
        </w:numPr>
        <w:rPr>
          <w:rFonts w:ascii="Arial" w:cs="Arial" w:eastAsia="Arial" w:hAnsi="Arial"/>
          <w:sz w:val="18"/>
          <w:szCs w:val="18"/>
          <w:color w:val="51555C"/>
        </w:rPr>
      </w:pPr>
      <w:r>
        <w:rPr>
          <w:rFonts w:ascii="Arial" w:cs="Arial" w:eastAsia="Arial" w:hAnsi="Arial"/>
          <w:sz w:val="18"/>
          <w:szCs w:val="18"/>
          <w:color w:val="51555C"/>
        </w:rPr>
        <w:t>The Compensation Committee is composed solely of independent directors;</w:t>
      </w:r>
    </w:p>
    <w:p>
      <w:pPr>
        <w:spacing w:after="0" w:line="63" w:lineRule="exact"/>
        <w:rPr>
          <w:rFonts w:ascii="Arial" w:cs="Arial" w:eastAsia="Arial" w:hAnsi="Arial"/>
          <w:sz w:val="18"/>
          <w:szCs w:val="18"/>
          <w:color w:val="51555C"/>
        </w:rPr>
      </w:pPr>
    </w:p>
    <w:p>
      <w:pPr>
        <w:ind w:left="500" w:right="20" w:hanging="168"/>
        <w:spacing w:after="0" w:line="281" w:lineRule="auto"/>
        <w:tabs>
          <w:tab w:leader="none" w:pos="468" w:val="left"/>
        </w:tabs>
        <w:numPr>
          <w:ilvl w:val="0"/>
          <w:numId w:val="43"/>
        </w:numPr>
        <w:rPr>
          <w:rFonts w:ascii="Arial" w:cs="Arial" w:eastAsia="Arial" w:hAnsi="Arial"/>
          <w:sz w:val="18"/>
          <w:szCs w:val="18"/>
          <w:color w:val="51555C"/>
        </w:rPr>
      </w:pPr>
      <w:r>
        <w:rPr>
          <w:rFonts w:ascii="Arial" w:cs="Arial" w:eastAsia="Arial" w:hAnsi="Arial"/>
          <w:sz w:val="18"/>
          <w:szCs w:val="18"/>
          <w:color w:val="51555C"/>
        </w:rPr>
        <w:t>The Compensation Committee retains its own independent compensation consultant that performs no other consulting or other services for us;</w:t>
      </w:r>
    </w:p>
    <w:p>
      <w:pPr>
        <w:spacing w:after="0" w:line="1" w:lineRule="exact"/>
        <w:rPr>
          <w:rFonts w:ascii="Arial" w:cs="Arial" w:eastAsia="Arial" w:hAnsi="Arial"/>
          <w:sz w:val="18"/>
          <w:szCs w:val="18"/>
          <w:color w:val="51555C"/>
        </w:rPr>
      </w:pPr>
    </w:p>
    <w:p>
      <w:pPr>
        <w:jc w:val="both"/>
        <w:ind w:left="500" w:right="20" w:hanging="168"/>
        <w:spacing w:after="0" w:line="268" w:lineRule="auto"/>
        <w:tabs>
          <w:tab w:leader="none" w:pos="468" w:val="left"/>
        </w:tabs>
        <w:numPr>
          <w:ilvl w:val="0"/>
          <w:numId w:val="43"/>
        </w:numPr>
        <w:rPr>
          <w:rFonts w:ascii="Arial" w:cs="Arial" w:eastAsia="Arial" w:hAnsi="Arial"/>
          <w:sz w:val="18"/>
          <w:szCs w:val="18"/>
          <w:color w:val="51555C"/>
        </w:rPr>
      </w:pPr>
      <w:r>
        <w:rPr>
          <w:rFonts w:ascii="Arial" w:cs="Arial" w:eastAsia="Arial" w:hAnsi="Arial"/>
          <w:sz w:val="18"/>
          <w:szCs w:val="18"/>
          <w:color w:val="51555C"/>
        </w:rPr>
        <w:t>The Compensation Committee conducts an annual review of our executive compensation program, including a review of our compensation-related risk profile, in an effort to ensure that any compensation-related risks are not reasonably likely to have a material adverse effect on our Company;</w:t>
      </w:r>
    </w:p>
    <w:p>
      <w:pPr>
        <w:spacing w:after="0" w:line="8" w:lineRule="exact"/>
        <w:rPr>
          <w:rFonts w:ascii="Arial" w:cs="Arial" w:eastAsia="Arial" w:hAnsi="Arial"/>
          <w:sz w:val="18"/>
          <w:szCs w:val="18"/>
          <w:color w:val="51555C"/>
        </w:rPr>
      </w:pPr>
    </w:p>
    <w:p>
      <w:pPr>
        <w:ind w:left="460" w:hanging="128"/>
        <w:spacing w:after="0"/>
        <w:tabs>
          <w:tab w:leader="none" w:pos="460" w:val="left"/>
        </w:tabs>
        <w:numPr>
          <w:ilvl w:val="0"/>
          <w:numId w:val="43"/>
        </w:numPr>
        <w:rPr>
          <w:rFonts w:ascii="Arial" w:cs="Arial" w:eastAsia="Arial" w:hAnsi="Arial"/>
          <w:sz w:val="18"/>
          <w:szCs w:val="18"/>
          <w:color w:val="51555C"/>
        </w:rPr>
      </w:pPr>
      <w:r>
        <w:rPr>
          <w:rFonts w:ascii="Arial" w:cs="Arial" w:eastAsia="Arial" w:hAnsi="Arial"/>
          <w:sz w:val="18"/>
          <w:szCs w:val="18"/>
          <w:color w:val="51555C"/>
        </w:rPr>
        <w:t>Our arrangements for paying post-employment compensation provide for “double-trigger” change in control payments and benefits;</w:t>
      </w:r>
    </w:p>
    <w:p>
      <w:pPr>
        <w:spacing w:after="0" w:line="63" w:lineRule="exact"/>
        <w:rPr>
          <w:rFonts w:ascii="Arial" w:cs="Arial" w:eastAsia="Arial" w:hAnsi="Arial"/>
          <w:sz w:val="18"/>
          <w:szCs w:val="18"/>
          <w:color w:val="51555C"/>
        </w:rPr>
      </w:pPr>
    </w:p>
    <w:p>
      <w:pPr>
        <w:ind w:left="500" w:right="40" w:hanging="168"/>
        <w:spacing w:after="0" w:line="281" w:lineRule="auto"/>
        <w:tabs>
          <w:tab w:leader="none" w:pos="468" w:val="left"/>
        </w:tabs>
        <w:numPr>
          <w:ilvl w:val="0"/>
          <w:numId w:val="43"/>
        </w:numPr>
        <w:rPr>
          <w:rFonts w:ascii="Arial" w:cs="Arial" w:eastAsia="Arial" w:hAnsi="Arial"/>
          <w:sz w:val="18"/>
          <w:szCs w:val="18"/>
          <w:color w:val="51555C"/>
        </w:rPr>
      </w:pPr>
      <w:r>
        <w:rPr>
          <w:rFonts w:ascii="Arial" w:cs="Arial" w:eastAsia="Arial" w:hAnsi="Arial"/>
          <w:sz w:val="18"/>
          <w:szCs w:val="18"/>
          <w:color w:val="51555C"/>
        </w:rPr>
        <w:t>We do not provide material non-cash benefits (such as guaranteed retirement or pension plan benefits) or perquisites for our executive officers that are not available to our employees generally;</w:t>
      </w:r>
    </w:p>
    <w:p>
      <w:pPr>
        <w:spacing w:after="0" w:line="1" w:lineRule="exact"/>
        <w:rPr>
          <w:rFonts w:ascii="Arial" w:cs="Arial" w:eastAsia="Arial" w:hAnsi="Arial"/>
          <w:sz w:val="18"/>
          <w:szCs w:val="18"/>
          <w:color w:val="51555C"/>
        </w:rPr>
      </w:pPr>
    </w:p>
    <w:p>
      <w:pPr>
        <w:ind w:left="500" w:right="20" w:hanging="168"/>
        <w:spacing w:after="0" w:line="281" w:lineRule="auto"/>
        <w:tabs>
          <w:tab w:leader="none" w:pos="468" w:val="left"/>
        </w:tabs>
        <w:numPr>
          <w:ilvl w:val="0"/>
          <w:numId w:val="43"/>
        </w:numPr>
        <w:rPr>
          <w:rFonts w:ascii="Arial" w:cs="Arial" w:eastAsia="Arial" w:hAnsi="Arial"/>
          <w:sz w:val="18"/>
          <w:szCs w:val="18"/>
          <w:color w:val="51555C"/>
        </w:rPr>
      </w:pPr>
      <w:r>
        <w:rPr>
          <w:rFonts w:ascii="Arial" w:cs="Arial" w:eastAsia="Arial" w:hAnsi="Arial"/>
          <w:sz w:val="18"/>
          <w:szCs w:val="18"/>
          <w:color w:val="51555C"/>
        </w:rPr>
        <w:t>Our current equity compensation plan, the 2016 Equity and Incentive Compensation Plan, does not permit stock option exchanges or repricing without stockholder approval;</w:t>
      </w:r>
    </w:p>
    <w:p>
      <w:pPr>
        <w:spacing w:after="0" w:line="1" w:lineRule="exact"/>
        <w:rPr>
          <w:rFonts w:ascii="Arial" w:cs="Arial" w:eastAsia="Arial" w:hAnsi="Arial"/>
          <w:sz w:val="18"/>
          <w:szCs w:val="18"/>
          <w:color w:val="51555C"/>
        </w:rPr>
      </w:pPr>
    </w:p>
    <w:p>
      <w:pPr>
        <w:ind w:left="500" w:right="40" w:hanging="168"/>
        <w:spacing w:after="0" w:line="287" w:lineRule="auto"/>
        <w:tabs>
          <w:tab w:leader="none" w:pos="468" w:val="left"/>
        </w:tabs>
        <w:numPr>
          <w:ilvl w:val="0"/>
          <w:numId w:val="43"/>
        </w:numPr>
        <w:rPr>
          <w:rFonts w:ascii="Arial" w:cs="Arial" w:eastAsia="Arial" w:hAnsi="Arial"/>
          <w:sz w:val="18"/>
          <w:szCs w:val="18"/>
          <w:color w:val="51555C"/>
        </w:rPr>
      </w:pPr>
      <w:r>
        <w:rPr>
          <w:rFonts w:ascii="Arial" w:cs="Arial" w:eastAsia="Arial" w:hAnsi="Arial"/>
          <w:sz w:val="18"/>
          <w:szCs w:val="18"/>
          <w:color w:val="51555C"/>
        </w:rPr>
        <w:t>Our officers, directors and all employees of, and consultants to, the Company and its subsidiaries who receive or have access to material, nonpublic information regarding the Company are not permitted to hedge their economic exposure to</w:t>
      </w:r>
    </w:p>
    <w:p>
      <w:pPr>
        <w:spacing w:after="0" w:line="310"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38</w:t>
      </w:r>
      <w:r>
        <w:rPr>
          <w:sz w:val="20"/>
          <w:szCs w:val="20"/>
          <w:color w:val="auto"/>
        </w:rPr>
        <w:tab/>
      </w:r>
      <w:r>
        <w:rPr>
          <w:sz w:val="1"/>
          <w:szCs w:val="1"/>
          <w:color w:val="auto"/>
        </w:rPr>
        <w:drawing>
          <wp:inline distT="0" distB="0" distL="0" distR="0">
            <wp:extent cx="702945" cy="111125"/>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40" w:name="page41"/>
    <w:bookmarkEnd w:id="40"/>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b w:val="1"/>
          <w:bCs w:val="1"/>
          <w:color w:val="5155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51555C"/>
        </w:rPr>
        <w:t>our common stock, including without limitation by way of prepaid variable forward contracts, equity swaps, collars, exchange funds or other types of instruments, and our directors and Section 16(a) reporting officers may not pledge their ownership interests in our common stock to secure a loan; and</w:t>
      </w:r>
    </w:p>
    <w:p>
      <w:pPr>
        <w:spacing w:after="0" w:line="9" w:lineRule="exact"/>
        <w:rPr>
          <w:sz w:val="20"/>
          <w:szCs w:val="20"/>
          <w:color w:val="auto"/>
        </w:rPr>
      </w:pPr>
    </w:p>
    <w:p>
      <w:pPr>
        <w:jc w:val="both"/>
        <w:ind w:left="500" w:hanging="168"/>
        <w:spacing w:after="0" w:line="268" w:lineRule="auto"/>
        <w:tabs>
          <w:tab w:leader="none" w:pos="468" w:val="left"/>
        </w:tabs>
        <w:numPr>
          <w:ilvl w:val="0"/>
          <w:numId w:val="44"/>
        </w:numPr>
        <w:rPr>
          <w:rFonts w:ascii="Arial" w:cs="Arial" w:eastAsia="Arial" w:hAnsi="Arial"/>
          <w:sz w:val="18"/>
          <w:szCs w:val="18"/>
          <w:color w:val="51555C"/>
        </w:rPr>
      </w:pPr>
      <w:r>
        <w:rPr>
          <w:rFonts w:ascii="Arial" w:cs="Arial" w:eastAsia="Arial" w:hAnsi="Arial"/>
          <w:sz w:val="18"/>
          <w:szCs w:val="18"/>
          <w:color w:val="51555C"/>
        </w:rPr>
        <w:t>We emphasized performance-based compensation by continuing the practice of granting PRSUs to our NEOs that are earned through the attainment of pre-established performance objectives, and, when earned, are subject to additional time-based vesting requirements.</w:t>
      </w:r>
    </w:p>
    <w:p>
      <w:pPr>
        <w:spacing w:after="0" w:line="39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Executive Compensation-Setting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The Compensation Committee works closely with its independent compensation consultant and senior management to address executive compensation matters throughout the year. The Compensation Committee met five times in 2025. During these meetings, the Compensation Committee reviewed our executive compensation program, formulated its compensation actions for the year and made decisions regarding the compensation for our CEO and the other NEOs. The Compensation Committee may create a subcommittee consisting of one or more of its members and may delegate any of its duties and responsibilities to such subcommittee, unless otherwise prohibited by applicable laws or listing standards. In addition, the Compensation Committee may delegate any of its duties and responsibilities, including the administration of equity incentive or employee benefit plans, to the Compensation Committee Chair, unless otherwise prohibited by applicable laws or listing standards.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The Compensation Committee does not seek to deliver a specified percentage of pay to our executive officers through each component of the executive compensation program; rather, it aims to adhere to the overall principle of delivering approximately one-half of executive compensation in variable, performance-based forms. For base salary, STI compensation and LTI compensation, generally our strategy has been to evaluate individual experience and contribution, corporate performance, historical compensation practices for our executive officers and competitive market analyses. With respect to base salary and STI compensation, we generally target pay to be competitive to the market. At times, the Compensation Committee has approved compensation levels for individual executive officers above and below target pay positions, based on experience, individual contribution and the Company's performance relative to the compensation peer group, in an effort to structure an appropriate pay-for-performance alignment.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Role of the Compensation Committee</w:t>
      </w:r>
    </w:p>
    <w:p>
      <w:pPr>
        <w:spacing w:after="0" w:line="169"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color w:val="51555C"/>
        </w:rPr>
        <w:t>The Compensation Committee has overall responsibility for our executive compensation program and approves our executive compensation decisions. Its principal duties and responsibilities include:</w:t>
      </w:r>
    </w:p>
    <w:p>
      <w:pPr>
        <w:spacing w:after="0" w:line="1" w:lineRule="exact"/>
        <w:rPr>
          <w:sz w:val="20"/>
          <w:szCs w:val="20"/>
          <w:color w:val="auto"/>
        </w:rPr>
      </w:pPr>
    </w:p>
    <w:p>
      <w:pPr>
        <w:ind w:left="500" w:hanging="168"/>
        <w:spacing w:after="0" w:line="281" w:lineRule="auto"/>
        <w:tabs>
          <w:tab w:leader="none" w:pos="468" w:val="left"/>
        </w:tabs>
        <w:numPr>
          <w:ilvl w:val="0"/>
          <w:numId w:val="45"/>
        </w:numPr>
        <w:rPr>
          <w:rFonts w:ascii="Arial" w:cs="Arial" w:eastAsia="Arial" w:hAnsi="Arial"/>
          <w:sz w:val="18"/>
          <w:szCs w:val="18"/>
          <w:color w:val="51555C"/>
        </w:rPr>
      </w:pPr>
      <w:r>
        <w:rPr>
          <w:rFonts w:ascii="Arial" w:cs="Arial" w:eastAsia="Arial" w:hAnsi="Arial"/>
          <w:sz w:val="18"/>
          <w:szCs w:val="18"/>
          <w:color w:val="51555C"/>
        </w:rPr>
        <w:t>Establishing our compensation philosophy, policies and practices for our executive officers, including the compensation objectives and target pay levels, and approving the compensation peer group used for assessing the competitiveness of our executive compensation;</w:t>
      </w:r>
    </w:p>
    <w:p>
      <w:pPr>
        <w:spacing w:after="0" w:line="1" w:lineRule="exact"/>
        <w:rPr>
          <w:rFonts w:ascii="Arial" w:cs="Arial" w:eastAsia="Arial" w:hAnsi="Arial"/>
          <w:sz w:val="18"/>
          <w:szCs w:val="18"/>
          <w:color w:val="51555C"/>
        </w:rPr>
      </w:pPr>
    </w:p>
    <w:p>
      <w:pPr>
        <w:ind w:left="500" w:hanging="168"/>
        <w:spacing w:after="0" w:line="281" w:lineRule="auto"/>
        <w:tabs>
          <w:tab w:leader="none" w:pos="468" w:val="left"/>
        </w:tabs>
        <w:numPr>
          <w:ilvl w:val="0"/>
          <w:numId w:val="45"/>
        </w:numPr>
        <w:rPr>
          <w:rFonts w:ascii="Arial" w:cs="Arial" w:eastAsia="Arial" w:hAnsi="Arial"/>
          <w:sz w:val="18"/>
          <w:szCs w:val="18"/>
          <w:color w:val="51555C"/>
        </w:rPr>
      </w:pPr>
      <w:r>
        <w:rPr>
          <w:rFonts w:ascii="Arial" w:cs="Arial" w:eastAsia="Arial" w:hAnsi="Arial"/>
          <w:sz w:val="18"/>
          <w:szCs w:val="18"/>
          <w:color w:val="51555C"/>
        </w:rPr>
        <w:t>Establishing and approving corporate goals and objectives relevant to the compensation of our CEO and, in light of those goals and objectives, evaluating and determining his compensation level;</w:t>
      </w:r>
    </w:p>
    <w:p>
      <w:pPr>
        <w:spacing w:after="0" w:line="1" w:lineRule="exact"/>
        <w:rPr>
          <w:rFonts w:ascii="Arial" w:cs="Arial" w:eastAsia="Arial" w:hAnsi="Arial"/>
          <w:sz w:val="18"/>
          <w:szCs w:val="18"/>
          <w:color w:val="51555C"/>
        </w:rPr>
      </w:pPr>
    </w:p>
    <w:p>
      <w:pPr>
        <w:jc w:val="both"/>
        <w:ind w:left="500" w:hanging="168"/>
        <w:spacing w:after="0" w:line="268" w:lineRule="auto"/>
        <w:tabs>
          <w:tab w:leader="none" w:pos="468" w:val="left"/>
        </w:tabs>
        <w:numPr>
          <w:ilvl w:val="0"/>
          <w:numId w:val="45"/>
        </w:numPr>
        <w:rPr>
          <w:rFonts w:ascii="Arial" w:cs="Arial" w:eastAsia="Arial" w:hAnsi="Arial"/>
          <w:sz w:val="18"/>
          <w:szCs w:val="18"/>
          <w:color w:val="51555C"/>
        </w:rPr>
      </w:pPr>
      <w:r>
        <w:rPr>
          <w:rFonts w:ascii="Arial" w:cs="Arial" w:eastAsia="Arial" w:hAnsi="Arial"/>
          <w:sz w:val="18"/>
          <w:szCs w:val="18"/>
          <w:color w:val="51555C"/>
        </w:rPr>
        <w:t>Reviewing and overseeing the corporate goals and objectives relevant to the compensation of our other executive officers, including the other NEOs, taking into account the practices of the compensation peer group and other appropriate factors, such as corporate and individual performance and historical compensation practices for such executive officers and the recommendations of our CEO;</w:t>
      </w:r>
    </w:p>
    <w:p>
      <w:pPr>
        <w:spacing w:after="0" w:line="8" w:lineRule="exact"/>
        <w:rPr>
          <w:rFonts w:ascii="Arial" w:cs="Arial" w:eastAsia="Arial" w:hAnsi="Arial"/>
          <w:sz w:val="18"/>
          <w:szCs w:val="18"/>
          <w:color w:val="51555C"/>
        </w:rPr>
      </w:pPr>
    </w:p>
    <w:p>
      <w:pPr>
        <w:ind w:left="460" w:hanging="128"/>
        <w:spacing w:after="0"/>
        <w:tabs>
          <w:tab w:leader="none" w:pos="460" w:val="left"/>
        </w:tabs>
        <w:numPr>
          <w:ilvl w:val="0"/>
          <w:numId w:val="45"/>
        </w:numPr>
        <w:rPr>
          <w:rFonts w:ascii="Arial" w:cs="Arial" w:eastAsia="Arial" w:hAnsi="Arial"/>
          <w:sz w:val="18"/>
          <w:szCs w:val="18"/>
          <w:color w:val="51555C"/>
        </w:rPr>
      </w:pPr>
      <w:r>
        <w:rPr>
          <w:rFonts w:ascii="Arial" w:cs="Arial" w:eastAsia="Arial" w:hAnsi="Arial"/>
          <w:sz w:val="18"/>
          <w:szCs w:val="18"/>
          <w:color w:val="51555C"/>
        </w:rPr>
        <w:t>Establishing appropriate compensation, retention, incentive, severance and benefit policies and programs for our executive officers;</w:t>
      </w:r>
    </w:p>
    <w:p>
      <w:pPr>
        <w:spacing w:after="0" w:line="63" w:lineRule="exact"/>
        <w:rPr>
          <w:rFonts w:ascii="Arial" w:cs="Arial" w:eastAsia="Arial" w:hAnsi="Arial"/>
          <w:sz w:val="18"/>
          <w:szCs w:val="18"/>
          <w:color w:val="51555C"/>
        </w:rPr>
      </w:pPr>
    </w:p>
    <w:p>
      <w:pPr>
        <w:ind w:left="500" w:right="20" w:hanging="168"/>
        <w:spacing w:after="0" w:line="281" w:lineRule="auto"/>
        <w:tabs>
          <w:tab w:leader="none" w:pos="468" w:val="left"/>
        </w:tabs>
        <w:numPr>
          <w:ilvl w:val="0"/>
          <w:numId w:val="45"/>
        </w:numPr>
        <w:rPr>
          <w:rFonts w:ascii="Arial" w:cs="Arial" w:eastAsia="Arial" w:hAnsi="Arial"/>
          <w:sz w:val="18"/>
          <w:szCs w:val="18"/>
          <w:color w:val="51555C"/>
        </w:rPr>
      </w:pPr>
      <w:r>
        <w:rPr>
          <w:rFonts w:ascii="Arial" w:cs="Arial" w:eastAsia="Arial" w:hAnsi="Arial"/>
          <w:sz w:val="18"/>
          <w:szCs w:val="18"/>
          <w:color w:val="51555C"/>
        </w:rPr>
        <w:t>Reviewing and recommending, with input from the Board of Directors, incentive compensation plans for our executive officers and employees;</w:t>
      </w:r>
    </w:p>
    <w:p>
      <w:pPr>
        <w:spacing w:after="0" w:line="1" w:lineRule="exact"/>
        <w:rPr>
          <w:rFonts w:ascii="Arial" w:cs="Arial" w:eastAsia="Arial" w:hAnsi="Arial"/>
          <w:sz w:val="18"/>
          <w:szCs w:val="18"/>
          <w:color w:val="51555C"/>
        </w:rPr>
      </w:pPr>
    </w:p>
    <w:p>
      <w:pPr>
        <w:ind w:left="460" w:hanging="128"/>
        <w:spacing w:after="0"/>
        <w:tabs>
          <w:tab w:leader="none" w:pos="460" w:val="left"/>
        </w:tabs>
        <w:numPr>
          <w:ilvl w:val="0"/>
          <w:numId w:val="45"/>
        </w:numPr>
        <w:rPr>
          <w:rFonts w:ascii="Arial" w:cs="Arial" w:eastAsia="Arial" w:hAnsi="Arial"/>
          <w:sz w:val="18"/>
          <w:szCs w:val="18"/>
          <w:color w:val="51555C"/>
        </w:rPr>
      </w:pPr>
      <w:r>
        <w:rPr>
          <w:rFonts w:ascii="Arial" w:cs="Arial" w:eastAsia="Arial" w:hAnsi="Arial"/>
          <w:sz w:val="18"/>
          <w:szCs w:val="18"/>
          <w:color w:val="51555C"/>
        </w:rPr>
        <w:t>Administering and amending as necessary the Company's various incentive compensation and other similar plans; and</w:t>
      </w:r>
    </w:p>
    <w:p>
      <w:pPr>
        <w:spacing w:after="0" w:line="63" w:lineRule="exact"/>
        <w:rPr>
          <w:rFonts w:ascii="Arial" w:cs="Arial" w:eastAsia="Arial" w:hAnsi="Arial"/>
          <w:sz w:val="18"/>
          <w:szCs w:val="18"/>
          <w:color w:val="51555C"/>
        </w:rPr>
      </w:pPr>
    </w:p>
    <w:p>
      <w:pPr>
        <w:ind w:left="460" w:hanging="128"/>
        <w:spacing w:after="0"/>
        <w:tabs>
          <w:tab w:leader="none" w:pos="460" w:val="left"/>
        </w:tabs>
        <w:numPr>
          <w:ilvl w:val="0"/>
          <w:numId w:val="45"/>
        </w:numPr>
        <w:rPr>
          <w:rFonts w:ascii="Arial" w:cs="Arial" w:eastAsia="Arial" w:hAnsi="Arial"/>
          <w:sz w:val="18"/>
          <w:szCs w:val="18"/>
          <w:color w:val="51555C"/>
        </w:rPr>
      </w:pPr>
      <w:r>
        <w:rPr>
          <w:rFonts w:ascii="Arial" w:cs="Arial" w:eastAsia="Arial" w:hAnsi="Arial"/>
          <w:sz w:val="18"/>
          <w:szCs w:val="18"/>
          <w:color w:val="51555C"/>
        </w:rPr>
        <w:t>Conducting periodic competitive evaluations of our executive compensation program.</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 xml:space="preserve">Our Compensation Committee operates pursuant to a written charter that further outlines its specific authority, duties and responsibilities. The charter is periodically reviewed and revised by the Compensation Committee and the Board and is available under </w:t>
      </w:r>
      <w:r>
        <w:rPr>
          <w:rFonts w:ascii="Arial" w:cs="Arial" w:eastAsia="Arial" w:hAnsi="Arial"/>
          <w:sz w:val="18"/>
          <w:szCs w:val="18"/>
          <w:i w:val="1"/>
          <w:iCs w:val="1"/>
          <w:color w:val="51555C"/>
        </w:rPr>
        <w:t>Corporate</w:t>
      </w:r>
      <w:r>
        <w:rPr>
          <w:rFonts w:ascii="Arial" w:cs="Arial" w:eastAsia="Arial" w:hAnsi="Arial"/>
          <w:sz w:val="18"/>
          <w:szCs w:val="18"/>
          <w:color w:val="51555C"/>
        </w:rPr>
        <w:t xml:space="preserve"> </w:t>
      </w:r>
      <w:r>
        <w:rPr>
          <w:rFonts w:ascii="Arial" w:cs="Arial" w:eastAsia="Arial" w:hAnsi="Arial"/>
          <w:sz w:val="18"/>
          <w:szCs w:val="18"/>
          <w:i w:val="1"/>
          <w:iCs w:val="1"/>
          <w:color w:val="51555C"/>
        </w:rPr>
        <w:t xml:space="preserve">Governance </w:t>
      </w:r>
      <w:r>
        <w:rPr>
          <w:rFonts w:ascii="Arial" w:cs="Arial" w:eastAsia="Arial" w:hAnsi="Arial"/>
          <w:sz w:val="18"/>
          <w:szCs w:val="18"/>
          <w:color w:val="51555C"/>
        </w:rPr>
        <w:t>in the</w:t>
      </w:r>
      <w:r>
        <w:rPr>
          <w:rFonts w:ascii="Arial" w:cs="Arial" w:eastAsia="Arial" w:hAnsi="Arial"/>
          <w:sz w:val="18"/>
          <w:szCs w:val="18"/>
          <w:i w:val="1"/>
          <w:iCs w:val="1"/>
          <w:color w:val="51555C"/>
        </w:rPr>
        <w:t xml:space="preserve"> Company – Investor Relations </w:t>
      </w:r>
      <w:r>
        <w:rPr>
          <w:rFonts w:ascii="Arial" w:cs="Arial" w:eastAsia="Arial" w:hAnsi="Arial"/>
          <w:sz w:val="18"/>
          <w:szCs w:val="18"/>
          <w:color w:val="51555C"/>
        </w:rPr>
        <w:t>section of our website at</w:t>
      </w:r>
      <w:r>
        <w:rPr>
          <w:rFonts w:ascii="Arial" w:cs="Arial" w:eastAsia="Arial" w:hAnsi="Arial"/>
          <w:sz w:val="18"/>
          <w:szCs w:val="18"/>
          <w:i w:val="1"/>
          <w:iCs w:val="1"/>
          <w:color w:val="51555C"/>
        </w:rPr>
        <w:t xml:space="preserve"> </w:t>
      </w:r>
      <w:r>
        <w:rPr>
          <w:rFonts w:ascii="Arial" w:cs="Arial" w:eastAsia="Arial" w:hAnsi="Arial"/>
          <w:sz w:val="18"/>
          <w:szCs w:val="18"/>
          <w:b w:val="1"/>
          <w:bCs w:val="1"/>
          <w:u w:val="single" w:color="auto"/>
          <w:color w:val="51555C"/>
        </w:rPr>
        <w:t>www.blackbaud.com</w:t>
      </w:r>
      <w:r>
        <w:rPr>
          <w:rFonts w:ascii="Arial" w:cs="Arial" w:eastAsia="Arial" w:hAnsi="Arial"/>
          <w:sz w:val="18"/>
          <w:szCs w:val="18"/>
          <w:color w:val="51555C"/>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Role of our CEO</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Our CEO evaluates and makes recommendations regarding the compensation of our other executive officers, including the other NEOs. At the end of each fiscal year, our CEO reviews with the Compensation Committee the performance of each executive officer and makes recommendations with respect to such officer's base salary, target annual STI opportunity and LTI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214630</wp:posOffset>
            </wp:positionV>
            <wp:extent cx="702945" cy="1111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39</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41" w:name="page42"/>
    <w:bookmarkEnd w:id="41"/>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EXECUTIVE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awards for the ensuing year. In formulating his recommendations, our CEO considers both internal and external compensation data from our People and Culture Department and the Compensation Committee's independent compensation consultant. While the Compensation Committee considers the recommendations of our CEO, these recommendations are just one factor considered in its deliberations when making executive compensation decisions. The Compensation Committee consults with the full Board of Directors (excluding our CEO) in making decisions regarding our CEO's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Role of Compensation Consultant</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Pursuant to its written charter, the Compensation Committee has the authority to engage the services of outside advisors, experts and others to assist it in the performance of its duties and responsibilities. In 2025, the Compensation Committee engaged Compensia, Inc. ("Compensia"), a national compensation consulting firm, to provide support and information relating to executive and director compensation. Compensia reports to the Compensation Committee and does not provide any additional services to management. From time to time, the Compensation Committee may direct its advisors to work with our People and Culture Department to support it in matters relating to the fulfillment of its charter.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51555C"/>
        </w:rPr>
        <w:t>During 2025, at the request and on behalf of our Compensation Committee, Compensia:</w:t>
      </w:r>
    </w:p>
    <w:p>
      <w:pPr>
        <w:spacing w:after="0" w:line="63" w:lineRule="exact"/>
        <w:rPr>
          <w:sz w:val="20"/>
          <w:szCs w:val="20"/>
          <w:color w:val="auto"/>
        </w:rPr>
      </w:pPr>
    </w:p>
    <w:p>
      <w:pPr>
        <w:ind w:left="460" w:hanging="128"/>
        <w:spacing w:after="0"/>
        <w:tabs>
          <w:tab w:leader="none" w:pos="460" w:val="left"/>
        </w:tabs>
        <w:numPr>
          <w:ilvl w:val="0"/>
          <w:numId w:val="46"/>
        </w:numPr>
        <w:rPr>
          <w:rFonts w:ascii="Arial" w:cs="Arial" w:eastAsia="Arial" w:hAnsi="Arial"/>
          <w:sz w:val="18"/>
          <w:szCs w:val="18"/>
          <w:color w:val="51555C"/>
        </w:rPr>
      </w:pPr>
      <w:r>
        <w:rPr>
          <w:rFonts w:ascii="Arial" w:cs="Arial" w:eastAsia="Arial" w:hAnsi="Arial"/>
          <w:sz w:val="18"/>
          <w:szCs w:val="18"/>
          <w:color w:val="51555C"/>
        </w:rPr>
        <w:t>Assessed our executive compensation program, policies and practices, particularly with respect to our pay-for-performance alignment;</w:t>
      </w:r>
    </w:p>
    <w:p>
      <w:pPr>
        <w:spacing w:after="0" w:line="63" w:lineRule="exact"/>
        <w:rPr>
          <w:rFonts w:ascii="Arial" w:cs="Arial" w:eastAsia="Arial" w:hAnsi="Arial"/>
          <w:sz w:val="18"/>
          <w:szCs w:val="18"/>
          <w:color w:val="51555C"/>
        </w:rPr>
      </w:pPr>
    </w:p>
    <w:p>
      <w:pPr>
        <w:ind w:left="460" w:hanging="128"/>
        <w:spacing w:after="0"/>
        <w:tabs>
          <w:tab w:leader="none" w:pos="460" w:val="left"/>
        </w:tabs>
        <w:numPr>
          <w:ilvl w:val="0"/>
          <w:numId w:val="46"/>
        </w:numPr>
        <w:rPr>
          <w:rFonts w:ascii="Arial" w:cs="Arial" w:eastAsia="Arial" w:hAnsi="Arial"/>
          <w:sz w:val="18"/>
          <w:szCs w:val="18"/>
          <w:color w:val="51555C"/>
        </w:rPr>
      </w:pPr>
      <w:r>
        <w:rPr>
          <w:rFonts w:ascii="Arial" w:cs="Arial" w:eastAsia="Arial" w:hAnsi="Arial"/>
          <w:sz w:val="18"/>
          <w:szCs w:val="18"/>
          <w:color w:val="51555C"/>
        </w:rPr>
        <w:t>Advised on the size and structure of the cash component of our executive compensation program (i.e., base salary);</w:t>
      </w:r>
    </w:p>
    <w:p>
      <w:pPr>
        <w:spacing w:after="0" w:line="63" w:lineRule="exact"/>
        <w:rPr>
          <w:rFonts w:ascii="Arial" w:cs="Arial" w:eastAsia="Arial" w:hAnsi="Arial"/>
          <w:sz w:val="18"/>
          <w:szCs w:val="18"/>
          <w:color w:val="51555C"/>
        </w:rPr>
      </w:pPr>
    </w:p>
    <w:p>
      <w:pPr>
        <w:ind w:left="460" w:hanging="128"/>
        <w:spacing w:after="0"/>
        <w:tabs>
          <w:tab w:leader="none" w:pos="460" w:val="left"/>
        </w:tabs>
        <w:numPr>
          <w:ilvl w:val="0"/>
          <w:numId w:val="46"/>
        </w:numPr>
        <w:rPr>
          <w:rFonts w:ascii="Arial" w:cs="Arial" w:eastAsia="Arial" w:hAnsi="Arial"/>
          <w:sz w:val="18"/>
          <w:szCs w:val="18"/>
          <w:color w:val="51555C"/>
        </w:rPr>
      </w:pPr>
      <w:r>
        <w:rPr>
          <w:rFonts w:ascii="Arial" w:cs="Arial" w:eastAsia="Arial" w:hAnsi="Arial"/>
          <w:sz w:val="18"/>
          <w:szCs w:val="18"/>
          <w:color w:val="51555C"/>
        </w:rPr>
        <w:t>Advised on the composition, structure and competitiveness of the STI and LTI components of our executive compensation program;</w:t>
      </w:r>
    </w:p>
    <w:p>
      <w:pPr>
        <w:spacing w:after="0" w:line="63" w:lineRule="exact"/>
        <w:rPr>
          <w:rFonts w:ascii="Arial" w:cs="Arial" w:eastAsia="Arial" w:hAnsi="Arial"/>
          <w:sz w:val="18"/>
          <w:szCs w:val="18"/>
          <w:color w:val="51555C"/>
        </w:rPr>
      </w:pPr>
    </w:p>
    <w:p>
      <w:pPr>
        <w:ind w:left="460" w:hanging="128"/>
        <w:spacing w:after="0"/>
        <w:tabs>
          <w:tab w:leader="none" w:pos="460" w:val="left"/>
        </w:tabs>
        <w:numPr>
          <w:ilvl w:val="0"/>
          <w:numId w:val="46"/>
        </w:numPr>
        <w:rPr>
          <w:rFonts w:ascii="Arial" w:cs="Arial" w:eastAsia="Arial" w:hAnsi="Arial"/>
          <w:sz w:val="18"/>
          <w:szCs w:val="18"/>
          <w:color w:val="51555C"/>
        </w:rPr>
      </w:pPr>
      <w:r>
        <w:rPr>
          <w:rFonts w:ascii="Arial" w:cs="Arial" w:eastAsia="Arial" w:hAnsi="Arial"/>
          <w:sz w:val="18"/>
          <w:szCs w:val="18"/>
          <w:color w:val="51555C"/>
        </w:rPr>
        <w:t>Reviewed and provided input on our CD&amp;A;</w:t>
      </w:r>
    </w:p>
    <w:p>
      <w:pPr>
        <w:spacing w:after="0" w:line="63" w:lineRule="exact"/>
        <w:rPr>
          <w:rFonts w:ascii="Arial" w:cs="Arial" w:eastAsia="Arial" w:hAnsi="Arial"/>
          <w:sz w:val="18"/>
          <w:szCs w:val="18"/>
          <w:color w:val="51555C"/>
        </w:rPr>
      </w:pPr>
    </w:p>
    <w:p>
      <w:pPr>
        <w:ind w:left="460" w:hanging="128"/>
        <w:spacing w:after="0"/>
        <w:tabs>
          <w:tab w:leader="none" w:pos="460" w:val="left"/>
        </w:tabs>
        <w:numPr>
          <w:ilvl w:val="0"/>
          <w:numId w:val="46"/>
        </w:numPr>
        <w:rPr>
          <w:rFonts w:ascii="Arial" w:cs="Arial" w:eastAsia="Arial" w:hAnsi="Arial"/>
          <w:sz w:val="18"/>
          <w:szCs w:val="18"/>
          <w:color w:val="51555C"/>
        </w:rPr>
      </w:pPr>
      <w:r>
        <w:rPr>
          <w:rFonts w:ascii="Arial" w:cs="Arial" w:eastAsia="Arial" w:hAnsi="Arial"/>
          <w:sz w:val="18"/>
          <w:szCs w:val="18"/>
          <w:color w:val="51555C"/>
        </w:rPr>
        <w:t>Advised on the composition of our compensation peer group; and</w:t>
      </w:r>
    </w:p>
    <w:p>
      <w:pPr>
        <w:spacing w:after="0" w:line="63" w:lineRule="exact"/>
        <w:rPr>
          <w:rFonts w:ascii="Arial" w:cs="Arial" w:eastAsia="Arial" w:hAnsi="Arial"/>
          <w:sz w:val="18"/>
          <w:szCs w:val="18"/>
          <w:color w:val="51555C"/>
        </w:rPr>
      </w:pPr>
    </w:p>
    <w:p>
      <w:pPr>
        <w:ind w:left="460" w:hanging="128"/>
        <w:spacing w:after="0"/>
        <w:tabs>
          <w:tab w:leader="none" w:pos="460" w:val="left"/>
        </w:tabs>
        <w:numPr>
          <w:ilvl w:val="0"/>
          <w:numId w:val="46"/>
        </w:numPr>
        <w:rPr>
          <w:rFonts w:ascii="Arial" w:cs="Arial" w:eastAsia="Arial" w:hAnsi="Arial"/>
          <w:sz w:val="18"/>
          <w:szCs w:val="18"/>
          <w:color w:val="51555C"/>
        </w:rPr>
      </w:pPr>
      <w:r>
        <w:rPr>
          <w:rFonts w:ascii="Arial" w:cs="Arial" w:eastAsia="Arial" w:hAnsi="Arial"/>
          <w:sz w:val="18"/>
          <w:szCs w:val="18"/>
          <w:color w:val="51555C"/>
        </w:rPr>
        <w:t>Advised on the design and amount of the compensation package for our CEO and other executive officers.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The Compensation Committee has evaluated Compensia's engagement, and based on the six factors for assessing independence and identifying potential conflicts of interest that are set forth in Exchange Act Rule 10C-1(b)(4) and Rule 5605(d)(3)(D) of the Nasdaq Marketplace Rules and on such other factors as were deemed relevant under the circumstances, has determined that its relationship with Compensia and the work of Compensia on behalf of the Committee did not raise any conflict of interest, and that Compensia is independent.</w:t>
      </w:r>
    </w:p>
    <w:p>
      <w:pPr>
        <w:spacing w:after="0" w:line="333"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40</w:t>
      </w:r>
      <w:r>
        <w:rPr>
          <w:sz w:val="20"/>
          <w:szCs w:val="20"/>
          <w:color w:val="auto"/>
        </w:rPr>
        <w:tab/>
      </w:r>
      <w:r>
        <w:rPr>
          <w:sz w:val="1"/>
          <w:szCs w:val="1"/>
          <w:color w:val="auto"/>
        </w:rPr>
        <w:drawing>
          <wp:inline distT="0" distB="0" distL="0" distR="0">
            <wp:extent cx="702945" cy="111125"/>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42" w:name="page43"/>
    <w:bookmarkEnd w:id="42"/>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b w:val="1"/>
          <w:bCs w:val="1"/>
          <w:color w:val="5155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Competitive Positioning</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In selecting the compensation peer group, the Compensation Committee considers software or technology companies with comparable annual revenue, which it believes is the primary indicator of comparability, and to a lesser extent market capitalization, as well as certain other factors. Periodically, the Compensation Committee reviews the current compensation peer group, with the assistance of its independent compensation consultant, to determine whether it is still appropriate. It updates the compensation peer group for changes resulting from mergers, acquisitions, bankruptcies, going private transactions and other changes in strategic focus or circumstances, removing from the group any companies that no longer fit the relevant criteria and adding ones that do. When selecting companies for inclusion in our peer group, our Compensation Committee generally seeks to include U.S. headquartered, public software companies with revenue and market capitalization between about 0.5x and 2.0x our financial profile. In December 2024, the Compensation Committee reviewed our fiscal 2024 compensation peer group and determined to remove Fair Isaac Corporation (FICO) and Manhattan Associates, Inc. (MANH) as financial outliers.</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4054"/>
        </w:rPr>
        <w:t>2025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32486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3248660"/>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ACI Worldwide, Inc. (ACIW)</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BILL Holdings, Inc. (BILL)</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Box, Inc. (BOX)</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Commvault Systems, Inc. (CVLT)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E2open Parent Holdings, Inc. (ETWO)</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Elastic N.V. (ESTC)</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Five9, Inc. (FIVN)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Guidewire Software, Inc. (GWRE)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Informatica, Inc. (INFA)</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Pegasystems, Inc. (PEGA)</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Rapid7, Inc. (RPD)</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SolarWinds Corporation (SWI)</w:t>
      </w:r>
      <w:r>
        <w:rPr>
          <w:rFonts w:ascii="Arial" w:cs="Arial" w:eastAsia="Arial" w:hAnsi="Arial"/>
          <w:sz w:val="23"/>
          <w:szCs w:val="23"/>
          <w:color w:val="51555C"/>
          <w:vertAlign w:val="superscript"/>
        </w:rPr>
        <w:t>(1)</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Tenable Holdings, Inc. (TENB)</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Tyler Technologies, Inc. (TYL)</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Verint Systems, Inc. (VRNT)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Blackbaud, Inc. Vs. Peer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51555C"/>
        </w:rPr>
        <w:t>Revenue*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51555C"/>
        </w:rPr>
        <w:t>Blackbaud, Inc.</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51555C"/>
        </w:rPr>
        <w:t>60th Percentile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51555C"/>
        </w:rPr>
        <w:t>Market Capitalization**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51555C"/>
        </w:rPr>
        <w:t>Blackbaud, Inc.</w:t>
      </w:r>
    </w:p>
    <w:p>
      <w:pPr>
        <w:spacing w:after="0" w:line="17" w:lineRule="exact"/>
        <w:rPr>
          <w:sz w:val="20"/>
          <w:szCs w:val="20"/>
          <w:color w:val="auto"/>
        </w:rPr>
      </w:pPr>
    </w:p>
    <w:p>
      <w:pPr>
        <w:ind w:left="220"/>
        <w:spacing w:after="0"/>
        <w:rPr>
          <w:sz w:val="20"/>
          <w:szCs w:val="20"/>
          <w:color w:val="auto"/>
        </w:rPr>
      </w:pPr>
      <w:r>
        <w:rPr>
          <w:sz w:val="1"/>
          <w:szCs w:val="1"/>
          <w:color w:val="auto"/>
        </w:rPr>
        <w:drawing>
          <wp:inline distT="0" distB="0" distL="0" distR="0">
            <wp:extent cx="900430" cy="266065"/>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00430" cy="266065"/>
                    </a:xfrm>
                    <a:prstGeom prst="rect">
                      <a:avLst/>
                    </a:prstGeom>
                    <a:noFill/>
                    <a:ln>
                      <a:noFill/>
                    </a:ln>
                  </pic:spPr>
                </pic:pic>
              </a:graphicData>
            </a:graphic>
          </wp:inline>
        </w:drawing>
      </w:r>
      <w:r>
        <w:rPr>
          <w:rFonts w:ascii="Arial" w:cs="Arial" w:eastAsia="Arial" w:hAnsi="Arial"/>
          <w:sz w:val="18"/>
          <w:szCs w:val="18"/>
          <w:color w:val="51555C"/>
        </w:rPr>
        <w:t xml:space="preserve"> 34th Percentile</w:t>
      </w:r>
    </w:p>
    <w:p>
      <w:pPr>
        <w:spacing w:after="0" w:line="17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51555C"/>
        </w:rPr>
        <w:t>*Based upon the last four fiscal quarters of publicly available data as of October 2024</w:t>
      </w:r>
    </w:p>
    <w:p>
      <w:pPr>
        <w:spacing w:after="0" w:line="45" w:lineRule="exact"/>
        <w:rPr>
          <w:sz w:val="20"/>
          <w:szCs w:val="20"/>
          <w:color w:val="auto"/>
        </w:rPr>
      </w:pPr>
    </w:p>
    <w:p>
      <w:pPr>
        <w:jc w:val="center"/>
        <w:ind w:right="2040"/>
        <w:spacing w:after="0"/>
        <w:rPr>
          <w:sz w:val="20"/>
          <w:szCs w:val="20"/>
          <w:color w:val="auto"/>
        </w:rPr>
      </w:pPr>
      <w:r>
        <w:rPr>
          <w:rFonts w:ascii="Arial" w:cs="Arial" w:eastAsia="Arial" w:hAnsi="Arial"/>
          <w:sz w:val="17"/>
          <w:szCs w:val="17"/>
          <w:color w:val="51555C"/>
        </w:rPr>
        <w:t>**Based upon a 30-day average as of 10/23/2024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76200</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4540" w:space="720"/>
            <w:col w:w="5980"/>
          </w:cols>
          <w:pgMar w:left="320" w:top="300" w:right="339" w:bottom="1440" w:gutter="0" w:footer="0" w:header="0"/>
          <w:type w:val="continuous"/>
        </w:sectPr>
      </w:pPr>
    </w:p>
    <w:p>
      <w:pPr>
        <w:spacing w:after="0" w:line="8"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51555C"/>
        </w:rPr>
      </w:pPr>
      <w:r>
        <w:rPr>
          <w:rFonts w:ascii="Arial" w:cs="Arial" w:eastAsia="Arial" w:hAnsi="Arial"/>
          <w:sz w:val="14"/>
          <w:szCs w:val="14"/>
          <w:color w:val="51555C"/>
        </w:rPr>
        <w:t>This company was subsequently removed from the peer group as it is no longer a publicly traded company.</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In addition to the practices of the compensation peer group, the Compensation Committee reviews the executive pay practices of other similarly sized software or technology companies with which we compete for talent as reported in the Radford Global Technology Survey. This information is considered when making determinations for each component of compensation as well as target 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222885</wp:posOffset>
            </wp:positionV>
            <wp:extent cx="702945" cy="1111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41</w:t>
            </w:r>
          </w:p>
        </w:tc>
      </w:tr>
      <w:tr>
        <w:trPr>
          <w:trHeight w:val="272"/>
        </w:trPr>
        <w:tc>
          <w:tcPr>
            <w:tcW w:w="1020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type w:val="continuous"/>
        </w:sectPr>
      </w:pPr>
    </w:p>
    <w:bookmarkStart w:id="43" w:name="page44"/>
    <w:bookmarkEnd w:id="43"/>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EXECUTIVE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Analysis of 2025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The charts below show the significant percentage of performance-based compensation reported for 2025 in the Summary Compensation Table for Mr. Gianoni, our CEO, and on average for our other NEOs as a group.</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51555C"/>
        </w:rPr>
        <w:t>2025 Total Direct Compensation* Mix</w:t>
      </w:r>
    </w:p>
    <w:p>
      <w:pPr>
        <w:spacing w:after="0" w:line="277" w:lineRule="exact"/>
        <w:rPr>
          <w:sz w:val="20"/>
          <w:szCs w:val="20"/>
          <w:color w:val="auto"/>
        </w:rPr>
      </w:pPr>
    </w:p>
    <w:p>
      <w:pPr>
        <w:ind w:left="2440"/>
        <w:spacing w:after="0"/>
        <w:tabs>
          <w:tab w:leader="none" w:pos="8080" w:val="left"/>
        </w:tabs>
        <w:rPr>
          <w:sz w:val="20"/>
          <w:szCs w:val="20"/>
          <w:color w:val="auto"/>
        </w:rPr>
      </w:pPr>
      <w:r>
        <w:rPr>
          <w:rFonts w:ascii="Arial" w:cs="Arial" w:eastAsia="Arial" w:hAnsi="Arial"/>
          <w:sz w:val="18"/>
          <w:szCs w:val="18"/>
          <w:b w:val="1"/>
          <w:bCs w:val="1"/>
          <w:color w:val="51555C"/>
        </w:rPr>
        <w:t>CEO</w:t>
      </w:r>
      <w:r>
        <w:rPr>
          <w:sz w:val="20"/>
          <w:szCs w:val="20"/>
          <w:color w:val="auto"/>
        </w:rPr>
        <w:tab/>
      </w:r>
      <w:r>
        <w:rPr>
          <w:rFonts w:ascii="Arial" w:cs="Arial" w:eastAsia="Arial" w:hAnsi="Arial"/>
          <w:sz w:val="18"/>
          <w:szCs w:val="18"/>
          <w:b w:val="1"/>
          <w:bCs w:val="1"/>
          <w:color w:val="51555C"/>
        </w:rPr>
        <w:t>Other NEOs</w:t>
      </w:r>
    </w:p>
    <w:p>
      <w:pPr>
        <w:spacing w:after="0" w:line="117" w:lineRule="exact"/>
        <w:rPr>
          <w:sz w:val="20"/>
          <w:szCs w:val="20"/>
          <w:color w:val="auto"/>
        </w:rPr>
      </w:pPr>
    </w:p>
    <w:p>
      <w:pPr>
        <w:ind w:left="1520"/>
        <w:spacing w:after="0"/>
        <w:tabs>
          <w:tab w:leader="none" w:pos="7480" w:val="left"/>
        </w:tabs>
        <w:rPr>
          <w:sz w:val="20"/>
          <w:szCs w:val="20"/>
          <w:color w:val="auto"/>
        </w:rPr>
      </w:pPr>
      <w:r>
        <w:rPr>
          <w:rFonts w:ascii="Arial" w:cs="Arial" w:eastAsia="Arial" w:hAnsi="Arial"/>
          <w:sz w:val="18"/>
          <w:szCs w:val="18"/>
          <w:b w:val="1"/>
          <w:bCs w:val="1"/>
          <w:color w:val="51555C"/>
        </w:rPr>
        <w:t>(50% Performance-based)</w:t>
      </w:r>
      <w:r>
        <w:rPr>
          <w:sz w:val="20"/>
          <w:szCs w:val="20"/>
          <w:color w:val="auto"/>
        </w:rPr>
        <w:tab/>
      </w:r>
      <w:r>
        <w:rPr>
          <w:rFonts w:ascii="Arial" w:cs="Arial" w:eastAsia="Arial" w:hAnsi="Arial"/>
          <w:sz w:val="17"/>
          <w:szCs w:val="17"/>
          <w:b w:val="1"/>
          <w:bCs w:val="1"/>
          <w:color w:val="51555C"/>
        </w:rPr>
        <w:t>(45%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189230</wp:posOffset>
            </wp:positionV>
            <wp:extent cx="6506210" cy="21431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50621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62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51555C"/>
                <w:w w:val="99"/>
              </w:rPr>
              <w:t>Fixed</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3"/>
          </w:tcPr>
          <w:p>
            <w:pPr>
              <w:ind w:left="480"/>
              <w:spacing w:after="0"/>
              <w:rPr>
                <w:sz w:val="20"/>
                <w:szCs w:val="20"/>
                <w:color w:val="auto"/>
              </w:rPr>
            </w:pPr>
            <w:r>
              <w:rPr>
                <w:rFonts w:ascii="Arial" w:cs="Arial" w:eastAsia="Arial" w:hAnsi="Arial"/>
                <w:sz w:val="18"/>
                <w:szCs w:val="18"/>
                <w:color w:val="51555C"/>
              </w:rPr>
              <w:t>Performance-based</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51555C"/>
              </w:rPr>
              <w:t>Time-based</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4"/>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shd w:val="clear" w:color="auto" w:fill="EBFBFF"/>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shd w:val="clear" w:color="auto" w:fill="006880"/>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shd w:val="clear" w:color="auto" w:fill="004054"/>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shd w:val="clear" w:color="auto" w:fill="0CD973"/>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51555C"/>
              </w:rPr>
              <w:t>Base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51555C"/>
                <w:w w:val="98"/>
              </w:rPr>
              <w:t>STI PRSU</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51555C"/>
                <w:w w:val="98"/>
              </w:rPr>
              <w:t>LTI RSA or</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51555C"/>
                <w:w w:val="97"/>
              </w:rPr>
              <w:t>Salary</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51555C"/>
                <w:w w:val="99"/>
              </w:rPr>
              <w:t>Grants</w:t>
            </w:r>
          </w:p>
        </w:tc>
        <w:tc>
          <w:tcPr>
            <w:tcW w:w="5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51555C"/>
                <w:w w:val="98"/>
              </w:rPr>
              <w:t>LTI PRSU</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51555C"/>
                <w:w w:val="99"/>
              </w:rPr>
              <w:t>RSU</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51555C"/>
                <w:w w:val="99"/>
              </w:rPr>
              <w:t>Grants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51555C"/>
                <w:w w:val="99"/>
              </w:rPr>
              <w:t>Grants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7"/>
        </w:trPr>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9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51555C"/>
                <w:w w:val="99"/>
              </w:rPr>
              <w:t>Cash</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51555C"/>
                <w:w w:val="99"/>
              </w:rPr>
              <w:t>Equity</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-1056005</wp:posOffset>
            </wp:positionV>
            <wp:extent cx="8255" cy="342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342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-1056005</wp:posOffset>
            </wp:positionV>
            <wp:extent cx="8255"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342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-1056005</wp:posOffset>
            </wp:positionV>
            <wp:extent cx="8890" cy="342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-1056005</wp:posOffset>
            </wp:positionV>
            <wp:extent cx="8890" cy="342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-1056005</wp:posOffset>
            </wp:positionV>
            <wp:extent cx="889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-1056005</wp:posOffset>
            </wp:positionV>
            <wp:extent cx="8255"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3429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51555C"/>
        </w:rPr>
        <w:t>*Base salary and the grant date fair value of all equity awards for 2025.</w:t>
      </w:r>
    </w:p>
    <w:p>
      <w:pPr>
        <w:spacing w:after="0" w:line="378"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42</w:t>
      </w:r>
      <w:r>
        <w:rPr>
          <w:sz w:val="20"/>
          <w:szCs w:val="20"/>
          <w:color w:val="auto"/>
        </w:rPr>
        <w:tab/>
      </w:r>
      <w:r>
        <w:rPr>
          <w:sz w:val="1"/>
          <w:szCs w:val="1"/>
          <w:color w:val="auto"/>
        </w:rPr>
        <w:drawing>
          <wp:inline distT="0" distB="0" distL="0" distR="0">
            <wp:extent cx="702945" cy="111125"/>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44" w:name="page45"/>
    <w:bookmarkEnd w:id="44"/>
    <w:p>
      <w:pPr>
        <w:ind w:left="20"/>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Base Salary</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51555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1732280</wp:posOffset>
            </wp:positionH>
            <wp:positionV relativeFrom="paragraph">
              <wp:posOffset>-154305</wp:posOffset>
            </wp:positionV>
            <wp:extent cx="171450" cy="1714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1168" w:lineRule="exact"/>
        <w:rPr>
          <w:sz w:val="20"/>
          <w:szCs w:val="20"/>
          <w:color w:val="auto"/>
        </w:rPr>
      </w:pPr>
    </w:p>
    <w:p>
      <w:pPr>
        <w:sectPr>
          <w:pgSz w:w="11900" w:h="16838" w:orient="portrait"/>
          <w:cols w:equalWidth="0" w:num="2">
            <w:col w:w="7360" w:space="720"/>
            <w:col w:w="3180"/>
          </w:cols>
          <w:pgMar w:left="320" w:top="338" w:right="319" w:bottom="1440" w:gutter="0" w:footer="0" w:header="0"/>
        </w:sectPr>
      </w:pPr>
    </w:p>
    <w:p>
      <w:pPr>
        <w:jc w:val="both"/>
        <w:ind w:right="20"/>
        <w:spacing w:after="0" w:line="262" w:lineRule="auto"/>
        <w:rPr>
          <w:sz w:val="20"/>
          <w:szCs w:val="20"/>
          <w:color w:val="auto"/>
        </w:rPr>
      </w:pPr>
      <w:r>
        <w:rPr>
          <w:rFonts w:ascii="Arial" w:cs="Arial" w:eastAsia="Arial" w:hAnsi="Arial"/>
          <w:sz w:val="18"/>
          <w:szCs w:val="18"/>
          <w:color w:val="51555C"/>
        </w:rPr>
        <w:t>Base salary is the principal fixed component in our executive compensation program. The Compensation Committee reviews the base salaries of our executive officers each year and makes adjustments as it deems necessary and appropriate based on its consideration of individual experience and contributions, historical compensation practices for our executive officers and its assessment of the competitive market.</w:t>
      </w:r>
    </w:p>
    <w:p>
      <w:pPr>
        <w:spacing w:after="0" w:line="12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In 2025, the Compensation Committee decided to maintain the base salaries of our NEOs, excluding Mr. Anderson, at their 2024 levels, as shown in the following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560" w:type="dxa"/>
            <w:vAlign w:val="bottom"/>
            <w:shd w:val="clear" w:color="auto" w:fill="004054"/>
          </w:tcPr>
          <w:p>
            <w:pPr>
              <w:spacing w:after="0" w:line="20" w:lineRule="exact"/>
              <w:rPr>
                <w:sz w:val="1"/>
                <w:szCs w:val="1"/>
                <w:color w:val="auto"/>
              </w:rPr>
            </w:pPr>
          </w:p>
        </w:tc>
        <w:tc>
          <w:tcPr>
            <w:tcW w:w="320" w:type="dxa"/>
            <w:vAlign w:val="bottom"/>
            <w:shd w:val="clear" w:color="auto" w:fill="004054"/>
          </w:tcPr>
          <w:p>
            <w:pPr>
              <w:spacing w:after="0" w:line="20" w:lineRule="exact"/>
              <w:rPr>
                <w:sz w:val="1"/>
                <w:szCs w:val="1"/>
                <w:color w:val="auto"/>
              </w:rPr>
            </w:pPr>
          </w:p>
        </w:tc>
        <w:tc>
          <w:tcPr>
            <w:tcW w:w="1060" w:type="dxa"/>
            <w:vAlign w:val="bottom"/>
            <w:shd w:val="clear" w:color="auto" w:fill="004054"/>
          </w:tcPr>
          <w:p>
            <w:pPr>
              <w:spacing w:after="0" w:line="20" w:lineRule="exact"/>
              <w:rPr>
                <w:sz w:val="1"/>
                <w:szCs w:val="1"/>
                <w:color w:val="auto"/>
              </w:rPr>
            </w:pPr>
          </w:p>
        </w:tc>
        <w:tc>
          <w:tcPr>
            <w:tcW w:w="320" w:type="dxa"/>
            <w:vAlign w:val="bottom"/>
            <w:shd w:val="clear" w:color="auto" w:fill="004054"/>
          </w:tcPr>
          <w:p>
            <w:pPr>
              <w:spacing w:after="0" w:line="20" w:lineRule="exact"/>
              <w:rPr>
                <w:sz w:val="1"/>
                <w:szCs w:val="1"/>
                <w:color w:val="auto"/>
              </w:rPr>
            </w:pPr>
          </w:p>
        </w:tc>
        <w:tc>
          <w:tcPr>
            <w:tcW w:w="1060" w:type="dxa"/>
            <w:vAlign w:val="bottom"/>
            <w:shd w:val="clear" w:color="auto" w:fill="004054"/>
          </w:tcPr>
          <w:p>
            <w:pPr>
              <w:spacing w:after="0" w:line="20" w:lineRule="exact"/>
              <w:rPr>
                <w:sz w:val="1"/>
                <w:szCs w:val="1"/>
                <w:color w:val="auto"/>
              </w:rPr>
            </w:pPr>
          </w:p>
        </w:tc>
        <w:tc>
          <w:tcPr>
            <w:tcW w:w="400" w:type="dxa"/>
            <w:vAlign w:val="bottom"/>
            <w:shd w:val="clear" w:color="auto" w:fill="006880"/>
          </w:tcPr>
          <w:p>
            <w:pPr>
              <w:spacing w:after="0" w:line="20" w:lineRule="exact"/>
              <w:rPr>
                <w:sz w:val="1"/>
                <w:szCs w:val="1"/>
                <w:color w:val="auto"/>
              </w:rPr>
            </w:pPr>
          </w:p>
        </w:tc>
        <w:tc>
          <w:tcPr>
            <w:tcW w:w="1620" w:type="dxa"/>
            <w:vAlign w:val="bottom"/>
            <w:vMerge w:val="restart"/>
            <w:shd w:val="clear" w:color="auto" w:fill="006880"/>
          </w:tcPr>
          <w:p>
            <w:pPr>
              <w:ind w:left="840"/>
              <w:spacing w:after="0"/>
              <w:rPr>
                <w:sz w:val="20"/>
                <w:szCs w:val="20"/>
                <w:color w:val="auto"/>
              </w:rPr>
            </w:pPr>
            <w:r>
              <w:rPr>
                <w:rFonts w:ascii="Arial" w:cs="Arial" w:eastAsia="Arial" w:hAnsi="Arial"/>
                <w:sz w:val="14"/>
                <w:szCs w:val="14"/>
                <w:b w:val="1"/>
                <w:bCs w:val="1"/>
                <w:color w:val="FFFFFF"/>
              </w:rPr>
              <w:t>Salary</w:t>
            </w:r>
          </w:p>
        </w:tc>
        <w:tc>
          <w:tcPr>
            <w:tcW w:w="880" w:type="dxa"/>
            <w:vAlign w:val="bottom"/>
            <w:shd w:val="clear" w:color="auto" w:fill="0068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560" w:type="dxa"/>
            <w:vAlign w:val="bottom"/>
            <w:shd w:val="clear" w:color="auto" w:fill="004054"/>
          </w:tcPr>
          <w:p>
            <w:pPr>
              <w:spacing w:after="0"/>
              <w:rPr>
                <w:sz w:val="16"/>
                <w:szCs w:val="16"/>
                <w:color w:val="auto"/>
              </w:rPr>
            </w:pPr>
          </w:p>
        </w:tc>
        <w:tc>
          <w:tcPr>
            <w:tcW w:w="320" w:type="dxa"/>
            <w:vAlign w:val="bottom"/>
            <w:shd w:val="clear" w:color="auto" w:fill="004054"/>
          </w:tcPr>
          <w:p>
            <w:pPr>
              <w:spacing w:after="0"/>
              <w:rPr>
                <w:sz w:val="16"/>
                <w:szCs w:val="16"/>
                <w:color w:val="auto"/>
              </w:rPr>
            </w:pPr>
          </w:p>
        </w:tc>
        <w:tc>
          <w:tcPr>
            <w:tcW w:w="1060" w:type="dxa"/>
            <w:vAlign w:val="bottom"/>
            <w:shd w:val="clear" w:color="auto" w:fill="004054"/>
          </w:tcPr>
          <w:p>
            <w:pPr>
              <w:spacing w:after="0"/>
              <w:rPr>
                <w:sz w:val="16"/>
                <w:szCs w:val="16"/>
                <w:color w:val="auto"/>
              </w:rPr>
            </w:pPr>
          </w:p>
        </w:tc>
        <w:tc>
          <w:tcPr>
            <w:tcW w:w="320" w:type="dxa"/>
            <w:vAlign w:val="bottom"/>
            <w:shd w:val="clear" w:color="auto" w:fill="004054"/>
          </w:tcPr>
          <w:p>
            <w:pPr>
              <w:spacing w:after="0"/>
              <w:rPr>
                <w:sz w:val="16"/>
                <w:szCs w:val="16"/>
                <w:color w:val="auto"/>
              </w:rPr>
            </w:pPr>
          </w:p>
        </w:tc>
        <w:tc>
          <w:tcPr>
            <w:tcW w:w="1060" w:type="dxa"/>
            <w:vAlign w:val="bottom"/>
            <w:shd w:val="clear" w:color="auto" w:fill="004054"/>
          </w:tcPr>
          <w:p>
            <w:pPr>
              <w:spacing w:after="0"/>
              <w:rPr>
                <w:sz w:val="16"/>
                <w:szCs w:val="16"/>
                <w:color w:val="auto"/>
              </w:rPr>
            </w:pPr>
          </w:p>
        </w:tc>
        <w:tc>
          <w:tcPr>
            <w:tcW w:w="400" w:type="dxa"/>
            <w:vAlign w:val="bottom"/>
            <w:shd w:val="clear" w:color="auto" w:fill="006880"/>
          </w:tcPr>
          <w:p>
            <w:pPr>
              <w:spacing w:after="0"/>
              <w:rPr>
                <w:sz w:val="16"/>
                <w:szCs w:val="16"/>
                <w:color w:val="auto"/>
              </w:rPr>
            </w:pPr>
          </w:p>
        </w:tc>
        <w:tc>
          <w:tcPr>
            <w:tcW w:w="1620" w:type="dxa"/>
            <w:vAlign w:val="bottom"/>
            <w:vMerge w:val="continue"/>
            <w:shd w:val="clear" w:color="auto" w:fill="006880"/>
          </w:tcPr>
          <w:p>
            <w:pPr>
              <w:spacing w:after="0"/>
              <w:rPr>
                <w:sz w:val="16"/>
                <w:szCs w:val="16"/>
                <w:color w:val="auto"/>
              </w:rPr>
            </w:pPr>
          </w:p>
        </w:tc>
        <w:tc>
          <w:tcPr>
            <w:tcW w:w="880" w:type="dxa"/>
            <w:vAlign w:val="bottom"/>
            <w:shd w:val="clear" w:color="auto" w:fill="006880"/>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560" w:type="dxa"/>
            <w:vAlign w:val="bottom"/>
            <w:shd w:val="clear" w:color="auto" w:fill="004054"/>
          </w:tcPr>
          <w:p>
            <w:pPr>
              <w:spacing w:after="0"/>
              <w:rPr>
                <w:sz w:val="18"/>
                <w:szCs w:val="18"/>
                <w:color w:val="auto"/>
              </w:rPr>
            </w:pPr>
          </w:p>
        </w:tc>
        <w:tc>
          <w:tcPr>
            <w:tcW w:w="320" w:type="dxa"/>
            <w:vAlign w:val="bottom"/>
            <w:shd w:val="clear" w:color="auto" w:fill="004054"/>
          </w:tcPr>
          <w:p>
            <w:pPr>
              <w:spacing w:after="0"/>
              <w:rPr>
                <w:sz w:val="18"/>
                <w:szCs w:val="18"/>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320" w:type="dxa"/>
            <w:vAlign w:val="bottom"/>
            <w:shd w:val="clear" w:color="auto" w:fill="004054"/>
          </w:tcPr>
          <w:p>
            <w:pPr>
              <w:spacing w:after="0"/>
              <w:rPr>
                <w:sz w:val="18"/>
                <w:szCs w:val="18"/>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400" w:type="dxa"/>
            <w:vAlign w:val="bottom"/>
            <w:shd w:val="clear" w:color="auto" w:fill="006880"/>
          </w:tcPr>
          <w:p>
            <w:pPr>
              <w:spacing w:after="0"/>
              <w:rPr>
                <w:sz w:val="18"/>
                <w:szCs w:val="18"/>
                <w:color w:val="auto"/>
              </w:rPr>
            </w:pPr>
          </w:p>
        </w:tc>
        <w:tc>
          <w:tcPr>
            <w:tcW w:w="1620" w:type="dxa"/>
            <w:vAlign w:val="bottom"/>
            <w:shd w:val="clear" w:color="auto" w:fill="006880"/>
          </w:tcPr>
          <w:p>
            <w:pPr>
              <w:ind w:left="660"/>
              <w:spacing w:after="0"/>
              <w:rPr>
                <w:sz w:val="20"/>
                <w:szCs w:val="20"/>
                <w:color w:val="auto"/>
              </w:rPr>
            </w:pPr>
            <w:r>
              <w:rPr>
                <w:rFonts w:ascii="Arial" w:cs="Arial" w:eastAsia="Arial" w:hAnsi="Arial"/>
                <w:sz w:val="14"/>
                <w:szCs w:val="14"/>
                <w:b w:val="1"/>
                <w:bCs w:val="1"/>
                <w:color w:val="FFFFFF"/>
              </w:rPr>
              <w:t>Adjustment</w:t>
            </w:r>
          </w:p>
        </w:tc>
        <w:tc>
          <w:tcPr>
            <w:tcW w:w="880" w:type="dxa"/>
            <w:vAlign w:val="bottom"/>
            <w:shd w:val="clear" w:color="auto" w:fill="006880"/>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56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Name</w:t>
            </w:r>
          </w:p>
        </w:tc>
        <w:tc>
          <w:tcPr>
            <w:tcW w:w="320" w:type="dxa"/>
            <w:vAlign w:val="bottom"/>
            <w:shd w:val="clear" w:color="auto" w:fill="004054"/>
          </w:tcPr>
          <w:p>
            <w:pPr>
              <w:spacing w:after="0"/>
              <w:rPr>
                <w:sz w:val="19"/>
                <w:szCs w:val="19"/>
                <w:color w:val="auto"/>
              </w:rPr>
            </w:pPr>
          </w:p>
        </w:tc>
        <w:tc>
          <w:tcPr>
            <w:tcW w:w="1060" w:type="dxa"/>
            <w:vAlign w:val="bottom"/>
            <w:shd w:val="clear" w:color="auto" w:fill="004054"/>
          </w:tcPr>
          <w:p>
            <w:pPr>
              <w:jc w:val="center"/>
              <w:ind w:left="115"/>
              <w:spacing w:after="0"/>
              <w:rPr>
                <w:sz w:val="20"/>
                <w:szCs w:val="20"/>
                <w:color w:val="auto"/>
              </w:rPr>
            </w:pPr>
            <w:r>
              <w:rPr>
                <w:rFonts w:ascii="Arial" w:cs="Arial" w:eastAsia="Arial" w:hAnsi="Arial"/>
                <w:sz w:val="14"/>
                <w:szCs w:val="14"/>
                <w:b w:val="1"/>
                <w:bCs w:val="1"/>
                <w:color w:val="FFFFFF"/>
              </w:rPr>
              <w:t>Base Salary</w:t>
            </w:r>
          </w:p>
        </w:tc>
        <w:tc>
          <w:tcPr>
            <w:tcW w:w="320" w:type="dxa"/>
            <w:vAlign w:val="bottom"/>
            <w:shd w:val="clear" w:color="auto" w:fill="004054"/>
          </w:tcPr>
          <w:p>
            <w:pPr>
              <w:spacing w:after="0"/>
              <w:rPr>
                <w:sz w:val="19"/>
                <w:szCs w:val="19"/>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Base Salary</w:t>
            </w:r>
          </w:p>
        </w:tc>
        <w:tc>
          <w:tcPr>
            <w:tcW w:w="400" w:type="dxa"/>
            <w:vAlign w:val="bottom"/>
            <w:shd w:val="clear" w:color="auto" w:fill="004054"/>
          </w:tcPr>
          <w:p>
            <w:pPr>
              <w:spacing w:after="0"/>
              <w:rPr>
                <w:sz w:val="19"/>
                <w:szCs w:val="19"/>
                <w:color w:val="auto"/>
              </w:rPr>
            </w:pPr>
          </w:p>
        </w:tc>
        <w:tc>
          <w:tcPr>
            <w:tcW w:w="1620" w:type="dxa"/>
            <w:vAlign w:val="bottom"/>
            <w:shd w:val="clear" w:color="auto" w:fill="004054"/>
          </w:tcPr>
          <w:p>
            <w:pPr>
              <w:ind w:left="300"/>
              <w:spacing w:after="0"/>
              <w:rPr>
                <w:sz w:val="20"/>
                <w:szCs w:val="20"/>
                <w:color w:val="auto"/>
              </w:rPr>
            </w:pPr>
            <w:r>
              <w:rPr>
                <w:rFonts w:ascii="Arial" w:cs="Arial" w:eastAsia="Arial" w:hAnsi="Arial"/>
                <w:sz w:val="14"/>
                <w:szCs w:val="14"/>
                <w:b w:val="1"/>
                <w:bCs w:val="1"/>
                <w:color w:val="FFFFFF"/>
              </w:rPr>
              <w:t>$ Change</w:t>
            </w:r>
          </w:p>
        </w:tc>
        <w:tc>
          <w:tcPr>
            <w:tcW w:w="8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 Change</w:t>
            </w:r>
          </w:p>
        </w:tc>
        <w:tc>
          <w:tcPr>
            <w:tcW w:w="0" w:type="dxa"/>
            <w:vAlign w:val="bottom"/>
          </w:tcPr>
          <w:p>
            <w:pPr>
              <w:spacing w:after="0"/>
              <w:rPr>
                <w:sz w:val="1"/>
                <w:szCs w:val="1"/>
                <w:color w:val="auto"/>
              </w:rPr>
            </w:pPr>
          </w:p>
        </w:tc>
      </w:tr>
      <w:tr>
        <w:trPr>
          <w:trHeight w:val="29"/>
        </w:trPr>
        <w:tc>
          <w:tcPr>
            <w:tcW w:w="5560" w:type="dxa"/>
            <w:vAlign w:val="bottom"/>
            <w:tcBorders>
              <w:bottom w:val="single" w:sz="8" w:color="004054"/>
            </w:tcBorders>
            <w:shd w:val="clear" w:color="auto" w:fill="004054"/>
          </w:tcPr>
          <w:p>
            <w:pPr>
              <w:spacing w:after="0"/>
              <w:rPr>
                <w:sz w:val="2"/>
                <w:szCs w:val="2"/>
                <w:color w:val="auto"/>
              </w:rPr>
            </w:pPr>
          </w:p>
        </w:tc>
        <w:tc>
          <w:tcPr>
            <w:tcW w:w="320" w:type="dxa"/>
            <w:vAlign w:val="bottom"/>
            <w:tcBorders>
              <w:bottom w:val="single" w:sz="8" w:color="004054"/>
            </w:tcBorders>
            <w:shd w:val="clear" w:color="auto" w:fill="004054"/>
          </w:tcPr>
          <w:p>
            <w:pPr>
              <w:spacing w:after="0"/>
              <w:rPr>
                <w:sz w:val="2"/>
                <w:szCs w:val="2"/>
                <w:color w:val="auto"/>
              </w:rPr>
            </w:pPr>
          </w:p>
        </w:tc>
        <w:tc>
          <w:tcPr>
            <w:tcW w:w="1060" w:type="dxa"/>
            <w:vAlign w:val="bottom"/>
            <w:tcBorders>
              <w:bottom w:val="single" w:sz="8" w:color="004054"/>
            </w:tcBorders>
            <w:shd w:val="clear" w:color="auto" w:fill="004054"/>
          </w:tcPr>
          <w:p>
            <w:pPr>
              <w:spacing w:after="0"/>
              <w:rPr>
                <w:sz w:val="2"/>
                <w:szCs w:val="2"/>
                <w:color w:val="auto"/>
              </w:rPr>
            </w:pPr>
          </w:p>
        </w:tc>
        <w:tc>
          <w:tcPr>
            <w:tcW w:w="320" w:type="dxa"/>
            <w:vAlign w:val="bottom"/>
            <w:tcBorders>
              <w:bottom w:val="single" w:sz="8" w:color="004054"/>
            </w:tcBorders>
            <w:shd w:val="clear" w:color="auto" w:fill="004054"/>
          </w:tcPr>
          <w:p>
            <w:pPr>
              <w:spacing w:after="0"/>
              <w:rPr>
                <w:sz w:val="2"/>
                <w:szCs w:val="2"/>
                <w:color w:val="auto"/>
              </w:rPr>
            </w:pPr>
          </w:p>
        </w:tc>
        <w:tc>
          <w:tcPr>
            <w:tcW w:w="1060" w:type="dxa"/>
            <w:vAlign w:val="bottom"/>
            <w:tcBorders>
              <w:bottom w:val="single" w:sz="8" w:color="004054"/>
            </w:tcBorders>
            <w:shd w:val="clear" w:color="auto" w:fill="004054"/>
          </w:tcPr>
          <w:p>
            <w:pPr>
              <w:spacing w:after="0"/>
              <w:rPr>
                <w:sz w:val="2"/>
                <w:szCs w:val="2"/>
                <w:color w:val="auto"/>
              </w:rPr>
            </w:pPr>
          </w:p>
        </w:tc>
        <w:tc>
          <w:tcPr>
            <w:tcW w:w="400" w:type="dxa"/>
            <w:vAlign w:val="bottom"/>
            <w:tcBorders>
              <w:bottom w:val="single" w:sz="8" w:color="004054"/>
            </w:tcBorders>
            <w:shd w:val="clear" w:color="auto" w:fill="004054"/>
          </w:tcPr>
          <w:p>
            <w:pPr>
              <w:spacing w:after="0"/>
              <w:rPr>
                <w:sz w:val="2"/>
                <w:szCs w:val="2"/>
                <w:color w:val="auto"/>
              </w:rPr>
            </w:pPr>
          </w:p>
        </w:tc>
        <w:tc>
          <w:tcPr>
            <w:tcW w:w="1620" w:type="dxa"/>
            <w:vAlign w:val="bottom"/>
            <w:tcBorders>
              <w:bottom w:val="single" w:sz="8" w:color="004054"/>
            </w:tcBorders>
            <w:shd w:val="clear" w:color="auto" w:fill="004054"/>
          </w:tcPr>
          <w:p>
            <w:pPr>
              <w:spacing w:after="0"/>
              <w:rPr>
                <w:sz w:val="2"/>
                <w:szCs w:val="2"/>
                <w:color w:val="auto"/>
              </w:rPr>
            </w:pPr>
          </w:p>
        </w:tc>
        <w:tc>
          <w:tcPr>
            <w:tcW w:w="880" w:type="dxa"/>
            <w:vAlign w:val="bottom"/>
            <w:tcBorders>
              <w:bottom w:val="single" w:sz="8" w:color="004054"/>
            </w:tcBorders>
            <w:shd w:val="clear" w:color="auto" w:fill="004054"/>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556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Mr. Gianoni</w:t>
            </w:r>
          </w:p>
        </w:tc>
        <w:tc>
          <w:tcPr>
            <w:tcW w:w="320" w:type="dxa"/>
            <w:vAlign w:val="bottom"/>
            <w:shd w:val="clear" w:color="auto" w:fill="EBFBFF"/>
          </w:tcPr>
          <w:p>
            <w:pPr>
              <w:jc w:val="right"/>
              <w:ind w:right="110"/>
              <w:spacing w:after="0"/>
              <w:rPr>
                <w:sz w:val="20"/>
                <w:szCs w:val="20"/>
                <w:color w:val="auto"/>
              </w:rPr>
            </w:pPr>
            <w:r>
              <w:rPr>
                <w:rFonts w:ascii="Arial" w:cs="Arial" w:eastAsia="Arial" w:hAnsi="Arial"/>
                <w:sz w:val="18"/>
                <w:szCs w:val="18"/>
                <w:b w:val="1"/>
                <w:bCs w:val="1"/>
                <w:color w:val="51555C"/>
                <w:w w:val="99"/>
              </w:rPr>
              <w:t>$</w:t>
            </w:r>
          </w:p>
        </w:tc>
        <w:tc>
          <w:tcPr>
            <w:tcW w:w="1060" w:type="dxa"/>
            <w:vAlign w:val="bottom"/>
            <w:shd w:val="clear" w:color="auto" w:fill="EBFBFF"/>
          </w:tcPr>
          <w:p>
            <w:pPr>
              <w:jc w:val="center"/>
              <w:ind w:left="155"/>
              <w:spacing w:after="0"/>
              <w:rPr>
                <w:sz w:val="20"/>
                <w:szCs w:val="20"/>
                <w:color w:val="auto"/>
              </w:rPr>
            </w:pPr>
            <w:r>
              <w:rPr>
                <w:rFonts w:ascii="Arial" w:cs="Arial" w:eastAsia="Arial" w:hAnsi="Arial"/>
                <w:sz w:val="18"/>
                <w:szCs w:val="18"/>
                <w:b w:val="1"/>
                <w:bCs w:val="1"/>
                <w:color w:val="51555C"/>
              </w:rPr>
              <w:t>800,000</w:t>
            </w:r>
          </w:p>
        </w:tc>
        <w:tc>
          <w:tcPr>
            <w:tcW w:w="320" w:type="dxa"/>
            <w:vAlign w:val="bottom"/>
            <w:shd w:val="clear" w:color="auto" w:fill="EBFBFF"/>
          </w:tcPr>
          <w:p>
            <w:pPr>
              <w:jc w:val="right"/>
              <w:ind w:right="110"/>
              <w:spacing w:after="0"/>
              <w:rPr>
                <w:sz w:val="20"/>
                <w:szCs w:val="20"/>
                <w:color w:val="auto"/>
              </w:rPr>
            </w:pPr>
            <w:r>
              <w:rPr>
                <w:rFonts w:ascii="Arial" w:cs="Arial" w:eastAsia="Arial" w:hAnsi="Arial"/>
                <w:sz w:val="18"/>
                <w:szCs w:val="18"/>
                <w:color w:val="51555C"/>
                <w:w w:val="99"/>
              </w:rPr>
              <w:t>$</w:t>
            </w:r>
          </w:p>
        </w:tc>
        <w:tc>
          <w:tcPr>
            <w:tcW w:w="10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800,000</w:t>
            </w:r>
          </w:p>
        </w:tc>
        <w:tc>
          <w:tcPr>
            <w:tcW w:w="400" w:type="dxa"/>
            <w:vAlign w:val="bottom"/>
            <w:shd w:val="clear" w:color="auto" w:fill="EBFBFF"/>
          </w:tcPr>
          <w:p>
            <w:pPr>
              <w:jc w:val="right"/>
              <w:ind w:right="190"/>
              <w:spacing w:after="0"/>
              <w:rPr>
                <w:sz w:val="20"/>
                <w:szCs w:val="20"/>
                <w:color w:val="auto"/>
              </w:rPr>
            </w:pPr>
            <w:r>
              <w:rPr>
                <w:rFonts w:ascii="Arial" w:cs="Arial" w:eastAsia="Arial" w:hAnsi="Arial"/>
                <w:sz w:val="18"/>
                <w:szCs w:val="18"/>
                <w:color w:val="51555C"/>
                <w:w w:val="99"/>
              </w:rPr>
              <w:t>$</w:t>
            </w:r>
          </w:p>
        </w:tc>
        <w:tc>
          <w:tcPr>
            <w:tcW w:w="1620" w:type="dxa"/>
            <w:vAlign w:val="bottom"/>
            <w:shd w:val="clear" w:color="auto" w:fill="EBFBFF"/>
          </w:tcPr>
          <w:p>
            <w:pPr>
              <w:ind w:left="720"/>
              <w:spacing w:after="0"/>
              <w:rPr>
                <w:sz w:val="20"/>
                <w:szCs w:val="20"/>
                <w:color w:val="auto"/>
              </w:rPr>
            </w:pPr>
            <w:r>
              <w:rPr>
                <w:rFonts w:ascii="Arial" w:cs="Arial" w:eastAsia="Arial" w:hAnsi="Arial"/>
                <w:sz w:val="18"/>
                <w:szCs w:val="18"/>
                <w:color w:val="51555C"/>
              </w:rPr>
              <w:t>—</w:t>
            </w:r>
          </w:p>
        </w:tc>
        <w:tc>
          <w:tcPr>
            <w:tcW w:w="8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 %</w:t>
            </w:r>
          </w:p>
        </w:tc>
        <w:tc>
          <w:tcPr>
            <w:tcW w:w="0" w:type="dxa"/>
            <w:vAlign w:val="bottom"/>
          </w:tcPr>
          <w:p>
            <w:pPr>
              <w:spacing w:after="0"/>
              <w:rPr>
                <w:sz w:val="1"/>
                <w:szCs w:val="1"/>
                <w:color w:val="auto"/>
              </w:rPr>
            </w:pPr>
          </w:p>
        </w:tc>
      </w:tr>
      <w:tr>
        <w:trPr>
          <w:trHeight w:val="324"/>
        </w:trPr>
        <w:tc>
          <w:tcPr>
            <w:tcW w:w="5560" w:type="dxa"/>
            <w:vAlign w:val="bottom"/>
          </w:tcPr>
          <w:p>
            <w:pPr>
              <w:ind w:left="20"/>
              <w:spacing w:after="0"/>
              <w:rPr>
                <w:sz w:val="20"/>
                <w:szCs w:val="20"/>
                <w:color w:val="auto"/>
              </w:rPr>
            </w:pPr>
            <w:r>
              <w:rPr>
                <w:rFonts w:ascii="Arial" w:cs="Arial" w:eastAsia="Arial" w:hAnsi="Arial"/>
                <w:sz w:val="18"/>
                <w:szCs w:val="18"/>
                <w:b w:val="1"/>
                <w:bCs w:val="1"/>
                <w:color w:val="51555C"/>
              </w:rPr>
              <w:t>Mr. Anderson</w:t>
            </w:r>
            <w:r>
              <w:rPr>
                <w:rFonts w:ascii="Arial" w:cs="Arial" w:eastAsia="Arial" w:hAnsi="Arial"/>
                <w:sz w:val="23"/>
                <w:szCs w:val="23"/>
                <w:b w:val="1"/>
                <w:bCs w:val="1"/>
                <w:color w:val="51555C"/>
                <w:vertAlign w:val="superscript"/>
              </w:rPr>
              <w:t>(1)</w:t>
            </w:r>
          </w:p>
        </w:tc>
        <w:tc>
          <w:tcPr>
            <w:tcW w:w="320" w:type="dxa"/>
            <w:vAlign w:val="bottom"/>
          </w:tcPr>
          <w:p>
            <w:pPr>
              <w:spacing w:after="0"/>
              <w:rPr>
                <w:sz w:val="24"/>
                <w:szCs w:val="24"/>
                <w:color w:val="auto"/>
              </w:rPr>
            </w:pPr>
          </w:p>
        </w:tc>
        <w:tc>
          <w:tcPr>
            <w:tcW w:w="1060" w:type="dxa"/>
            <w:vAlign w:val="bottom"/>
          </w:tcPr>
          <w:p>
            <w:pPr>
              <w:jc w:val="center"/>
              <w:ind w:left="155"/>
              <w:spacing w:after="0"/>
              <w:rPr>
                <w:sz w:val="20"/>
                <w:szCs w:val="20"/>
                <w:color w:val="auto"/>
              </w:rPr>
            </w:pPr>
            <w:r>
              <w:rPr>
                <w:rFonts w:ascii="Arial" w:cs="Arial" w:eastAsia="Arial" w:hAnsi="Arial"/>
                <w:sz w:val="18"/>
                <w:szCs w:val="18"/>
                <w:b w:val="1"/>
                <w:bCs w:val="1"/>
                <w:color w:val="51555C"/>
              </w:rPr>
              <w:t>425,000</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w:t>
            </w:r>
          </w:p>
        </w:tc>
        <w:tc>
          <w:tcPr>
            <w:tcW w:w="400" w:type="dxa"/>
            <w:vAlign w:val="bottom"/>
          </w:tcPr>
          <w:p>
            <w:pPr>
              <w:spacing w:after="0"/>
              <w:rPr>
                <w:sz w:val="24"/>
                <w:szCs w:val="24"/>
                <w:color w:val="auto"/>
              </w:rPr>
            </w:pPr>
          </w:p>
        </w:tc>
        <w:tc>
          <w:tcPr>
            <w:tcW w:w="1620" w:type="dxa"/>
            <w:vAlign w:val="bottom"/>
          </w:tcPr>
          <w:p>
            <w:pPr>
              <w:ind w:left="720"/>
              <w:spacing w:after="0"/>
              <w:rPr>
                <w:sz w:val="20"/>
                <w:szCs w:val="20"/>
                <w:color w:val="auto"/>
              </w:rPr>
            </w:pPr>
            <w:r>
              <w:rPr>
                <w:rFonts w:ascii="Arial" w:cs="Arial" w:eastAsia="Arial" w:hAnsi="Arial"/>
                <w:sz w:val="18"/>
                <w:szCs w:val="18"/>
                <w:color w:val="51555C"/>
              </w:rPr>
              <w:t>—</w:t>
            </w:r>
          </w:p>
        </w:tc>
        <w:tc>
          <w:tcPr>
            <w:tcW w:w="880" w:type="dxa"/>
            <w:vAlign w:val="bottom"/>
          </w:tcPr>
          <w:p>
            <w:pPr>
              <w:jc w:val="right"/>
              <w:spacing w:after="0"/>
              <w:rPr>
                <w:sz w:val="20"/>
                <w:szCs w:val="20"/>
                <w:color w:val="auto"/>
              </w:rPr>
            </w:pPr>
            <w:r>
              <w:rPr>
                <w:rFonts w:ascii="Arial" w:cs="Arial" w:eastAsia="Arial" w:hAnsi="Arial"/>
                <w:sz w:val="18"/>
                <w:szCs w:val="18"/>
                <w:color w:val="51555C"/>
              </w:rPr>
              <w:t>— %</w:t>
            </w:r>
          </w:p>
        </w:tc>
        <w:tc>
          <w:tcPr>
            <w:tcW w:w="0" w:type="dxa"/>
            <w:vAlign w:val="bottom"/>
          </w:tcPr>
          <w:p>
            <w:pPr>
              <w:spacing w:after="0"/>
              <w:rPr>
                <w:sz w:val="1"/>
                <w:szCs w:val="1"/>
                <w:color w:val="auto"/>
              </w:rPr>
            </w:pPr>
          </w:p>
        </w:tc>
      </w:tr>
      <w:tr>
        <w:trPr>
          <w:trHeight w:val="324"/>
        </w:trPr>
        <w:tc>
          <w:tcPr>
            <w:tcW w:w="556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Mr. Boor</w:t>
            </w:r>
          </w:p>
        </w:tc>
        <w:tc>
          <w:tcPr>
            <w:tcW w:w="320" w:type="dxa"/>
            <w:vAlign w:val="bottom"/>
            <w:shd w:val="clear" w:color="auto" w:fill="EBFBFF"/>
          </w:tcPr>
          <w:p>
            <w:pPr>
              <w:spacing w:after="0"/>
              <w:rPr>
                <w:sz w:val="24"/>
                <w:szCs w:val="24"/>
                <w:color w:val="auto"/>
              </w:rPr>
            </w:pPr>
          </w:p>
        </w:tc>
        <w:tc>
          <w:tcPr>
            <w:tcW w:w="1060" w:type="dxa"/>
            <w:vAlign w:val="bottom"/>
            <w:shd w:val="clear" w:color="auto" w:fill="EBFBFF"/>
          </w:tcPr>
          <w:p>
            <w:pPr>
              <w:jc w:val="center"/>
              <w:ind w:left="155"/>
              <w:spacing w:after="0"/>
              <w:rPr>
                <w:sz w:val="20"/>
                <w:szCs w:val="20"/>
                <w:color w:val="auto"/>
              </w:rPr>
            </w:pPr>
            <w:r>
              <w:rPr>
                <w:rFonts w:ascii="Arial" w:cs="Arial" w:eastAsia="Arial" w:hAnsi="Arial"/>
                <w:sz w:val="18"/>
                <w:szCs w:val="18"/>
                <w:b w:val="1"/>
                <w:bCs w:val="1"/>
                <w:color w:val="51555C"/>
              </w:rPr>
              <w:t>518,578</w:t>
            </w:r>
          </w:p>
        </w:tc>
        <w:tc>
          <w:tcPr>
            <w:tcW w:w="320" w:type="dxa"/>
            <w:vAlign w:val="bottom"/>
            <w:shd w:val="clear" w:color="auto" w:fill="EBFBFF"/>
          </w:tcPr>
          <w:p>
            <w:pPr>
              <w:spacing w:after="0"/>
              <w:rPr>
                <w:sz w:val="24"/>
                <w:szCs w:val="24"/>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518,578</w:t>
            </w:r>
          </w:p>
        </w:tc>
        <w:tc>
          <w:tcPr>
            <w:tcW w:w="400" w:type="dxa"/>
            <w:vAlign w:val="bottom"/>
            <w:shd w:val="clear" w:color="auto" w:fill="EBFBFF"/>
          </w:tcPr>
          <w:p>
            <w:pPr>
              <w:spacing w:after="0"/>
              <w:rPr>
                <w:sz w:val="24"/>
                <w:szCs w:val="24"/>
                <w:color w:val="auto"/>
              </w:rPr>
            </w:pPr>
          </w:p>
        </w:tc>
        <w:tc>
          <w:tcPr>
            <w:tcW w:w="1620" w:type="dxa"/>
            <w:vAlign w:val="bottom"/>
            <w:shd w:val="clear" w:color="auto" w:fill="EBFBFF"/>
          </w:tcPr>
          <w:p>
            <w:pPr>
              <w:ind w:left="720"/>
              <w:spacing w:after="0"/>
              <w:rPr>
                <w:sz w:val="20"/>
                <w:szCs w:val="20"/>
                <w:color w:val="auto"/>
              </w:rPr>
            </w:pPr>
            <w:r>
              <w:rPr>
                <w:rFonts w:ascii="Arial" w:cs="Arial" w:eastAsia="Arial" w:hAnsi="Arial"/>
                <w:sz w:val="18"/>
                <w:szCs w:val="18"/>
                <w:color w:val="51555C"/>
              </w:rPr>
              <w:t>—</w:t>
            </w:r>
          </w:p>
        </w:tc>
        <w:tc>
          <w:tcPr>
            <w:tcW w:w="8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 %</w:t>
            </w:r>
          </w:p>
        </w:tc>
        <w:tc>
          <w:tcPr>
            <w:tcW w:w="0" w:type="dxa"/>
            <w:vAlign w:val="bottom"/>
          </w:tcPr>
          <w:p>
            <w:pPr>
              <w:spacing w:after="0"/>
              <w:rPr>
                <w:sz w:val="1"/>
                <w:szCs w:val="1"/>
                <w:color w:val="auto"/>
              </w:rPr>
            </w:pPr>
          </w:p>
        </w:tc>
      </w:tr>
      <w:tr>
        <w:trPr>
          <w:trHeight w:val="316"/>
        </w:trPr>
        <w:tc>
          <w:tcPr>
            <w:tcW w:w="5560" w:type="dxa"/>
            <w:vAlign w:val="bottom"/>
          </w:tcPr>
          <w:p>
            <w:pPr>
              <w:ind w:left="20"/>
              <w:spacing w:after="0"/>
              <w:rPr>
                <w:sz w:val="20"/>
                <w:szCs w:val="20"/>
                <w:color w:val="auto"/>
              </w:rPr>
            </w:pPr>
            <w:r>
              <w:rPr>
                <w:rFonts w:ascii="Arial" w:cs="Arial" w:eastAsia="Arial" w:hAnsi="Arial"/>
                <w:sz w:val="18"/>
                <w:szCs w:val="18"/>
                <w:b w:val="1"/>
                <w:bCs w:val="1"/>
                <w:color w:val="51555C"/>
              </w:rPr>
              <w:t>Mr. Benjamin</w:t>
            </w:r>
          </w:p>
        </w:tc>
        <w:tc>
          <w:tcPr>
            <w:tcW w:w="320" w:type="dxa"/>
            <w:vAlign w:val="bottom"/>
          </w:tcPr>
          <w:p>
            <w:pPr>
              <w:spacing w:after="0"/>
              <w:rPr>
                <w:sz w:val="24"/>
                <w:szCs w:val="24"/>
                <w:color w:val="auto"/>
              </w:rPr>
            </w:pPr>
          </w:p>
        </w:tc>
        <w:tc>
          <w:tcPr>
            <w:tcW w:w="1060" w:type="dxa"/>
            <w:vAlign w:val="bottom"/>
          </w:tcPr>
          <w:p>
            <w:pPr>
              <w:jc w:val="center"/>
              <w:ind w:left="155"/>
              <w:spacing w:after="0"/>
              <w:rPr>
                <w:sz w:val="20"/>
                <w:szCs w:val="20"/>
                <w:color w:val="auto"/>
              </w:rPr>
            </w:pPr>
            <w:r>
              <w:rPr>
                <w:rFonts w:ascii="Arial" w:cs="Arial" w:eastAsia="Arial" w:hAnsi="Arial"/>
                <w:sz w:val="18"/>
                <w:szCs w:val="18"/>
                <w:b w:val="1"/>
                <w:bCs w:val="1"/>
                <w:color w:val="51555C"/>
              </w:rPr>
              <w:t>464,000</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464,000</w:t>
            </w:r>
          </w:p>
        </w:tc>
        <w:tc>
          <w:tcPr>
            <w:tcW w:w="400" w:type="dxa"/>
            <w:vAlign w:val="bottom"/>
          </w:tcPr>
          <w:p>
            <w:pPr>
              <w:spacing w:after="0"/>
              <w:rPr>
                <w:sz w:val="24"/>
                <w:szCs w:val="24"/>
                <w:color w:val="auto"/>
              </w:rPr>
            </w:pPr>
          </w:p>
        </w:tc>
        <w:tc>
          <w:tcPr>
            <w:tcW w:w="1620" w:type="dxa"/>
            <w:vAlign w:val="bottom"/>
          </w:tcPr>
          <w:p>
            <w:pPr>
              <w:ind w:left="720"/>
              <w:spacing w:after="0"/>
              <w:rPr>
                <w:sz w:val="20"/>
                <w:szCs w:val="20"/>
                <w:color w:val="auto"/>
              </w:rPr>
            </w:pPr>
            <w:r>
              <w:rPr>
                <w:rFonts w:ascii="Arial" w:cs="Arial" w:eastAsia="Arial" w:hAnsi="Arial"/>
                <w:sz w:val="18"/>
                <w:szCs w:val="18"/>
                <w:color w:val="51555C"/>
              </w:rPr>
              <w:t>—</w:t>
            </w:r>
          </w:p>
        </w:tc>
        <w:tc>
          <w:tcPr>
            <w:tcW w:w="880" w:type="dxa"/>
            <w:vAlign w:val="bottom"/>
          </w:tcPr>
          <w:p>
            <w:pPr>
              <w:jc w:val="right"/>
              <w:spacing w:after="0"/>
              <w:rPr>
                <w:sz w:val="20"/>
                <w:szCs w:val="20"/>
                <w:color w:val="auto"/>
              </w:rPr>
            </w:pPr>
            <w:r>
              <w:rPr>
                <w:rFonts w:ascii="Arial" w:cs="Arial" w:eastAsia="Arial" w:hAnsi="Arial"/>
                <w:sz w:val="18"/>
                <w:szCs w:val="18"/>
                <w:color w:val="51555C"/>
              </w:rPr>
              <w:t>— %</w:t>
            </w:r>
          </w:p>
        </w:tc>
        <w:tc>
          <w:tcPr>
            <w:tcW w:w="0" w:type="dxa"/>
            <w:vAlign w:val="bottom"/>
          </w:tcPr>
          <w:p>
            <w:pPr>
              <w:spacing w:after="0"/>
              <w:rPr>
                <w:sz w:val="1"/>
                <w:szCs w:val="1"/>
                <w:color w:val="auto"/>
              </w:rPr>
            </w:pPr>
          </w:p>
        </w:tc>
      </w:tr>
      <w:tr>
        <w:trPr>
          <w:trHeight w:val="332"/>
        </w:trPr>
        <w:tc>
          <w:tcPr>
            <w:tcW w:w="556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Mr. Gregoire</w:t>
            </w:r>
          </w:p>
        </w:tc>
        <w:tc>
          <w:tcPr>
            <w:tcW w:w="320" w:type="dxa"/>
            <w:vAlign w:val="bottom"/>
            <w:shd w:val="clear" w:color="auto" w:fill="EBFBFF"/>
          </w:tcPr>
          <w:p>
            <w:pPr>
              <w:spacing w:after="0"/>
              <w:rPr>
                <w:sz w:val="24"/>
                <w:szCs w:val="24"/>
                <w:color w:val="auto"/>
              </w:rPr>
            </w:pPr>
          </w:p>
        </w:tc>
        <w:tc>
          <w:tcPr>
            <w:tcW w:w="1060" w:type="dxa"/>
            <w:vAlign w:val="bottom"/>
            <w:shd w:val="clear" w:color="auto" w:fill="EBFBFF"/>
          </w:tcPr>
          <w:p>
            <w:pPr>
              <w:jc w:val="center"/>
              <w:ind w:left="155"/>
              <w:spacing w:after="0"/>
              <w:rPr>
                <w:sz w:val="20"/>
                <w:szCs w:val="20"/>
                <w:color w:val="auto"/>
              </w:rPr>
            </w:pPr>
            <w:r>
              <w:rPr>
                <w:rFonts w:ascii="Arial" w:cs="Arial" w:eastAsia="Arial" w:hAnsi="Arial"/>
                <w:sz w:val="18"/>
                <w:szCs w:val="18"/>
                <w:b w:val="1"/>
                <w:bCs w:val="1"/>
                <w:color w:val="51555C"/>
              </w:rPr>
              <w:t>490,000</w:t>
            </w:r>
          </w:p>
        </w:tc>
        <w:tc>
          <w:tcPr>
            <w:tcW w:w="320" w:type="dxa"/>
            <w:vAlign w:val="bottom"/>
            <w:shd w:val="clear" w:color="auto" w:fill="EBFBFF"/>
          </w:tcPr>
          <w:p>
            <w:pPr>
              <w:spacing w:after="0"/>
              <w:rPr>
                <w:sz w:val="24"/>
                <w:szCs w:val="24"/>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490,000</w:t>
            </w:r>
          </w:p>
        </w:tc>
        <w:tc>
          <w:tcPr>
            <w:tcW w:w="400" w:type="dxa"/>
            <w:vAlign w:val="bottom"/>
            <w:shd w:val="clear" w:color="auto" w:fill="EBFBFF"/>
          </w:tcPr>
          <w:p>
            <w:pPr>
              <w:spacing w:after="0"/>
              <w:rPr>
                <w:sz w:val="24"/>
                <w:szCs w:val="24"/>
                <w:color w:val="auto"/>
              </w:rPr>
            </w:pPr>
          </w:p>
        </w:tc>
        <w:tc>
          <w:tcPr>
            <w:tcW w:w="1620" w:type="dxa"/>
            <w:vAlign w:val="bottom"/>
            <w:shd w:val="clear" w:color="auto" w:fill="EBFBFF"/>
          </w:tcPr>
          <w:p>
            <w:pPr>
              <w:ind w:left="720"/>
              <w:spacing w:after="0"/>
              <w:rPr>
                <w:sz w:val="20"/>
                <w:szCs w:val="20"/>
                <w:color w:val="auto"/>
              </w:rPr>
            </w:pPr>
            <w:r>
              <w:rPr>
                <w:rFonts w:ascii="Arial" w:cs="Arial" w:eastAsia="Arial" w:hAnsi="Arial"/>
                <w:sz w:val="18"/>
                <w:szCs w:val="18"/>
                <w:color w:val="51555C"/>
              </w:rPr>
              <w:t>—</w:t>
            </w:r>
          </w:p>
        </w:tc>
        <w:tc>
          <w:tcPr>
            <w:tcW w:w="8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 %</w:t>
            </w:r>
          </w:p>
        </w:tc>
        <w:tc>
          <w:tcPr>
            <w:tcW w:w="0" w:type="dxa"/>
            <w:vAlign w:val="bottom"/>
          </w:tcPr>
          <w:p>
            <w:pPr>
              <w:spacing w:after="0"/>
              <w:rPr>
                <w:sz w:val="1"/>
                <w:szCs w:val="1"/>
                <w:color w:val="auto"/>
              </w:rPr>
            </w:pPr>
          </w:p>
        </w:tc>
      </w:tr>
      <w:tr>
        <w:trPr>
          <w:trHeight w:val="318"/>
        </w:trPr>
        <w:tc>
          <w:tcPr>
            <w:tcW w:w="556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51555C"/>
              </w:rPr>
              <w:t>Mr. McDearis</w:t>
            </w:r>
          </w:p>
        </w:tc>
        <w:tc>
          <w:tcPr>
            <w:tcW w:w="320" w:type="dxa"/>
            <w:vAlign w:val="bottom"/>
            <w:tcBorders>
              <w:bottom w:val="single" w:sz="8" w:color="0CD973"/>
            </w:tcBorders>
          </w:tcPr>
          <w:p>
            <w:pPr>
              <w:spacing w:after="0"/>
              <w:rPr>
                <w:sz w:val="24"/>
                <w:szCs w:val="24"/>
                <w:color w:val="auto"/>
              </w:rPr>
            </w:pPr>
          </w:p>
        </w:tc>
        <w:tc>
          <w:tcPr>
            <w:tcW w:w="1060" w:type="dxa"/>
            <w:vAlign w:val="bottom"/>
            <w:tcBorders>
              <w:bottom w:val="single" w:sz="8" w:color="0CD973"/>
            </w:tcBorders>
          </w:tcPr>
          <w:p>
            <w:pPr>
              <w:jc w:val="center"/>
              <w:ind w:left="155"/>
              <w:spacing w:after="0"/>
              <w:rPr>
                <w:sz w:val="20"/>
                <w:szCs w:val="20"/>
                <w:color w:val="auto"/>
              </w:rPr>
            </w:pPr>
            <w:r>
              <w:rPr>
                <w:rFonts w:ascii="Arial" w:cs="Arial" w:eastAsia="Arial" w:hAnsi="Arial"/>
                <w:sz w:val="18"/>
                <w:szCs w:val="18"/>
                <w:b w:val="1"/>
                <w:bCs w:val="1"/>
                <w:color w:val="51555C"/>
              </w:rPr>
              <w:t>475,000</w:t>
            </w:r>
          </w:p>
        </w:tc>
        <w:tc>
          <w:tcPr>
            <w:tcW w:w="320" w:type="dxa"/>
            <w:vAlign w:val="bottom"/>
            <w:tcBorders>
              <w:bottom w:val="single" w:sz="8" w:color="0CD973"/>
            </w:tcBorders>
          </w:tcPr>
          <w:p>
            <w:pPr>
              <w:spacing w:after="0"/>
              <w:rPr>
                <w:sz w:val="24"/>
                <w:szCs w:val="24"/>
                <w:color w:val="auto"/>
              </w:rPr>
            </w:pPr>
          </w:p>
        </w:tc>
        <w:tc>
          <w:tcPr>
            <w:tcW w:w="1060" w:type="dxa"/>
            <w:vAlign w:val="bottom"/>
            <w:tcBorders>
              <w:bottom w:val="single" w:sz="8" w:color="0CD973"/>
            </w:tcBorders>
          </w:tcPr>
          <w:p>
            <w:pPr>
              <w:jc w:val="right"/>
              <w:spacing w:after="0"/>
              <w:rPr>
                <w:sz w:val="20"/>
                <w:szCs w:val="20"/>
                <w:color w:val="auto"/>
              </w:rPr>
            </w:pPr>
            <w:r>
              <w:rPr>
                <w:rFonts w:ascii="Arial" w:cs="Arial" w:eastAsia="Arial" w:hAnsi="Arial"/>
                <w:sz w:val="18"/>
                <w:szCs w:val="18"/>
                <w:color w:val="51555C"/>
              </w:rPr>
              <w:t>475,000</w:t>
            </w:r>
          </w:p>
        </w:tc>
        <w:tc>
          <w:tcPr>
            <w:tcW w:w="400" w:type="dxa"/>
            <w:vAlign w:val="bottom"/>
            <w:tcBorders>
              <w:bottom w:val="single" w:sz="8" w:color="0CD973"/>
            </w:tcBorders>
          </w:tcPr>
          <w:p>
            <w:pPr>
              <w:spacing w:after="0"/>
              <w:rPr>
                <w:sz w:val="24"/>
                <w:szCs w:val="24"/>
                <w:color w:val="auto"/>
              </w:rPr>
            </w:pPr>
          </w:p>
        </w:tc>
        <w:tc>
          <w:tcPr>
            <w:tcW w:w="1620" w:type="dxa"/>
            <w:vAlign w:val="bottom"/>
            <w:tcBorders>
              <w:bottom w:val="single" w:sz="8" w:color="0CD973"/>
            </w:tcBorders>
          </w:tcPr>
          <w:p>
            <w:pPr>
              <w:ind w:left="720"/>
              <w:spacing w:after="0"/>
              <w:rPr>
                <w:sz w:val="20"/>
                <w:szCs w:val="20"/>
                <w:color w:val="auto"/>
              </w:rPr>
            </w:pPr>
            <w:r>
              <w:rPr>
                <w:rFonts w:ascii="Arial" w:cs="Arial" w:eastAsia="Arial" w:hAnsi="Arial"/>
                <w:sz w:val="18"/>
                <w:szCs w:val="18"/>
                <w:color w:val="51555C"/>
              </w:rPr>
              <w:t>—</w:t>
            </w:r>
          </w:p>
        </w:tc>
        <w:tc>
          <w:tcPr>
            <w:tcW w:w="880" w:type="dxa"/>
            <w:vAlign w:val="bottom"/>
            <w:tcBorders>
              <w:bottom w:val="single" w:sz="8" w:color="0CD973"/>
            </w:tcBorders>
          </w:tcPr>
          <w:p>
            <w:pPr>
              <w:jc w:val="right"/>
              <w:spacing w:after="0"/>
              <w:rPr>
                <w:sz w:val="20"/>
                <w:szCs w:val="20"/>
                <w:color w:val="auto"/>
              </w:rPr>
            </w:pPr>
            <w:r>
              <w:rPr>
                <w:rFonts w:ascii="Arial" w:cs="Arial" w:eastAsia="Arial" w:hAnsi="Arial"/>
                <w:sz w:val="18"/>
                <w:szCs w:val="18"/>
                <w:color w:val="51555C"/>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-1405255</wp:posOffset>
            </wp:positionV>
            <wp:extent cx="185166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65"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4"/>
          <w:szCs w:val="14"/>
          <w:color w:val="51555C"/>
        </w:rPr>
      </w:pPr>
      <w:r>
        <w:rPr>
          <w:rFonts w:ascii="Arial" w:cs="Arial" w:eastAsia="Arial" w:hAnsi="Arial"/>
          <w:sz w:val="14"/>
          <w:szCs w:val="14"/>
          <w:color w:val="51555C"/>
        </w:rPr>
        <w:t>Mr. Anderson became an executive officer effective April 30, 2025 and compensation information for 2024 has not been provided in accordance with SEC rules.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Short-term Incentive Compensation</w:t>
      </w:r>
    </w:p>
    <w:p>
      <w:pPr>
        <w:spacing w:after="0" w:line="16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Our STI compensation represents one of the principal variable pay components of our executive compensation program, and during 2025, we provided our executive officers with the opportunity to earn STI compensation based on one or more pre-established corporate performance objectives. Consistent with 2024, the 2025 STI opportunities for our NEOs were provided in the form of PRSUs that are eligible to vest based on achievement of Non-GAAP Adjusted Recurring Revenue and Non-GAAP Adjusted Income from Operations goals established by the Compensation Committee, as discussed in greater detail below.</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Target STI Opportunities</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The following table sets forth each NEO's target STI opportunity for 2025, as set by the Compensation Committee. The Compensation Committee believes that our executive officers should be aligned in their efforts to achieve the Company's overall strategic goals and objectives. Accordingly, each NEO's 2025 STI opportunity was based entirely on corporate performance.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20" w:type="dxa"/>
            <w:vAlign w:val="bottom"/>
            <w:shd w:val="clear" w:color="auto" w:fill="004054"/>
          </w:tcPr>
          <w:p>
            <w:pPr>
              <w:spacing w:after="0"/>
              <w:rPr>
                <w:sz w:val="17"/>
                <w:szCs w:val="17"/>
                <w:color w:val="auto"/>
              </w:rPr>
            </w:pPr>
          </w:p>
        </w:tc>
        <w:tc>
          <w:tcPr>
            <w:tcW w:w="202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Target STI Opportunity as a</w:t>
            </w:r>
          </w:p>
        </w:tc>
        <w:tc>
          <w:tcPr>
            <w:tcW w:w="20" w:type="dxa"/>
            <w:vAlign w:val="bottom"/>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220" w:type="dxa"/>
            <w:vAlign w:val="bottom"/>
            <w:vMerge w:val="restart"/>
            <w:shd w:val="clear" w:color="auto" w:fill="004054"/>
          </w:tcPr>
          <w:p>
            <w:pPr>
              <w:ind w:left="40"/>
              <w:spacing w:after="0"/>
              <w:rPr>
                <w:sz w:val="20"/>
                <w:szCs w:val="20"/>
                <w:color w:val="auto"/>
              </w:rPr>
            </w:pPr>
            <w:r>
              <w:rPr>
                <w:rFonts w:ascii="Arial" w:cs="Arial" w:eastAsia="Arial" w:hAnsi="Arial"/>
                <w:sz w:val="14"/>
                <w:szCs w:val="14"/>
                <w:b w:val="1"/>
                <w:bCs w:val="1"/>
                <w:color w:val="FFFFFF"/>
              </w:rPr>
              <w:t>Name</w:t>
            </w:r>
          </w:p>
        </w:tc>
        <w:tc>
          <w:tcPr>
            <w:tcW w:w="202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Percentage</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9220" w:type="dxa"/>
            <w:vAlign w:val="bottom"/>
            <w:vMerge w:val="continue"/>
            <w:shd w:val="clear" w:color="auto" w:fill="004054"/>
          </w:tcPr>
          <w:p>
            <w:pPr>
              <w:spacing w:after="0"/>
              <w:rPr>
                <w:sz w:val="18"/>
                <w:szCs w:val="18"/>
                <w:color w:val="auto"/>
              </w:rPr>
            </w:pPr>
          </w:p>
        </w:tc>
        <w:tc>
          <w:tcPr>
            <w:tcW w:w="202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of Base Salary</w:t>
            </w:r>
          </w:p>
        </w:tc>
        <w:tc>
          <w:tcPr>
            <w:tcW w:w="20" w:type="dxa"/>
            <w:vAlign w:val="bottom"/>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22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Mr. Gianoni</w:t>
            </w:r>
          </w:p>
        </w:tc>
        <w:tc>
          <w:tcPr>
            <w:tcW w:w="202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9"/>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20" w:type="dxa"/>
            <w:vAlign w:val="bottom"/>
          </w:tcPr>
          <w:p>
            <w:pPr>
              <w:ind w:left="20"/>
              <w:spacing w:after="0"/>
              <w:rPr>
                <w:sz w:val="20"/>
                <w:szCs w:val="20"/>
                <w:color w:val="auto"/>
              </w:rPr>
            </w:pPr>
            <w:r>
              <w:rPr>
                <w:rFonts w:ascii="Arial" w:cs="Arial" w:eastAsia="Arial" w:hAnsi="Arial"/>
                <w:sz w:val="18"/>
                <w:szCs w:val="18"/>
                <w:b w:val="1"/>
                <w:bCs w:val="1"/>
                <w:color w:val="51555C"/>
              </w:rPr>
              <w:t>Mr. Anderson</w:t>
            </w:r>
            <w:r>
              <w:rPr>
                <w:rFonts w:ascii="Arial" w:cs="Arial" w:eastAsia="Arial" w:hAnsi="Arial"/>
                <w:sz w:val="23"/>
                <w:szCs w:val="23"/>
                <w:b w:val="1"/>
                <w:bCs w:val="1"/>
                <w:color w:val="51555C"/>
                <w:vertAlign w:val="superscript"/>
              </w:rPr>
              <w:t>(1)</w:t>
            </w:r>
          </w:p>
        </w:tc>
        <w:tc>
          <w:tcPr>
            <w:tcW w:w="2020" w:type="dxa"/>
            <w:vAlign w:val="bottom"/>
          </w:tcPr>
          <w:p>
            <w:pPr>
              <w:jc w:val="center"/>
              <w:spacing w:after="0"/>
              <w:rPr>
                <w:sz w:val="20"/>
                <w:szCs w:val="20"/>
                <w:color w:val="auto"/>
              </w:rPr>
            </w:pPr>
            <w:r>
              <w:rPr>
                <w:rFonts w:ascii="Arial" w:cs="Arial" w:eastAsia="Arial" w:hAnsi="Arial"/>
                <w:sz w:val="18"/>
                <w:szCs w:val="18"/>
                <w:color w:val="51555C"/>
                <w:w w:val="98"/>
              </w:rPr>
              <w:t>60% / 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2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Mr. Boor</w:t>
            </w:r>
          </w:p>
        </w:tc>
        <w:tc>
          <w:tcPr>
            <w:tcW w:w="202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9"/>
              </w:rPr>
              <w:t>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9220" w:type="dxa"/>
            <w:vAlign w:val="bottom"/>
          </w:tcPr>
          <w:p>
            <w:pPr>
              <w:ind w:left="20"/>
              <w:spacing w:after="0"/>
              <w:rPr>
                <w:sz w:val="20"/>
                <w:szCs w:val="20"/>
                <w:color w:val="auto"/>
              </w:rPr>
            </w:pPr>
            <w:r>
              <w:rPr>
                <w:rFonts w:ascii="Arial" w:cs="Arial" w:eastAsia="Arial" w:hAnsi="Arial"/>
                <w:sz w:val="18"/>
                <w:szCs w:val="18"/>
                <w:b w:val="1"/>
                <w:bCs w:val="1"/>
                <w:color w:val="51555C"/>
              </w:rPr>
              <w:t>Mr. Benjamin</w:t>
            </w:r>
          </w:p>
        </w:tc>
        <w:tc>
          <w:tcPr>
            <w:tcW w:w="2020" w:type="dxa"/>
            <w:vAlign w:val="bottom"/>
          </w:tcPr>
          <w:p>
            <w:pPr>
              <w:jc w:val="center"/>
              <w:spacing w:after="0"/>
              <w:rPr>
                <w:sz w:val="20"/>
                <w:szCs w:val="20"/>
                <w:color w:val="auto"/>
              </w:rPr>
            </w:pPr>
            <w:r>
              <w:rPr>
                <w:rFonts w:ascii="Arial" w:cs="Arial" w:eastAsia="Arial" w:hAnsi="Arial"/>
                <w:sz w:val="18"/>
                <w:szCs w:val="18"/>
                <w:color w:val="51555C"/>
                <w:w w:val="99"/>
              </w:rPr>
              <w:t>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22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Mr. Gregoire</w:t>
            </w:r>
          </w:p>
        </w:tc>
        <w:tc>
          <w:tcPr>
            <w:tcW w:w="202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9"/>
              </w:rPr>
              <w:t>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2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51555C"/>
              </w:rPr>
              <w:t>Mr. McDearis</w:t>
            </w:r>
          </w:p>
        </w:tc>
        <w:tc>
          <w:tcPr>
            <w:tcW w:w="2020" w:type="dxa"/>
            <w:vAlign w:val="bottom"/>
            <w:tcBorders>
              <w:bottom w:val="single" w:sz="8" w:color="0CD973"/>
            </w:tcBorders>
          </w:tcPr>
          <w:p>
            <w:pPr>
              <w:jc w:val="center"/>
              <w:spacing w:after="0"/>
              <w:rPr>
                <w:sz w:val="20"/>
                <w:szCs w:val="20"/>
                <w:color w:val="auto"/>
              </w:rPr>
            </w:pPr>
            <w:r>
              <w:rPr>
                <w:rFonts w:ascii="Arial" w:cs="Arial" w:eastAsia="Arial" w:hAnsi="Arial"/>
                <w:sz w:val="18"/>
                <w:szCs w:val="18"/>
                <w:color w:val="51555C"/>
                <w:w w:val="99"/>
              </w:rPr>
              <w:t>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20" w:hanging="332"/>
        <w:spacing w:after="0" w:line="305" w:lineRule="auto"/>
        <w:tabs>
          <w:tab w:leader="none" w:pos="354" w:val="left"/>
        </w:tabs>
        <w:numPr>
          <w:ilvl w:val="0"/>
          <w:numId w:val="49"/>
        </w:numPr>
        <w:rPr>
          <w:rFonts w:ascii="Arial" w:cs="Arial" w:eastAsia="Arial" w:hAnsi="Arial"/>
          <w:sz w:val="14"/>
          <w:szCs w:val="14"/>
          <w:color w:val="51555C"/>
        </w:rPr>
      </w:pPr>
      <w:r>
        <w:rPr>
          <w:rFonts w:ascii="Arial" w:cs="Arial" w:eastAsia="Arial" w:hAnsi="Arial"/>
          <w:sz w:val="14"/>
          <w:szCs w:val="14"/>
          <w:color w:val="51555C"/>
        </w:rPr>
        <w:t>Due to his promotion, Mr. Anderson's 2025 target STI opportunity was prorated at 60% from January 1, 2025 through April 30, 2025 and 75% from May 1, 2025 through December 31, 2025.</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2025 STI PRSUs to NEOs</w:t>
      </w:r>
    </w:p>
    <w:p>
      <w:pPr>
        <w:spacing w:after="0" w:line="17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51555C"/>
        </w:rPr>
        <w:t>On February 18, 2025, the Compensation Committee granted PRSUs to our NEOs for their STI opportunities. Accordingly, for 2025, STI compensation is reported in the “Stock Awards” columns of the 2025 Summary Compensation Table and the 2025 NEO Compensation Summary on pages 53 and 9, respectively, of this Proxy Statement. The performance metrics, thresholds and targets for the 2025 STI plan (discussed below) were approved by the Compensation Committee at the time of grant during the first quarter of 2025 and were not subsequently changed. Shares of our common stock subject to the 2025 STI PRSUs may be earned and become eligible for vesting based on our achievement of equally weighted Non-GAAP Adjusted Recurring Revenue and Non-GAAP Adjusted Income from Operations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221615</wp:posOffset>
            </wp:positionV>
            <wp:extent cx="702945" cy="1117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02945" cy="111760"/>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43</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45" w:name="page46"/>
    <w:bookmarkEnd w:id="45"/>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EXECUTIVE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100"/>
          </w:cols>
          <w:pgMar w:left="320" w:top="338" w:right="31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On April 30, 2025, Mr. Anderson was promoted to Executive Vice President and CFO. In connection with his promotion, in May 2025, Mr. Anderson was granted a prorated May 2025 Promotion STI award of 602 PRSUs under the 2025 annual plan with metrics consistent with the 2025 STI PRSUs performance metrics as defined below. To the extent earned, the May 2025 Promotion STI PRSUs will vest on May 2, 2026. The Compensation Committee determined the May 2025 Promotion STI award level for Mr. Anderson consistent with its executive compensation setting process and in consideration of his increased responsibilities.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51555C"/>
        </w:rPr>
        <w:t>For purposes of determining 2025 STI PRSUs attainment:</w:t>
      </w:r>
    </w:p>
    <w:p>
      <w:pPr>
        <w:spacing w:after="0" w:line="63" w:lineRule="exact"/>
        <w:rPr>
          <w:sz w:val="20"/>
          <w:szCs w:val="20"/>
          <w:color w:val="auto"/>
        </w:rPr>
      </w:pPr>
    </w:p>
    <w:p>
      <w:pPr>
        <w:jc w:val="both"/>
        <w:ind w:left="660" w:right="20" w:hanging="328"/>
        <w:spacing w:after="0" w:line="268" w:lineRule="auto"/>
        <w:tabs>
          <w:tab w:leader="none" w:pos="628" w:val="left"/>
        </w:tabs>
        <w:numPr>
          <w:ilvl w:val="0"/>
          <w:numId w:val="50"/>
        </w:numPr>
        <w:rPr>
          <w:rFonts w:ascii="Arial" w:cs="Arial" w:eastAsia="Arial" w:hAnsi="Arial"/>
          <w:sz w:val="18"/>
          <w:szCs w:val="18"/>
          <w:color w:val="51555C"/>
        </w:rPr>
      </w:pPr>
      <w:r>
        <w:rPr>
          <w:rFonts w:ascii="Arial" w:cs="Arial" w:eastAsia="Arial" w:hAnsi="Arial"/>
          <w:sz w:val="18"/>
          <w:szCs w:val="18"/>
          <w:color w:val="51555C"/>
        </w:rPr>
        <w:t>“Non-GAAP Adjusted Recurring Revenue” means our 2025 GAAP recurring revenue as presented in our periodic reports filed with the SEC (within the section "Management's discussion and analysis of financial condition and results of operations" of those reports), adjusted to exclude the impact during 2025 of acquisitions or dispositions.</w:t>
      </w:r>
    </w:p>
    <w:p>
      <w:pPr>
        <w:spacing w:after="0" w:line="8" w:lineRule="exact"/>
        <w:rPr>
          <w:rFonts w:ascii="Arial" w:cs="Arial" w:eastAsia="Arial" w:hAnsi="Arial"/>
          <w:sz w:val="18"/>
          <w:szCs w:val="18"/>
          <w:color w:val="51555C"/>
        </w:rPr>
      </w:pPr>
    </w:p>
    <w:p>
      <w:pPr>
        <w:jc w:val="both"/>
        <w:ind w:left="660" w:right="20" w:hanging="328"/>
        <w:spacing w:after="0" w:line="262" w:lineRule="auto"/>
        <w:tabs>
          <w:tab w:leader="none" w:pos="628" w:val="left"/>
        </w:tabs>
        <w:numPr>
          <w:ilvl w:val="0"/>
          <w:numId w:val="50"/>
        </w:numPr>
        <w:rPr>
          <w:rFonts w:ascii="Arial" w:cs="Arial" w:eastAsia="Arial" w:hAnsi="Arial"/>
          <w:sz w:val="18"/>
          <w:szCs w:val="18"/>
          <w:color w:val="51555C"/>
        </w:rPr>
      </w:pPr>
      <w:r>
        <w:rPr>
          <w:rFonts w:ascii="Arial" w:cs="Arial" w:eastAsia="Arial" w:hAnsi="Arial"/>
          <w:sz w:val="18"/>
          <w:szCs w:val="18"/>
          <w:color w:val="51555C"/>
        </w:rPr>
        <w:t>“Non-GAAP Adjusted Income from Operations” means our 2025 non-GAAP income from operations as presented in our periodic reports filed with the SEC (within the section "Management's discussion and analysis of financial condition and results of operations" of those reports), adjusted to exclude the impact during 2025 of acquisitions or dispositions, and add back any costs or operating expenses associated with acquired or disposed companies.</w:t>
      </w:r>
    </w:p>
    <w:p>
      <w:pPr>
        <w:spacing w:after="0" w:line="12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The Compensation Committee selected "Non-GAAP Adjusted Recurring Revenue" as a performance metric because it reflects our decision to intentionally shift our focus towards selling our solutions under a cloud subscription business model. Our recurring revenue contracts, including for our cloud solutions, are generally for a term of three years at contract inception with three-year renewals thereafter. This strategic shift to sell our customers cloud subscription solutions results in a decrease in one-time services contracts and revenue. The cloud subscription business model establishes a predictable income stream and increases overall customer lifetime value. As a result, the Committee believes recurring revenue growth is a strong indicator of our long-term ability to increase profitability, cash flow and deliver stockholder value. During 2025, our recurring revenue grew to approximately 98% of total revenue.</w:t>
      </w:r>
    </w:p>
    <w:p>
      <w:pPr>
        <w:spacing w:after="0" w:line="12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51555C"/>
        </w:rPr>
        <w:t>The Compensation Committee selected "Non-GAAP Adjusted Income from Operations" as a performance metric because it focuses on results of operations, without considering the cost of financing those operations (interest on debt or gains and losses on debt extinguishment and termination of derivative instruments), our tax provision, and non-operating items like interest income and foreign exchange transaction gains and losses.</w:t>
      </w:r>
    </w:p>
    <w:p>
      <w:pPr>
        <w:spacing w:after="0" w:line="12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To the extent earned, the 2025 STI PRSUs would vest in February 2026 (subject to continued employment through the vesting date). Achievement against the 2025 STI PRSUs performance metrics was to be calculated on a constant currency basis, eliminating both positive and negative effects of currency exchange rate fluctuations since the date of grant. The Compensation Committee weighted the 2025 STI PRSUs performance metrics equally. The threshold levels for either of the 2025 STI PRSUs performance metrics had to be achieved or exceeded for there to be a payout (but with such payout still subject to remaining vesting conditions).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51555C"/>
        </w:rPr>
        <w:t>The Compensation Committee evaluated our performance against the 2025 STI PRSUs performance metrics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20" w:type="dxa"/>
            <w:vAlign w:val="bottom"/>
            <w:tcBorders>
              <w:top w:val="single" w:sz="8" w:color="004054"/>
              <w:bottom w:val="single" w:sz="8" w:color="004054"/>
              <w:right w:val="single" w:sz="8" w:color="006880"/>
            </w:tcBorders>
            <w:shd w:val="clear" w:color="auto" w:fill="004054"/>
          </w:tcPr>
          <w:p>
            <w:pPr>
              <w:spacing w:after="0"/>
              <w:rPr>
                <w:sz w:val="20"/>
                <w:szCs w:val="20"/>
                <w:color w:val="auto"/>
              </w:rPr>
            </w:pPr>
          </w:p>
        </w:tc>
        <w:tc>
          <w:tcPr>
            <w:tcW w:w="1220" w:type="dxa"/>
            <w:vAlign w:val="bottom"/>
            <w:tcBorders>
              <w:top w:val="single" w:sz="8" w:color="006880"/>
              <w:bottom w:val="single" w:sz="8" w:color="006880"/>
            </w:tcBorders>
            <w:shd w:val="clear" w:color="auto" w:fill="006880"/>
          </w:tcPr>
          <w:p>
            <w:pPr>
              <w:spacing w:after="0"/>
              <w:rPr>
                <w:sz w:val="20"/>
                <w:szCs w:val="20"/>
                <w:color w:val="auto"/>
              </w:rPr>
            </w:pPr>
          </w:p>
        </w:tc>
        <w:tc>
          <w:tcPr>
            <w:tcW w:w="2840" w:type="dxa"/>
            <w:vAlign w:val="bottom"/>
            <w:tcBorders>
              <w:top w:val="single" w:sz="8" w:color="006880"/>
              <w:bottom w:val="single" w:sz="8" w:color="006880"/>
            </w:tcBorders>
            <w:gridSpan w:val="3"/>
            <w:shd w:val="clear" w:color="auto" w:fill="006880"/>
          </w:tcPr>
          <w:p>
            <w:pPr>
              <w:jc w:val="center"/>
              <w:spacing w:after="0"/>
              <w:rPr>
                <w:sz w:val="20"/>
                <w:szCs w:val="20"/>
                <w:color w:val="auto"/>
              </w:rPr>
            </w:pPr>
            <w:r>
              <w:rPr>
                <w:rFonts w:ascii="Arial" w:cs="Arial" w:eastAsia="Arial" w:hAnsi="Arial"/>
                <w:sz w:val="14"/>
                <w:szCs w:val="14"/>
                <w:b w:val="1"/>
                <w:bCs w:val="1"/>
                <w:color w:val="FFFFFF"/>
              </w:rPr>
              <w:t>Performance (dollars in millions)</w:t>
            </w:r>
          </w:p>
        </w:tc>
        <w:tc>
          <w:tcPr>
            <w:tcW w:w="1260" w:type="dxa"/>
            <w:vAlign w:val="bottom"/>
            <w:tcBorders>
              <w:top w:val="single" w:sz="8" w:color="006880"/>
              <w:bottom w:val="single" w:sz="8" w:color="006880"/>
            </w:tcBorders>
            <w:shd w:val="clear" w:color="auto" w:fill="006880"/>
          </w:tcPr>
          <w:p>
            <w:pPr>
              <w:spacing w:after="0"/>
              <w:rPr>
                <w:sz w:val="20"/>
                <w:szCs w:val="20"/>
                <w:color w:val="auto"/>
              </w:rPr>
            </w:pPr>
          </w:p>
        </w:tc>
        <w:tc>
          <w:tcPr>
            <w:tcW w:w="20" w:type="dxa"/>
            <w:vAlign w:val="bottom"/>
            <w:tcBorders>
              <w:top w:val="single" w:sz="8" w:color="006880"/>
              <w:bottom w:val="single" w:sz="8" w:color="006880"/>
            </w:tcBorders>
            <w:shd w:val="clear" w:color="auto" w:fill="006880"/>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920" w:type="dxa"/>
            <w:vAlign w:val="bottom"/>
            <w:tcBorders>
              <w:right w:val="single" w:sz="8" w:color="006880"/>
            </w:tcBorders>
            <w:shd w:val="clear" w:color="auto" w:fill="004054"/>
          </w:tcPr>
          <w:p>
            <w:pPr>
              <w:spacing w:after="0"/>
              <w:rPr>
                <w:sz w:val="16"/>
                <w:szCs w:val="16"/>
                <w:color w:val="auto"/>
              </w:rPr>
            </w:pPr>
          </w:p>
        </w:tc>
        <w:tc>
          <w:tcPr>
            <w:tcW w:w="122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Below</w:t>
            </w:r>
          </w:p>
        </w:tc>
        <w:tc>
          <w:tcPr>
            <w:tcW w:w="1260" w:type="dxa"/>
            <w:vAlign w:val="bottom"/>
            <w:shd w:val="clear" w:color="auto" w:fill="004054"/>
          </w:tcPr>
          <w:p>
            <w:pPr>
              <w:spacing w:after="0"/>
              <w:rPr>
                <w:sz w:val="16"/>
                <w:szCs w:val="16"/>
                <w:color w:val="auto"/>
              </w:rPr>
            </w:pPr>
          </w:p>
        </w:tc>
        <w:tc>
          <w:tcPr>
            <w:tcW w:w="1240" w:type="dxa"/>
            <w:vAlign w:val="bottom"/>
            <w:shd w:val="clear" w:color="auto" w:fill="004054"/>
          </w:tcPr>
          <w:p>
            <w:pPr>
              <w:spacing w:after="0"/>
              <w:rPr>
                <w:sz w:val="16"/>
                <w:szCs w:val="16"/>
                <w:color w:val="auto"/>
              </w:rPr>
            </w:pPr>
          </w:p>
        </w:tc>
        <w:tc>
          <w:tcPr>
            <w:tcW w:w="340" w:type="dxa"/>
            <w:vAlign w:val="bottom"/>
            <w:shd w:val="clear" w:color="auto" w:fill="004054"/>
          </w:tcPr>
          <w:p>
            <w:pPr>
              <w:spacing w:after="0"/>
              <w:rPr>
                <w:sz w:val="16"/>
                <w:szCs w:val="16"/>
                <w:color w:val="auto"/>
              </w:rPr>
            </w:pPr>
          </w:p>
        </w:tc>
        <w:tc>
          <w:tcPr>
            <w:tcW w:w="126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004054"/>
              <w:right w:val="single" w:sz="8" w:color="006880"/>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2025 Corporate Performance Metrics</w:t>
            </w:r>
          </w:p>
        </w:tc>
        <w:tc>
          <w:tcPr>
            <w:tcW w:w="122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Threshold</w:t>
            </w:r>
          </w:p>
        </w:tc>
        <w:tc>
          <w:tcPr>
            <w:tcW w:w="1260" w:type="dxa"/>
            <w:vAlign w:val="bottom"/>
            <w:tcBorders>
              <w:bottom w:val="single" w:sz="8" w:color="004054"/>
            </w:tcBorders>
            <w:shd w:val="clear" w:color="auto" w:fill="004054"/>
          </w:tcPr>
          <w:p>
            <w:pPr>
              <w:ind w:left="280"/>
              <w:spacing w:after="0"/>
              <w:rPr>
                <w:sz w:val="20"/>
                <w:szCs w:val="20"/>
                <w:color w:val="auto"/>
              </w:rPr>
            </w:pPr>
            <w:r>
              <w:rPr>
                <w:rFonts w:ascii="Arial" w:cs="Arial" w:eastAsia="Arial" w:hAnsi="Arial"/>
                <w:sz w:val="14"/>
                <w:szCs w:val="14"/>
                <w:b w:val="1"/>
                <w:bCs w:val="1"/>
                <w:color w:val="FFFFFF"/>
              </w:rPr>
              <w:t>Threshold</w:t>
            </w:r>
          </w:p>
        </w:tc>
        <w:tc>
          <w:tcPr>
            <w:tcW w:w="1240" w:type="dxa"/>
            <w:vAlign w:val="bottom"/>
            <w:tcBorders>
              <w:bottom w:val="single" w:sz="8" w:color="004054"/>
            </w:tcBorders>
            <w:shd w:val="clear" w:color="auto" w:fill="004054"/>
          </w:tcPr>
          <w:p>
            <w:pPr>
              <w:ind w:left="400"/>
              <w:spacing w:after="0"/>
              <w:rPr>
                <w:sz w:val="20"/>
                <w:szCs w:val="20"/>
                <w:color w:val="auto"/>
              </w:rPr>
            </w:pPr>
            <w:r>
              <w:rPr>
                <w:rFonts w:ascii="Arial" w:cs="Arial" w:eastAsia="Arial" w:hAnsi="Arial"/>
                <w:sz w:val="14"/>
                <w:szCs w:val="14"/>
                <w:b w:val="1"/>
                <w:bCs w:val="1"/>
                <w:color w:val="FFFFFF"/>
              </w:rPr>
              <w:t>Target</w:t>
            </w:r>
          </w:p>
        </w:tc>
        <w:tc>
          <w:tcPr>
            <w:tcW w:w="340" w:type="dxa"/>
            <w:vAlign w:val="bottom"/>
            <w:tcBorders>
              <w:bottom w:val="single" w:sz="8" w:color="004054"/>
            </w:tcBorders>
            <w:shd w:val="clear" w:color="auto" w:fill="004054"/>
          </w:tcPr>
          <w:p>
            <w:pPr>
              <w:spacing w:after="0"/>
              <w:rPr>
                <w:sz w:val="19"/>
                <w:szCs w:val="19"/>
                <w:color w:val="auto"/>
              </w:rPr>
            </w:pPr>
          </w:p>
        </w:tc>
        <w:tc>
          <w:tcPr>
            <w:tcW w:w="1260" w:type="dxa"/>
            <w:vAlign w:val="bottom"/>
            <w:tcBorders>
              <w:bottom w:val="single" w:sz="8" w:color="004054"/>
            </w:tcBorders>
            <w:shd w:val="clear" w:color="auto" w:fill="004054"/>
          </w:tcPr>
          <w:p>
            <w:pPr>
              <w:ind w:left="300"/>
              <w:spacing w:after="0"/>
              <w:rPr>
                <w:sz w:val="20"/>
                <w:szCs w:val="20"/>
                <w:color w:val="auto"/>
              </w:rPr>
            </w:pPr>
            <w:r>
              <w:rPr>
                <w:rFonts w:ascii="Arial" w:cs="Arial" w:eastAsia="Arial" w:hAnsi="Arial"/>
                <w:sz w:val="14"/>
                <w:szCs w:val="14"/>
                <w:b w:val="1"/>
                <w:bCs w:val="1"/>
                <w:color w:val="FFFFFF"/>
              </w:rPr>
              <w:t>Maximum</w:t>
            </w:r>
          </w:p>
        </w:tc>
        <w:tc>
          <w:tcPr>
            <w:tcW w:w="20" w:type="dxa"/>
            <w:vAlign w:val="bottom"/>
            <w:tcBorders>
              <w:bottom w:val="single" w:sz="8" w:color="004054"/>
            </w:tcBorders>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920" w:type="dxa"/>
            <w:vAlign w:val="bottom"/>
            <w:tcBorders>
              <w:top w:val="single" w:sz="8" w:color="004054"/>
              <w:right w:val="single" w:sz="8" w:color="EBFBFF"/>
            </w:tcBorders>
            <w:vMerge w:val="restart"/>
            <w:shd w:val="clear" w:color="auto" w:fill="EBFBFF"/>
          </w:tcPr>
          <w:p>
            <w:pPr>
              <w:ind w:left="20"/>
              <w:spacing w:after="0"/>
              <w:rPr>
                <w:sz w:val="20"/>
                <w:szCs w:val="20"/>
                <w:color w:val="auto"/>
              </w:rPr>
            </w:pPr>
            <w:r>
              <w:rPr>
                <w:rFonts w:ascii="Arial" w:cs="Arial" w:eastAsia="Arial" w:hAnsi="Arial"/>
                <w:sz w:val="18"/>
                <w:szCs w:val="18"/>
                <w:color w:val="51555C"/>
              </w:rPr>
              <w:t>Non-GAAP Adjusted Recurring Revenue</w:t>
            </w:r>
          </w:p>
        </w:tc>
        <w:tc>
          <w:tcPr>
            <w:tcW w:w="1220" w:type="dxa"/>
            <w:vAlign w:val="bottom"/>
            <w:tcBorders>
              <w:top w:val="single" w:sz="8" w:color="004054"/>
            </w:tcBorders>
            <w:vMerge w:val="restart"/>
            <w:shd w:val="clear" w:color="auto" w:fill="EBFBFF"/>
          </w:tcPr>
          <w:p>
            <w:pPr>
              <w:jc w:val="center"/>
              <w:spacing w:after="0"/>
              <w:rPr>
                <w:sz w:val="20"/>
                <w:szCs w:val="20"/>
                <w:color w:val="auto"/>
              </w:rPr>
            </w:pPr>
            <w:r>
              <w:rPr>
                <w:rFonts w:ascii="Arial" w:cs="Arial" w:eastAsia="Arial" w:hAnsi="Arial"/>
                <w:sz w:val="18"/>
                <w:szCs w:val="18"/>
                <w:color w:val="51555C"/>
                <w:w w:val="99"/>
              </w:rPr>
              <w:t>&lt; $995.4</w:t>
            </w:r>
          </w:p>
        </w:tc>
        <w:tc>
          <w:tcPr>
            <w:tcW w:w="1260" w:type="dxa"/>
            <w:vAlign w:val="bottom"/>
            <w:tcBorders>
              <w:top w:val="single" w:sz="8" w:color="004054"/>
            </w:tcBorders>
            <w:vMerge w:val="restart"/>
            <w:shd w:val="clear" w:color="auto" w:fill="EBFBFF"/>
          </w:tcPr>
          <w:p>
            <w:pPr>
              <w:jc w:val="center"/>
              <w:spacing w:after="0"/>
              <w:rPr>
                <w:sz w:val="20"/>
                <w:szCs w:val="20"/>
                <w:color w:val="auto"/>
              </w:rPr>
            </w:pPr>
            <w:r>
              <w:rPr>
                <w:rFonts w:ascii="Arial" w:cs="Arial" w:eastAsia="Arial" w:hAnsi="Arial"/>
                <w:sz w:val="18"/>
                <w:szCs w:val="18"/>
                <w:color w:val="51555C"/>
                <w:w w:val="98"/>
              </w:rPr>
              <w:t>$995.4</w:t>
            </w:r>
          </w:p>
        </w:tc>
        <w:tc>
          <w:tcPr>
            <w:tcW w:w="1240" w:type="dxa"/>
            <w:vAlign w:val="bottom"/>
            <w:tcBorders>
              <w:top w:val="single" w:sz="8" w:color="004054"/>
            </w:tcBorders>
            <w:vMerge w:val="restart"/>
            <w:shd w:val="clear" w:color="auto" w:fill="EBFBFF"/>
          </w:tcPr>
          <w:p>
            <w:pPr>
              <w:jc w:val="center"/>
              <w:spacing w:after="0"/>
              <w:rPr>
                <w:sz w:val="20"/>
                <w:szCs w:val="20"/>
                <w:color w:val="auto"/>
              </w:rPr>
            </w:pPr>
            <w:r>
              <w:rPr>
                <w:rFonts w:ascii="Arial" w:cs="Arial" w:eastAsia="Arial" w:hAnsi="Arial"/>
                <w:sz w:val="18"/>
                <w:szCs w:val="18"/>
                <w:color w:val="51555C"/>
                <w:w w:val="99"/>
              </w:rPr>
              <w:t>$1,106.0</w:t>
            </w:r>
          </w:p>
        </w:tc>
        <w:tc>
          <w:tcPr>
            <w:tcW w:w="340" w:type="dxa"/>
            <w:vAlign w:val="bottom"/>
            <w:tcBorders>
              <w:top w:val="single" w:sz="8" w:color="004054"/>
            </w:tcBorders>
            <w:shd w:val="clear" w:color="auto" w:fill="EBFBFF"/>
          </w:tcPr>
          <w:p>
            <w:pPr>
              <w:jc w:val="right"/>
              <w:ind w:right="117"/>
              <w:spacing w:after="0"/>
              <w:rPr>
                <w:sz w:val="20"/>
                <w:szCs w:val="20"/>
                <w:color w:val="auto"/>
              </w:rPr>
            </w:pPr>
            <w:r>
              <w:rPr>
                <w:rFonts w:ascii="Arial" w:cs="Arial" w:eastAsia="Arial" w:hAnsi="Arial"/>
                <w:sz w:val="13"/>
                <w:szCs w:val="13"/>
                <w:color w:val="51555C"/>
                <w:w w:val="87"/>
              </w:rPr>
              <w:t>(1)</w:t>
            </w:r>
          </w:p>
        </w:tc>
        <w:tc>
          <w:tcPr>
            <w:tcW w:w="1260" w:type="dxa"/>
            <w:vAlign w:val="bottom"/>
            <w:tcBorders>
              <w:top w:val="single" w:sz="8" w:color="004054"/>
            </w:tcBorders>
            <w:vMerge w:val="restart"/>
            <w:shd w:val="clear" w:color="auto" w:fill="EBFBFF"/>
          </w:tcPr>
          <w:p>
            <w:pPr>
              <w:jc w:val="center"/>
              <w:spacing w:after="0"/>
              <w:rPr>
                <w:sz w:val="20"/>
                <w:szCs w:val="20"/>
                <w:color w:val="auto"/>
              </w:rPr>
            </w:pPr>
            <w:r>
              <w:rPr>
                <w:rFonts w:ascii="Arial" w:cs="Arial" w:eastAsia="Arial" w:hAnsi="Arial"/>
                <w:sz w:val="18"/>
                <w:szCs w:val="18"/>
                <w:color w:val="51555C"/>
                <w:w w:val="99"/>
              </w:rPr>
              <w:t>$1,216.6</w:t>
            </w:r>
          </w:p>
        </w:tc>
        <w:tc>
          <w:tcPr>
            <w:tcW w:w="20" w:type="dxa"/>
            <w:vAlign w:val="bottom"/>
            <w:tcBorders>
              <w:top w:val="single" w:sz="8" w:color="004054"/>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920" w:type="dxa"/>
            <w:vAlign w:val="bottom"/>
            <w:tcBorders>
              <w:bottom w:val="single" w:sz="8" w:color="EBFBFF"/>
              <w:right w:val="single" w:sz="8" w:color="EBFBFF"/>
            </w:tcBorders>
            <w:vMerge w:val="continue"/>
            <w:shd w:val="clear" w:color="auto" w:fill="EBFBFF"/>
          </w:tcPr>
          <w:p>
            <w:pPr>
              <w:spacing w:after="0"/>
              <w:rPr>
                <w:sz w:val="11"/>
                <w:szCs w:val="11"/>
                <w:color w:val="auto"/>
              </w:rPr>
            </w:pPr>
          </w:p>
        </w:tc>
        <w:tc>
          <w:tcPr>
            <w:tcW w:w="1220" w:type="dxa"/>
            <w:vAlign w:val="bottom"/>
            <w:tcBorders>
              <w:bottom w:val="single" w:sz="8" w:color="EBFBFF"/>
            </w:tcBorders>
            <w:vMerge w:val="continue"/>
            <w:shd w:val="clear" w:color="auto" w:fill="EBFBFF"/>
          </w:tcPr>
          <w:p>
            <w:pPr>
              <w:spacing w:after="0"/>
              <w:rPr>
                <w:sz w:val="11"/>
                <w:szCs w:val="11"/>
                <w:color w:val="auto"/>
              </w:rPr>
            </w:pPr>
          </w:p>
        </w:tc>
        <w:tc>
          <w:tcPr>
            <w:tcW w:w="1260" w:type="dxa"/>
            <w:vAlign w:val="bottom"/>
            <w:tcBorders>
              <w:bottom w:val="single" w:sz="8" w:color="EBFBFF"/>
            </w:tcBorders>
            <w:vMerge w:val="continue"/>
            <w:shd w:val="clear" w:color="auto" w:fill="EBFBFF"/>
          </w:tcPr>
          <w:p>
            <w:pPr>
              <w:spacing w:after="0"/>
              <w:rPr>
                <w:sz w:val="11"/>
                <w:szCs w:val="11"/>
                <w:color w:val="auto"/>
              </w:rPr>
            </w:pPr>
          </w:p>
        </w:tc>
        <w:tc>
          <w:tcPr>
            <w:tcW w:w="1240" w:type="dxa"/>
            <w:vAlign w:val="bottom"/>
            <w:tcBorders>
              <w:bottom w:val="single" w:sz="8" w:color="EBFBFF"/>
            </w:tcBorders>
            <w:vMerge w:val="continue"/>
            <w:shd w:val="clear" w:color="auto" w:fill="EBFBFF"/>
          </w:tcPr>
          <w:p>
            <w:pPr>
              <w:spacing w:after="0"/>
              <w:rPr>
                <w:sz w:val="11"/>
                <w:szCs w:val="11"/>
                <w:color w:val="auto"/>
              </w:rPr>
            </w:pPr>
          </w:p>
        </w:tc>
        <w:tc>
          <w:tcPr>
            <w:tcW w:w="340" w:type="dxa"/>
            <w:vAlign w:val="bottom"/>
            <w:tcBorders>
              <w:bottom w:val="single" w:sz="8" w:color="EBFBFF"/>
            </w:tcBorders>
            <w:shd w:val="clear" w:color="auto" w:fill="EBFBFF"/>
          </w:tcPr>
          <w:p>
            <w:pPr>
              <w:spacing w:after="0"/>
              <w:rPr>
                <w:sz w:val="11"/>
                <w:szCs w:val="11"/>
                <w:color w:val="auto"/>
              </w:rPr>
            </w:pPr>
          </w:p>
        </w:tc>
        <w:tc>
          <w:tcPr>
            <w:tcW w:w="1260" w:type="dxa"/>
            <w:vAlign w:val="bottom"/>
            <w:tcBorders>
              <w:bottom w:val="single" w:sz="8" w:color="EBFBFF"/>
            </w:tcBorders>
            <w:vMerge w:val="continue"/>
            <w:shd w:val="clear" w:color="auto" w:fill="EBFB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5920" w:type="dxa"/>
            <w:vAlign w:val="bottom"/>
          </w:tcPr>
          <w:p>
            <w:pPr>
              <w:ind w:left="20"/>
              <w:spacing w:after="0"/>
              <w:rPr>
                <w:sz w:val="20"/>
                <w:szCs w:val="20"/>
                <w:color w:val="auto"/>
              </w:rPr>
            </w:pPr>
            <w:r>
              <w:rPr>
                <w:rFonts w:ascii="Arial" w:cs="Arial" w:eastAsia="Arial" w:hAnsi="Arial"/>
                <w:sz w:val="18"/>
                <w:szCs w:val="18"/>
                <w:color w:val="51555C"/>
              </w:rPr>
              <w:t>Non-GAAP Adjusted Income from Operations</w:t>
            </w:r>
          </w:p>
        </w:tc>
        <w:tc>
          <w:tcPr>
            <w:tcW w:w="1220" w:type="dxa"/>
            <w:vAlign w:val="bottom"/>
          </w:tcPr>
          <w:p>
            <w:pPr>
              <w:jc w:val="center"/>
              <w:spacing w:after="0"/>
              <w:rPr>
                <w:sz w:val="20"/>
                <w:szCs w:val="20"/>
                <w:color w:val="auto"/>
              </w:rPr>
            </w:pPr>
            <w:r>
              <w:rPr>
                <w:rFonts w:ascii="Arial" w:cs="Arial" w:eastAsia="Arial" w:hAnsi="Arial"/>
                <w:sz w:val="18"/>
                <w:szCs w:val="18"/>
                <w:color w:val="51555C"/>
                <w:w w:val="99"/>
              </w:rPr>
              <w:t>&lt; $306.9</w:t>
            </w:r>
          </w:p>
        </w:tc>
        <w:tc>
          <w:tcPr>
            <w:tcW w:w="1260" w:type="dxa"/>
            <w:vAlign w:val="bottom"/>
          </w:tcPr>
          <w:p>
            <w:pPr>
              <w:jc w:val="center"/>
              <w:spacing w:after="0"/>
              <w:rPr>
                <w:sz w:val="20"/>
                <w:szCs w:val="20"/>
                <w:color w:val="auto"/>
              </w:rPr>
            </w:pPr>
            <w:r>
              <w:rPr>
                <w:rFonts w:ascii="Arial" w:cs="Arial" w:eastAsia="Arial" w:hAnsi="Arial"/>
                <w:sz w:val="18"/>
                <w:szCs w:val="18"/>
                <w:color w:val="51555C"/>
                <w:w w:val="98"/>
              </w:rPr>
              <w:t>$306.9</w:t>
            </w:r>
          </w:p>
        </w:tc>
        <w:tc>
          <w:tcPr>
            <w:tcW w:w="1240" w:type="dxa"/>
            <w:vAlign w:val="bottom"/>
          </w:tcPr>
          <w:p>
            <w:pPr>
              <w:jc w:val="center"/>
              <w:spacing w:after="0"/>
              <w:rPr>
                <w:sz w:val="20"/>
                <w:szCs w:val="20"/>
                <w:color w:val="auto"/>
              </w:rPr>
            </w:pPr>
            <w:r>
              <w:rPr>
                <w:rFonts w:ascii="Arial" w:cs="Arial" w:eastAsia="Arial" w:hAnsi="Arial"/>
                <w:sz w:val="18"/>
                <w:szCs w:val="18"/>
                <w:color w:val="51555C"/>
                <w:w w:val="98"/>
              </w:rPr>
              <w:t>$341.0</w:t>
            </w:r>
          </w:p>
        </w:tc>
        <w:tc>
          <w:tcPr>
            <w:tcW w:w="3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51555C"/>
                <w:w w:val="98"/>
              </w:rPr>
              <w:t>$409.2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920" w:type="dxa"/>
            <w:vAlign w:val="bottom"/>
            <w:tcBorders>
              <w:right w:val="single" w:sz="8" w:color="006880"/>
            </w:tcBorders>
            <w:shd w:val="clear" w:color="auto" w:fill="EBFBFF"/>
          </w:tcPr>
          <w:p>
            <w:pPr>
              <w:spacing w:after="0"/>
              <w:rPr>
                <w:sz w:val="20"/>
                <w:szCs w:val="20"/>
                <w:color w:val="auto"/>
              </w:rPr>
            </w:pPr>
          </w:p>
        </w:tc>
        <w:tc>
          <w:tcPr>
            <w:tcW w:w="1220" w:type="dxa"/>
            <w:vAlign w:val="bottom"/>
            <w:tcBorders>
              <w:bottom w:val="single" w:sz="8" w:color="006880"/>
            </w:tcBorders>
            <w:shd w:val="clear" w:color="auto" w:fill="006880"/>
          </w:tcPr>
          <w:p>
            <w:pPr>
              <w:spacing w:after="0"/>
              <w:rPr>
                <w:sz w:val="20"/>
                <w:szCs w:val="20"/>
                <w:color w:val="auto"/>
              </w:rPr>
            </w:pPr>
          </w:p>
        </w:tc>
        <w:tc>
          <w:tcPr>
            <w:tcW w:w="2500" w:type="dxa"/>
            <w:vAlign w:val="bottom"/>
            <w:tcBorders>
              <w:bottom w:val="single" w:sz="8" w:color="006880"/>
            </w:tcBorders>
            <w:gridSpan w:val="2"/>
            <w:shd w:val="clear" w:color="auto" w:fill="006880"/>
          </w:tcPr>
          <w:p>
            <w:pPr>
              <w:jc w:val="center"/>
              <w:ind w:left="299"/>
              <w:spacing w:after="0"/>
              <w:rPr>
                <w:sz w:val="20"/>
                <w:szCs w:val="20"/>
                <w:color w:val="auto"/>
              </w:rPr>
            </w:pPr>
            <w:r>
              <w:rPr>
                <w:rFonts w:ascii="Arial" w:cs="Arial" w:eastAsia="Arial" w:hAnsi="Arial"/>
                <w:sz w:val="14"/>
                <w:szCs w:val="14"/>
                <w:b w:val="1"/>
                <w:bCs w:val="1"/>
                <w:color w:val="FFFFFF"/>
              </w:rPr>
              <w:t>Payout (% of Target)</w:t>
            </w:r>
          </w:p>
        </w:tc>
        <w:tc>
          <w:tcPr>
            <w:tcW w:w="340" w:type="dxa"/>
            <w:vAlign w:val="bottom"/>
            <w:tcBorders>
              <w:bottom w:val="single" w:sz="8" w:color="006880"/>
            </w:tcBorders>
            <w:shd w:val="clear" w:color="auto" w:fill="006880"/>
          </w:tcPr>
          <w:p>
            <w:pPr>
              <w:spacing w:after="0"/>
              <w:rPr>
                <w:sz w:val="20"/>
                <w:szCs w:val="20"/>
                <w:color w:val="auto"/>
              </w:rPr>
            </w:pPr>
          </w:p>
        </w:tc>
        <w:tc>
          <w:tcPr>
            <w:tcW w:w="1260" w:type="dxa"/>
            <w:vAlign w:val="bottom"/>
            <w:tcBorders>
              <w:bottom w:val="single" w:sz="8" w:color="006880"/>
            </w:tcBorders>
            <w:shd w:val="clear" w:color="auto" w:fill="006880"/>
          </w:tcPr>
          <w:p>
            <w:pPr>
              <w:spacing w:after="0"/>
              <w:rPr>
                <w:sz w:val="20"/>
                <w:szCs w:val="20"/>
                <w:color w:val="auto"/>
              </w:rPr>
            </w:pPr>
          </w:p>
        </w:tc>
        <w:tc>
          <w:tcPr>
            <w:tcW w:w="20" w:type="dxa"/>
            <w:vAlign w:val="bottom"/>
            <w:tcBorders>
              <w:bottom w:val="single" w:sz="8" w:color="006880"/>
            </w:tcBorders>
            <w:shd w:val="clear" w:color="auto" w:fill="006880"/>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5920" w:type="dxa"/>
            <w:vAlign w:val="bottom"/>
          </w:tcPr>
          <w:p>
            <w:pPr>
              <w:ind w:left="20"/>
              <w:spacing w:after="0"/>
              <w:rPr>
                <w:sz w:val="20"/>
                <w:szCs w:val="20"/>
                <w:color w:val="auto"/>
              </w:rPr>
            </w:pPr>
            <w:r>
              <w:rPr>
                <w:rFonts w:ascii="Arial" w:cs="Arial" w:eastAsia="Arial" w:hAnsi="Arial"/>
                <w:sz w:val="18"/>
                <w:szCs w:val="18"/>
                <w:color w:val="51555C"/>
              </w:rPr>
              <w:t>Number of shares as percentage of target</w:t>
            </w:r>
          </w:p>
        </w:tc>
        <w:tc>
          <w:tcPr>
            <w:tcW w:w="1220" w:type="dxa"/>
            <w:vAlign w:val="bottom"/>
          </w:tcPr>
          <w:p>
            <w:pPr>
              <w:jc w:val="center"/>
              <w:spacing w:after="0"/>
              <w:rPr>
                <w:sz w:val="20"/>
                <w:szCs w:val="20"/>
                <w:color w:val="auto"/>
              </w:rPr>
            </w:pPr>
            <w:r>
              <w:rPr>
                <w:rFonts w:ascii="Arial" w:cs="Arial" w:eastAsia="Arial" w:hAnsi="Arial"/>
                <w:sz w:val="18"/>
                <w:szCs w:val="18"/>
                <w:color w:val="51555C"/>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51555C"/>
                <w:w w:val="97"/>
              </w:rPr>
              <w:t>50.0%</w:t>
            </w:r>
          </w:p>
        </w:tc>
        <w:tc>
          <w:tcPr>
            <w:tcW w:w="1240" w:type="dxa"/>
            <w:vAlign w:val="bottom"/>
          </w:tcPr>
          <w:p>
            <w:pPr>
              <w:jc w:val="center"/>
              <w:spacing w:after="0"/>
              <w:rPr>
                <w:sz w:val="20"/>
                <w:szCs w:val="20"/>
                <w:color w:val="auto"/>
              </w:rPr>
            </w:pPr>
            <w:r>
              <w:rPr>
                <w:rFonts w:ascii="Arial" w:cs="Arial" w:eastAsia="Arial" w:hAnsi="Arial"/>
                <w:sz w:val="18"/>
                <w:szCs w:val="18"/>
                <w:color w:val="51555C"/>
              </w:rPr>
              <w:t>100.0%</w:t>
            </w:r>
          </w:p>
        </w:tc>
        <w:tc>
          <w:tcPr>
            <w:tcW w:w="3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51555C"/>
              </w:rPr>
              <w:t>200.0%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920" w:type="dxa"/>
            <w:vAlign w:val="bottom"/>
            <w:tcBorders>
              <w:bottom w:val="single" w:sz="8" w:color="0CD973"/>
            </w:tcBorders>
          </w:tcPr>
          <w:p>
            <w:pPr>
              <w:spacing w:after="0"/>
              <w:rPr>
                <w:sz w:val="2"/>
                <w:szCs w:val="2"/>
                <w:color w:val="auto"/>
              </w:rPr>
            </w:pPr>
          </w:p>
        </w:tc>
        <w:tc>
          <w:tcPr>
            <w:tcW w:w="1220" w:type="dxa"/>
            <w:vAlign w:val="bottom"/>
            <w:tcBorders>
              <w:bottom w:val="single" w:sz="8" w:color="0CD973"/>
            </w:tcBorders>
          </w:tcPr>
          <w:p>
            <w:pPr>
              <w:spacing w:after="0"/>
              <w:rPr>
                <w:sz w:val="2"/>
                <w:szCs w:val="2"/>
                <w:color w:val="auto"/>
              </w:rPr>
            </w:pPr>
          </w:p>
        </w:tc>
        <w:tc>
          <w:tcPr>
            <w:tcW w:w="1260" w:type="dxa"/>
            <w:vAlign w:val="bottom"/>
            <w:tcBorders>
              <w:bottom w:val="single" w:sz="8" w:color="0CD973"/>
            </w:tcBorders>
          </w:tcPr>
          <w:p>
            <w:pPr>
              <w:spacing w:after="0"/>
              <w:rPr>
                <w:sz w:val="2"/>
                <w:szCs w:val="2"/>
                <w:color w:val="auto"/>
              </w:rPr>
            </w:pPr>
          </w:p>
        </w:tc>
        <w:tc>
          <w:tcPr>
            <w:tcW w:w="1240" w:type="dxa"/>
            <w:vAlign w:val="bottom"/>
            <w:tcBorders>
              <w:bottom w:val="single" w:sz="8" w:color="0CD973"/>
            </w:tcBorders>
          </w:tcPr>
          <w:p>
            <w:pPr>
              <w:spacing w:after="0"/>
              <w:rPr>
                <w:sz w:val="2"/>
                <w:szCs w:val="2"/>
                <w:color w:val="auto"/>
              </w:rPr>
            </w:pPr>
          </w:p>
        </w:tc>
        <w:tc>
          <w:tcPr>
            <w:tcW w:w="340" w:type="dxa"/>
            <w:vAlign w:val="bottom"/>
            <w:tcBorders>
              <w:bottom w:val="single" w:sz="8" w:color="0CD973"/>
            </w:tcBorders>
          </w:tcPr>
          <w:p>
            <w:pPr>
              <w:spacing w:after="0"/>
              <w:rPr>
                <w:sz w:val="2"/>
                <w:szCs w:val="2"/>
                <w:color w:val="auto"/>
              </w:rPr>
            </w:pPr>
          </w:p>
        </w:tc>
        <w:tc>
          <w:tcPr>
            <w:tcW w:w="126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37547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65" w:lineRule="exact"/>
        <w:rPr>
          <w:sz w:val="20"/>
          <w:szCs w:val="20"/>
          <w:color w:val="auto"/>
        </w:rPr>
      </w:pPr>
    </w:p>
    <w:p>
      <w:pPr>
        <w:ind w:left="340" w:right="20" w:hanging="332"/>
        <w:spacing w:after="0" w:line="262" w:lineRule="auto"/>
        <w:tabs>
          <w:tab w:leader="none" w:pos="354" w:val="left"/>
        </w:tabs>
        <w:numPr>
          <w:ilvl w:val="0"/>
          <w:numId w:val="51"/>
        </w:numPr>
        <w:rPr>
          <w:rFonts w:ascii="Arial" w:cs="Arial" w:eastAsia="Arial" w:hAnsi="Arial"/>
          <w:sz w:val="14"/>
          <w:szCs w:val="14"/>
          <w:color w:val="51555C"/>
        </w:rPr>
      </w:pPr>
      <w:r>
        <w:rPr>
          <w:rFonts w:ascii="Arial" w:cs="Arial" w:eastAsia="Arial" w:hAnsi="Arial"/>
          <w:sz w:val="14"/>
          <w:szCs w:val="14"/>
          <w:color w:val="51555C"/>
        </w:rPr>
        <w:t>Non-GAAP Adjusted Recurring Revenue target reflects the expected reduction in recurring revenue for 2025 resulting from the disposition of EVERFI on December 31, 2024.</w:t>
      </w:r>
    </w:p>
    <w:p>
      <w:pPr>
        <w:spacing w:after="0" w:line="31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For each of our performance metrics, the Compensation Committee set the performance target at a level it believed would represent a high (but achievable) level of Company performance, while requiring what it believed would be outstanding performance to achieve the maximum payout level.</w:t>
      </w:r>
    </w:p>
    <w:p>
      <w:pPr>
        <w:spacing w:after="0" w:line="341"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44</w:t>
      </w:r>
      <w:r>
        <w:rPr>
          <w:sz w:val="20"/>
          <w:szCs w:val="20"/>
          <w:color w:val="auto"/>
        </w:rPr>
        <w:tab/>
      </w:r>
      <w:r>
        <w:rPr>
          <w:sz w:val="1"/>
          <w:szCs w:val="1"/>
          <w:color w:val="auto"/>
        </w:rPr>
        <w:drawing>
          <wp:inline distT="0" distB="0" distL="0" distR="0">
            <wp:extent cx="702945" cy="111125"/>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46" w:name="page47"/>
    <w:bookmarkEnd w:id="46"/>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b w:val="1"/>
          <w:bCs w:val="1"/>
          <w:color w:val="5155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51555C"/>
        </w:rPr>
        <w:t>The Compensation Committee retains discretion to adjust final performance thresholds and targets, positively or negatively, in limited circumstances, such as unforeseen events affecting the Company or its industry or instances of exceptional operational complexity. Any such discretion is expected to be used infrequently. In determining whether the exercise of discretion is appropriate, the Compensation Committee would consider, among other factors, the materiality of the event and whether it meaningfully distorted the relationship between Company performance and the intended outcomes under the applicable performance metrics. The Compensation Committee did not adjust the 2025 STI PRSUs performance metrics, nor did it exercise any such discretion in determining 2025 STI PRSUs payouts.</w:t>
      </w:r>
    </w:p>
    <w:p>
      <w:pPr>
        <w:spacing w:after="0" w:line="12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Our achievement against the 2025 STI PRSUs performance metrics was $1,107.3 million, or 100.1% of target, with respect to Non-GAAP Adjusted Recurring Revenue and $344.4 million, or 101.0% of target, with respect to Non -GAAP Adjusted Income from Operations, for performance factors of approximately 100.9% and 103.8%, respectively. As a result, the 2025 STI PRSU payout factor was 102.3%.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7820" w:type="dxa"/>
            <w:vAlign w:val="bottom"/>
            <w:shd w:val="clear" w:color="auto" w:fill="004054"/>
          </w:tcPr>
          <w:p>
            <w:pPr>
              <w:spacing w:after="0" w:line="20" w:lineRule="exact"/>
              <w:rPr>
                <w:sz w:val="1"/>
                <w:szCs w:val="1"/>
                <w:color w:val="auto"/>
              </w:rPr>
            </w:pPr>
          </w:p>
        </w:tc>
        <w:tc>
          <w:tcPr>
            <w:tcW w:w="3120" w:type="dxa"/>
            <w:vAlign w:val="bottom"/>
            <w:gridSpan w:val="3"/>
            <w:vMerge w:val="restart"/>
            <w:shd w:val="clear" w:color="auto" w:fill="006880"/>
          </w:tcPr>
          <w:p>
            <w:pPr>
              <w:jc w:val="right"/>
              <w:ind w:right="775"/>
              <w:spacing w:after="0"/>
              <w:rPr>
                <w:sz w:val="20"/>
                <w:szCs w:val="20"/>
                <w:color w:val="auto"/>
              </w:rPr>
            </w:pPr>
            <w:r>
              <w:rPr>
                <w:rFonts w:ascii="Arial" w:cs="Arial" w:eastAsia="Arial" w:hAnsi="Arial"/>
                <w:sz w:val="14"/>
                <w:szCs w:val="14"/>
                <w:b w:val="1"/>
                <w:bCs w:val="1"/>
                <w:color w:val="FFFFFF"/>
              </w:rPr>
              <w:t>2025 STI PRSUs</w:t>
            </w:r>
          </w:p>
        </w:tc>
        <w:tc>
          <w:tcPr>
            <w:tcW w:w="300" w:type="dxa"/>
            <w:vAlign w:val="bottom"/>
            <w:shd w:val="clear" w:color="auto" w:fill="006880"/>
          </w:tcPr>
          <w:p>
            <w:pPr>
              <w:spacing w:after="0" w:line="20" w:lineRule="exact"/>
              <w:rPr>
                <w:sz w:val="1"/>
                <w:szCs w:val="1"/>
                <w:color w:val="auto"/>
              </w:rPr>
            </w:pPr>
          </w:p>
        </w:tc>
        <w:tc>
          <w:tcPr>
            <w:tcW w:w="20" w:type="dxa"/>
            <w:vAlign w:val="bottom"/>
            <w:shd w:val="clear" w:color="auto" w:fill="0068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20" w:type="dxa"/>
            <w:vAlign w:val="bottom"/>
            <w:tcBorders>
              <w:bottom w:val="single" w:sz="8" w:color="004054"/>
            </w:tcBorders>
            <w:shd w:val="clear" w:color="auto" w:fill="004054"/>
          </w:tcPr>
          <w:p>
            <w:pPr>
              <w:spacing w:after="0"/>
              <w:rPr>
                <w:sz w:val="18"/>
                <w:szCs w:val="18"/>
                <w:color w:val="auto"/>
              </w:rPr>
            </w:pPr>
          </w:p>
        </w:tc>
        <w:tc>
          <w:tcPr>
            <w:tcW w:w="3120" w:type="dxa"/>
            <w:vAlign w:val="bottom"/>
            <w:tcBorders>
              <w:bottom w:val="single" w:sz="8" w:color="006880"/>
            </w:tcBorders>
            <w:gridSpan w:val="3"/>
            <w:vMerge w:val="continue"/>
            <w:shd w:val="clear" w:color="auto" w:fill="006880"/>
          </w:tcPr>
          <w:p>
            <w:pPr>
              <w:spacing w:after="0"/>
              <w:rPr>
                <w:sz w:val="18"/>
                <w:szCs w:val="18"/>
                <w:color w:val="auto"/>
              </w:rPr>
            </w:pPr>
          </w:p>
        </w:tc>
        <w:tc>
          <w:tcPr>
            <w:tcW w:w="300" w:type="dxa"/>
            <w:vAlign w:val="bottom"/>
            <w:tcBorders>
              <w:bottom w:val="single" w:sz="8" w:color="006880"/>
            </w:tcBorders>
            <w:shd w:val="clear" w:color="auto" w:fill="006880"/>
          </w:tcPr>
          <w:p>
            <w:pPr>
              <w:spacing w:after="0"/>
              <w:rPr>
                <w:sz w:val="18"/>
                <w:szCs w:val="18"/>
                <w:color w:val="auto"/>
              </w:rPr>
            </w:pPr>
          </w:p>
        </w:tc>
        <w:tc>
          <w:tcPr>
            <w:tcW w:w="20" w:type="dxa"/>
            <w:vAlign w:val="bottom"/>
            <w:tcBorders>
              <w:bottom w:val="single" w:sz="8" w:color="006880"/>
            </w:tcBorders>
            <w:shd w:val="clear" w:color="auto" w:fill="006880"/>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820" w:type="dxa"/>
            <w:vAlign w:val="bottom"/>
            <w:shd w:val="clear" w:color="auto" w:fill="004054"/>
          </w:tcPr>
          <w:p>
            <w:pPr>
              <w:spacing w:after="0"/>
              <w:rPr>
                <w:sz w:val="16"/>
                <w:szCs w:val="16"/>
                <w:color w:val="auto"/>
              </w:rPr>
            </w:pPr>
          </w:p>
        </w:tc>
        <w:tc>
          <w:tcPr>
            <w:tcW w:w="14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 of PRSUs</w:t>
            </w:r>
          </w:p>
        </w:tc>
        <w:tc>
          <w:tcPr>
            <w:tcW w:w="300" w:type="dxa"/>
            <w:vAlign w:val="bottom"/>
            <w:shd w:val="clear" w:color="auto" w:fill="004054"/>
          </w:tcPr>
          <w:p>
            <w:pPr>
              <w:spacing w:after="0"/>
              <w:rPr>
                <w:sz w:val="16"/>
                <w:szCs w:val="16"/>
                <w:color w:val="auto"/>
              </w:rPr>
            </w:pPr>
          </w:p>
        </w:tc>
        <w:tc>
          <w:tcPr>
            <w:tcW w:w="14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 of PRSUs</w:t>
            </w:r>
          </w:p>
        </w:tc>
        <w:tc>
          <w:tcPr>
            <w:tcW w:w="30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82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Name</w:t>
            </w:r>
          </w:p>
        </w:tc>
        <w:tc>
          <w:tcPr>
            <w:tcW w:w="14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Granted</w:t>
            </w:r>
          </w:p>
        </w:tc>
        <w:tc>
          <w:tcPr>
            <w:tcW w:w="300" w:type="dxa"/>
            <w:vAlign w:val="bottom"/>
            <w:shd w:val="clear" w:color="auto" w:fill="004054"/>
          </w:tcPr>
          <w:p>
            <w:pPr>
              <w:spacing w:after="0"/>
              <w:rPr>
                <w:sz w:val="19"/>
                <w:szCs w:val="19"/>
                <w:color w:val="auto"/>
              </w:rPr>
            </w:pPr>
          </w:p>
        </w:tc>
        <w:tc>
          <w:tcPr>
            <w:tcW w:w="14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Earned</w:t>
            </w:r>
            <w:r>
              <w:rPr>
                <w:rFonts w:ascii="Arial" w:cs="Arial" w:eastAsia="Arial" w:hAnsi="Arial"/>
                <w:sz w:val="18"/>
                <w:szCs w:val="18"/>
                <w:b w:val="1"/>
                <w:bCs w:val="1"/>
                <w:color w:val="FFFFFF"/>
                <w:vertAlign w:val="superscript"/>
              </w:rPr>
              <w:t>(1)</w:t>
            </w:r>
          </w:p>
        </w:tc>
        <w:tc>
          <w:tcPr>
            <w:tcW w:w="30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782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Mr. Gianoni</w:t>
            </w:r>
          </w:p>
        </w:tc>
        <w:tc>
          <w:tcPr>
            <w:tcW w:w="140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10,446</w:t>
            </w:r>
          </w:p>
        </w:tc>
        <w:tc>
          <w:tcPr>
            <w:tcW w:w="300" w:type="dxa"/>
            <w:vAlign w:val="bottom"/>
            <w:shd w:val="clear" w:color="auto" w:fill="EBFBFF"/>
          </w:tcPr>
          <w:p>
            <w:pPr>
              <w:spacing w:after="0"/>
              <w:rPr>
                <w:sz w:val="24"/>
                <w:szCs w:val="24"/>
                <w:color w:val="auto"/>
              </w:rPr>
            </w:pPr>
          </w:p>
        </w:tc>
        <w:tc>
          <w:tcPr>
            <w:tcW w:w="142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10,687</w:t>
            </w:r>
          </w:p>
        </w:tc>
        <w:tc>
          <w:tcPr>
            <w:tcW w:w="30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7820" w:type="dxa"/>
            <w:vAlign w:val="bottom"/>
          </w:tcPr>
          <w:p>
            <w:pPr>
              <w:ind w:left="20"/>
              <w:spacing w:after="0"/>
              <w:rPr>
                <w:sz w:val="20"/>
                <w:szCs w:val="20"/>
                <w:color w:val="auto"/>
              </w:rPr>
            </w:pPr>
            <w:r>
              <w:rPr>
                <w:rFonts w:ascii="Arial" w:cs="Arial" w:eastAsia="Arial" w:hAnsi="Arial"/>
                <w:sz w:val="18"/>
                <w:szCs w:val="18"/>
                <w:b w:val="1"/>
                <w:bCs w:val="1"/>
                <w:color w:val="51555C"/>
              </w:rPr>
              <w:t>Mr. Anderson</w:t>
            </w:r>
          </w:p>
        </w:tc>
        <w:tc>
          <w:tcPr>
            <w:tcW w:w="1400" w:type="dxa"/>
            <w:vAlign w:val="bottom"/>
          </w:tcPr>
          <w:p>
            <w:pPr>
              <w:jc w:val="right"/>
              <w:spacing w:after="0"/>
              <w:rPr>
                <w:sz w:val="20"/>
                <w:szCs w:val="20"/>
                <w:color w:val="auto"/>
              </w:rPr>
            </w:pPr>
            <w:r>
              <w:rPr>
                <w:rFonts w:ascii="Arial" w:cs="Arial" w:eastAsia="Arial" w:hAnsi="Arial"/>
                <w:sz w:val="18"/>
                <w:szCs w:val="18"/>
                <w:color w:val="51555C"/>
              </w:rPr>
              <w:t>3,540</w:t>
            </w:r>
          </w:p>
        </w:tc>
        <w:tc>
          <w:tcPr>
            <w:tcW w:w="300" w:type="dxa"/>
            <w:vAlign w:val="bottom"/>
          </w:tcPr>
          <w:p>
            <w:pPr>
              <w:jc w:val="right"/>
              <w:ind w:right="106"/>
              <w:spacing w:after="0"/>
              <w:rPr>
                <w:sz w:val="20"/>
                <w:szCs w:val="20"/>
                <w:color w:val="auto"/>
              </w:rPr>
            </w:pPr>
            <w:r>
              <w:rPr>
                <w:rFonts w:ascii="Arial" w:cs="Arial" w:eastAsia="Arial" w:hAnsi="Arial"/>
                <w:sz w:val="11"/>
                <w:szCs w:val="11"/>
                <w:color w:val="51555C"/>
                <w:w w:val="88"/>
              </w:rPr>
              <w:t>(2)</w:t>
            </w:r>
          </w:p>
        </w:tc>
        <w:tc>
          <w:tcPr>
            <w:tcW w:w="1420" w:type="dxa"/>
            <w:vAlign w:val="bottom"/>
          </w:tcPr>
          <w:p>
            <w:pPr>
              <w:jc w:val="right"/>
              <w:spacing w:after="0"/>
              <w:rPr>
                <w:sz w:val="20"/>
                <w:szCs w:val="20"/>
                <w:color w:val="auto"/>
              </w:rPr>
            </w:pPr>
            <w:r>
              <w:rPr>
                <w:rFonts w:ascii="Arial" w:cs="Arial" w:eastAsia="Arial" w:hAnsi="Arial"/>
                <w:sz w:val="18"/>
                <w:szCs w:val="18"/>
                <w:color w:val="51555C"/>
              </w:rPr>
              <w:t>3,622</w:t>
            </w:r>
          </w:p>
        </w:tc>
        <w:tc>
          <w:tcPr>
            <w:tcW w:w="300" w:type="dxa"/>
            <w:vAlign w:val="bottom"/>
          </w:tcPr>
          <w:p>
            <w:pPr>
              <w:jc w:val="right"/>
              <w:ind w:right="86"/>
              <w:spacing w:after="0"/>
              <w:rPr>
                <w:sz w:val="20"/>
                <w:szCs w:val="20"/>
                <w:color w:val="auto"/>
              </w:rPr>
            </w:pPr>
            <w:r>
              <w:rPr>
                <w:rFonts w:ascii="Arial" w:cs="Arial" w:eastAsia="Arial" w:hAnsi="Arial"/>
                <w:sz w:val="11"/>
                <w:szCs w:val="11"/>
                <w:color w:val="51555C"/>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82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Mr. Boor</w:t>
            </w:r>
          </w:p>
        </w:tc>
        <w:tc>
          <w:tcPr>
            <w:tcW w:w="140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5,079</w:t>
            </w:r>
          </w:p>
        </w:tc>
        <w:tc>
          <w:tcPr>
            <w:tcW w:w="300" w:type="dxa"/>
            <w:vAlign w:val="bottom"/>
            <w:shd w:val="clear" w:color="auto" w:fill="EBFBFF"/>
          </w:tcPr>
          <w:p>
            <w:pPr>
              <w:spacing w:after="0"/>
              <w:rPr>
                <w:sz w:val="24"/>
                <w:szCs w:val="24"/>
                <w:color w:val="auto"/>
              </w:rPr>
            </w:pPr>
          </w:p>
        </w:tc>
        <w:tc>
          <w:tcPr>
            <w:tcW w:w="142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5,196</w:t>
            </w:r>
          </w:p>
        </w:tc>
        <w:tc>
          <w:tcPr>
            <w:tcW w:w="30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7820" w:type="dxa"/>
            <w:vAlign w:val="bottom"/>
          </w:tcPr>
          <w:p>
            <w:pPr>
              <w:ind w:left="20"/>
              <w:spacing w:after="0"/>
              <w:rPr>
                <w:sz w:val="20"/>
                <w:szCs w:val="20"/>
                <w:color w:val="auto"/>
              </w:rPr>
            </w:pPr>
            <w:r>
              <w:rPr>
                <w:rFonts w:ascii="Arial" w:cs="Arial" w:eastAsia="Arial" w:hAnsi="Arial"/>
                <w:sz w:val="18"/>
                <w:szCs w:val="18"/>
                <w:b w:val="1"/>
                <w:bCs w:val="1"/>
                <w:color w:val="51555C"/>
              </w:rPr>
              <w:t>Mr. Benjamin</w:t>
            </w:r>
          </w:p>
        </w:tc>
        <w:tc>
          <w:tcPr>
            <w:tcW w:w="1400" w:type="dxa"/>
            <w:vAlign w:val="bottom"/>
          </w:tcPr>
          <w:p>
            <w:pPr>
              <w:jc w:val="right"/>
              <w:spacing w:after="0"/>
              <w:rPr>
                <w:sz w:val="20"/>
                <w:szCs w:val="20"/>
                <w:color w:val="auto"/>
              </w:rPr>
            </w:pPr>
            <w:r>
              <w:rPr>
                <w:rFonts w:ascii="Arial" w:cs="Arial" w:eastAsia="Arial" w:hAnsi="Arial"/>
                <w:sz w:val="18"/>
                <w:szCs w:val="18"/>
                <w:color w:val="51555C"/>
              </w:rPr>
              <w:t>4,544</w:t>
            </w:r>
          </w:p>
        </w:tc>
        <w:tc>
          <w:tcPr>
            <w:tcW w:w="3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51555C"/>
              </w:rPr>
              <w:t>4,649</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82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Mr. Gregoire</w:t>
            </w:r>
          </w:p>
        </w:tc>
        <w:tc>
          <w:tcPr>
            <w:tcW w:w="140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4,799</w:t>
            </w:r>
          </w:p>
        </w:tc>
        <w:tc>
          <w:tcPr>
            <w:tcW w:w="300" w:type="dxa"/>
            <w:vAlign w:val="bottom"/>
            <w:shd w:val="clear" w:color="auto" w:fill="EBFBFF"/>
          </w:tcPr>
          <w:p>
            <w:pPr>
              <w:spacing w:after="0"/>
              <w:rPr>
                <w:sz w:val="24"/>
                <w:szCs w:val="24"/>
                <w:color w:val="auto"/>
              </w:rPr>
            </w:pPr>
          </w:p>
        </w:tc>
        <w:tc>
          <w:tcPr>
            <w:tcW w:w="142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4,910</w:t>
            </w:r>
          </w:p>
        </w:tc>
        <w:tc>
          <w:tcPr>
            <w:tcW w:w="30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82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51555C"/>
              </w:rPr>
              <w:t>Mr. McDearis</w:t>
            </w:r>
          </w:p>
        </w:tc>
        <w:tc>
          <w:tcPr>
            <w:tcW w:w="1400" w:type="dxa"/>
            <w:vAlign w:val="bottom"/>
            <w:tcBorders>
              <w:bottom w:val="single" w:sz="8" w:color="0CD973"/>
            </w:tcBorders>
          </w:tcPr>
          <w:p>
            <w:pPr>
              <w:jc w:val="right"/>
              <w:spacing w:after="0"/>
              <w:rPr>
                <w:sz w:val="20"/>
                <w:szCs w:val="20"/>
                <w:color w:val="auto"/>
              </w:rPr>
            </w:pPr>
            <w:r>
              <w:rPr>
                <w:rFonts w:ascii="Arial" w:cs="Arial" w:eastAsia="Arial" w:hAnsi="Arial"/>
                <w:sz w:val="18"/>
                <w:szCs w:val="18"/>
                <w:color w:val="51555C"/>
              </w:rPr>
              <w:t>4,652</w:t>
            </w:r>
          </w:p>
        </w:tc>
        <w:tc>
          <w:tcPr>
            <w:tcW w:w="300" w:type="dxa"/>
            <w:vAlign w:val="bottom"/>
            <w:tcBorders>
              <w:bottom w:val="single" w:sz="8" w:color="0CD973"/>
            </w:tcBorders>
          </w:tcPr>
          <w:p>
            <w:pPr>
              <w:spacing w:after="0"/>
              <w:rPr>
                <w:sz w:val="24"/>
                <w:szCs w:val="24"/>
                <w:color w:val="auto"/>
              </w:rPr>
            </w:pPr>
          </w:p>
        </w:tc>
        <w:tc>
          <w:tcPr>
            <w:tcW w:w="1420" w:type="dxa"/>
            <w:vAlign w:val="bottom"/>
            <w:tcBorders>
              <w:bottom w:val="single" w:sz="8" w:color="0CD973"/>
            </w:tcBorders>
          </w:tcPr>
          <w:p>
            <w:pPr>
              <w:jc w:val="right"/>
              <w:spacing w:after="0"/>
              <w:rPr>
                <w:sz w:val="20"/>
                <w:szCs w:val="20"/>
                <w:color w:val="auto"/>
              </w:rPr>
            </w:pPr>
            <w:r>
              <w:rPr>
                <w:rFonts w:ascii="Arial" w:cs="Arial" w:eastAsia="Arial" w:hAnsi="Arial"/>
                <w:sz w:val="18"/>
                <w:szCs w:val="18"/>
                <w:color w:val="51555C"/>
              </w:rPr>
              <w:t>4,759</w:t>
            </w:r>
          </w:p>
        </w:tc>
        <w:tc>
          <w:tcPr>
            <w:tcW w:w="300" w:type="dxa"/>
            <w:vAlign w:val="bottom"/>
            <w:tcBorders>
              <w:bottom w:val="single" w:sz="8" w:color="0CD973"/>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20" w:hanging="332"/>
        <w:spacing w:after="0" w:line="261" w:lineRule="auto"/>
        <w:tabs>
          <w:tab w:leader="none" w:pos="354" w:val="left"/>
        </w:tabs>
        <w:numPr>
          <w:ilvl w:val="0"/>
          <w:numId w:val="52"/>
        </w:numPr>
        <w:rPr>
          <w:rFonts w:ascii="Arial" w:cs="Arial" w:eastAsia="Arial" w:hAnsi="Arial"/>
          <w:sz w:val="14"/>
          <w:szCs w:val="14"/>
          <w:color w:val="51555C"/>
        </w:rPr>
      </w:pPr>
      <w:r>
        <w:rPr>
          <w:rFonts w:ascii="Arial" w:cs="Arial" w:eastAsia="Arial" w:hAnsi="Arial"/>
          <w:sz w:val="14"/>
          <w:szCs w:val="14"/>
          <w:color w:val="51555C"/>
        </w:rPr>
        <w:t>The earned 2025 STI PRSUs vested on February 18, 2026 other than the earned May 2025 Promotion STI PRSUs granted to Mr. Anderson which will vest on May 2, 2026, subject to his continued employment.</w:t>
      </w:r>
    </w:p>
    <w:p>
      <w:pPr>
        <w:spacing w:after="0" w:line="1" w:lineRule="exact"/>
        <w:rPr>
          <w:rFonts w:ascii="Arial" w:cs="Arial" w:eastAsia="Arial" w:hAnsi="Arial"/>
          <w:sz w:val="14"/>
          <w:szCs w:val="14"/>
          <w:color w:val="51555C"/>
        </w:rPr>
      </w:pPr>
    </w:p>
    <w:p>
      <w:pPr>
        <w:ind w:left="340" w:hanging="332"/>
        <w:spacing w:after="0"/>
        <w:tabs>
          <w:tab w:leader="none" w:pos="340" w:val="left"/>
        </w:tabs>
        <w:numPr>
          <w:ilvl w:val="0"/>
          <w:numId w:val="52"/>
        </w:numPr>
        <w:rPr>
          <w:rFonts w:ascii="Arial" w:cs="Arial" w:eastAsia="Arial" w:hAnsi="Arial"/>
          <w:sz w:val="14"/>
          <w:szCs w:val="14"/>
          <w:color w:val="51555C"/>
        </w:rPr>
      </w:pPr>
      <w:r>
        <w:rPr>
          <w:rFonts w:ascii="Arial" w:cs="Arial" w:eastAsia="Arial" w:hAnsi="Arial"/>
          <w:sz w:val="14"/>
          <w:szCs w:val="14"/>
          <w:color w:val="51555C"/>
        </w:rPr>
        <w:t>Includes 2,938 and 602 PRSUs granted on February 18, 2025 and May 2, 2025, respectively.</w:t>
      </w:r>
    </w:p>
    <w:p>
      <w:pPr>
        <w:spacing w:after="0" w:line="14" w:lineRule="exact"/>
        <w:rPr>
          <w:rFonts w:ascii="Arial" w:cs="Arial" w:eastAsia="Arial" w:hAnsi="Arial"/>
          <w:sz w:val="14"/>
          <w:szCs w:val="14"/>
          <w:color w:val="51555C"/>
        </w:rPr>
      </w:pPr>
    </w:p>
    <w:p>
      <w:pPr>
        <w:ind w:left="340" w:hanging="332"/>
        <w:spacing w:after="0"/>
        <w:tabs>
          <w:tab w:leader="none" w:pos="340" w:val="left"/>
        </w:tabs>
        <w:numPr>
          <w:ilvl w:val="0"/>
          <w:numId w:val="52"/>
        </w:numPr>
        <w:rPr>
          <w:rFonts w:ascii="Arial" w:cs="Arial" w:eastAsia="Arial" w:hAnsi="Arial"/>
          <w:sz w:val="14"/>
          <w:szCs w:val="14"/>
          <w:color w:val="51555C"/>
        </w:rPr>
      </w:pPr>
      <w:r>
        <w:rPr>
          <w:rFonts w:ascii="Arial" w:cs="Arial" w:eastAsia="Arial" w:hAnsi="Arial"/>
          <w:sz w:val="14"/>
          <w:szCs w:val="14"/>
          <w:color w:val="51555C"/>
        </w:rPr>
        <w:t>Includes 3,006 and 616 PRSUs earned from awards granted on February 18, 2025 and May 2, 2025,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Long-term Incentive Compensation</w:t>
      </w:r>
    </w:p>
    <w:p>
      <w:pPr>
        <w:spacing w:after="0" w:line="16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Our LTI program is designed to align the interests of our executive officers with the interests of our stockholders and serve as an important means for executive retention. Based on feedback from our stockholders and our assessment of the competitive market, at least 50% of the equity awards granted to our NEOs are performance-based with the balance of their equity awards being time-based. In addition, at least 50% the PRSUs granted to our NEOs are measured over multi-year periods. In 2025, the Compensation Committee granted our executive officers their annual LTI awards in the first fiscal quarter.</w:t>
      </w:r>
    </w:p>
    <w:p>
      <w:pPr>
        <w:spacing w:after="0" w:line="1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The following table sets forth the number of shares of our common stock subject to RSAs or RSUs and PRSUs granted to each NEO on February 19, 2025 for their LTI, which also are reflected in the 2025 Summary Compensation Table below. The Compensation Committee determined LTI award levels for our NEOs after considering peer group equity award practices, individual performance, criticality of each NEO's role, expected future contributions of and the long-term retention objectives for each NEO and our performance compared to our compensation peer group.</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60" w:type="dxa"/>
            <w:vAlign w:val="bottom"/>
            <w:tcBorders>
              <w:top w:val="single" w:sz="8" w:color="004054"/>
              <w:bottom w:val="single" w:sz="8" w:color="004054"/>
              <w:right w:val="single" w:sz="8" w:color="006880"/>
            </w:tcBorders>
            <w:shd w:val="clear" w:color="auto" w:fill="004054"/>
          </w:tcPr>
          <w:p>
            <w:pPr>
              <w:spacing w:after="0"/>
              <w:rPr>
                <w:sz w:val="20"/>
                <w:szCs w:val="20"/>
                <w:color w:val="auto"/>
              </w:rPr>
            </w:pPr>
          </w:p>
        </w:tc>
        <w:tc>
          <w:tcPr>
            <w:tcW w:w="1660" w:type="dxa"/>
            <w:vAlign w:val="bottom"/>
            <w:tcBorders>
              <w:top w:val="single" w:sz="8" w:color="006880"/>
              <w:bottom w:val="single" w:sz="8" w:color="004054"/>
            </w:tcBorders>
            <w:shd w:val="clear" w:color="auto" w:fill="006880"/>
          </w:tcPr>
          <w:p>
            <w:pPr>
              <w:spacing w:after="0"/>
              <w:rPr>
                <w:sz w:val="20"/>
                <w:szCs w:val="20"/>
                <w:color w:val="auto"/>
              </w:rPr>
            </w:pPr>
          </w:p>
        </w:tc>
        <w:tc>
          <w:tcPr>
            <w:tcW w:w="1960" w:type="dxa"/>
            <w:vAlign w:val="bottom"/>
            <w:tcBorders>
              <w:top w:val="single" w:sz="8" w:color="006880"/>
              <w:bottom w:val="single" w:sz="8" w:color="004054"/>
            </w:tcBorders>
            <w:gridSpan w:val="3"/>
            <w:shd w:val="clear" w:color="auto" w:fill="006880"/>
          </w:tcPr>
          <w:p>
            <w:pPr>
              <w:ind w:left="20"/>
              <w:spacing w:after="0"/>
              <w:rPr>
                <w:sz w:val="20"/>
                <w:szCs w:val="20"/>
                <w:color w:val="auto"/>
              </w:rPr>
            </w:pPr>
            <w:r>
              <w:rPr>
                <w:rFonts w:ascii="Arial" w:cs="Arial" w:eastAsia="Arial" w:hAnsi="Arial"/>
                <w:sz w:val="14"/>
                <w:szCs w:val="14"/>
                <w:b w:val="1"/>
                <w:bCs w:val="1"/>
                <w:color w:val="FFFFFF"/>
              </w:rPr>
              <w:t>February 2025 LTI Grants</w:t>
            </w:r>
          </w:p>
        </w:tc>
        <w:tc>
          <w:tcPr>
            <w:tcW w:w="1460" w:type="dxa"/>
            <w:vAlign w:val="bottom"/>
            <w:tcBorders>
              <w:top w:val="single" w:sz="8" w:color="006880"/>
              <w:bottom w:val="single" w:sz="8" w:color="004054"/>
            </w:tcBorders>
            <w:shd w:val="clear" w:color="auto" w:fill="006880"/>
          </w:tcPr>
          <w:p>
            <w:pPr>
              <w:spacing w:after="0"/>
              <w:rPr>
                <w:sz w:val="20"/>
                <w:szCs w:val="20"/>
                <w:color w:val="auto"/>
              </w:rPr>
            </w:pPr>
          </w:p>
        </w:tc>
        <w:tc>
          <w:tcPr>
            <w:tcW w:w="20" w:type="dxa"/>
            <w:vAlign w:val="bottom"/>
            <w:tcBorders>
              <w:top w:val="single" w:sz="8" w:color="006880"/>
              <w:bottom w:val="single" w:sz="8" w:color="006880"/>
            </w:tcBorders>
            <w:shd w:val="clear" w:color="auto" w:fill="006880"/>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6160" w:type="dxa"/>
            <w:vAlign w:val="bottom"/>
            <w:tcBorders>
              <w:right w:val="single" w:sz="8" w:color="004054"/>
            </w:tcBorders>
            <w:shd w:val="clear" w:color="auto" w:fill="004054"/>
          </w:tcPr>
          <w:p>
            <w:pPr>
              <w:spacing w:after="0"/>
              <w:rPr>
                <w:sz w:val="16"/>
                <w:szCs w:val="16"/>
                <w:color w:val="auto"/>
              </w:rPr>
            </w:pP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 of</w:t>
            </w:r>
          </w:p>
        </w:tc>
        <w:tc>
          <w:tcPr>
            <w:tcW w:w="40" w:type="dxa"/>
            <w:vAlign w:val="bottom"/>
            <w:shd w:val="clear" w:color="auto" w:fill="004054"/>
          </w:tcPr>
          <w:p>
            <w:pPr>
              <w:spacing w:after="0"/>
              <w:rPr>
                <w:sz w:val="16"/>
                <w:szCs w:val="16"/>
                <w:color w:val="auto"/>
              </w:rPr>
            </w:pPr>
          </w:p>
        </w:tc>
        <w:tc>
          <w:tcPr>
            <w:tcW w:w="169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Number of PRSUs</w:t>
            </w:r>
          </w:p>
        </w:tc>
        <w:tc>
          <w:tcPr>
            <w:tcW w:w="230" w:type="dxa"/>
            <w:vAlign w:val="bottom"/>
            <w:shd w:val="clear" w:color="auto" w:fill="004054"/>
          </w:tcPr>
          <w:p>
            <w:pPr>
              <w:spacing w:after="0"/>
              <w:rPr>
                <w:sz w:val="16"/>
                <w:szCs w:val="16"/>
                <w:color w:val="auto"/>
              </w:rPr>
            </w:pPr>
          </w:p>
        </w:tc>
        <w:tc>
          <w:tcPr>
            <w:tcW w:w="14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 of PRSUs</w:t>
            </w: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160" w:type="dxa"/>
            <w:vAlign w:val="bottom"/>
            <w:tcBorders>
              <w:right w:val="single" w:sz="8" w:color="004054"/>
            </w:tcBorders>
            <w:shd w:val="clear" w:color="auto" w:fill="004054"/>
          </w:tcPr>
          <w:p>
            <w:pPr>
              <w:spacing w:after="0"/>
              <w:rPr>
                <w:sz w:val="14"/>
                <w:szCs w:val="14"/>
                <w:color w:val="auto"/>
              </w:rPr>
            </w:pP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RSAs or RSUs</w:t>
            </w:r>
          </w:p>
        </w:tc>
        <w:tc>
          <w:tcPr>
            <w:tcW w:w="40" w:type="dxa"/>
            <w:vAlign w:val="bottom"/>
            <w:shd w:val="clear" w:color="auto" w:fill="004054"/>
          </w:tcPr>
          <w:p>
            <w:pPr>
              <w:spacing w:after="0"/>
              <w:rPr>
                <w:sz w:val="14"/>
                <w:szCs w:val="14"/>
                <w:color w:val="auto"/>
              </w:rPr>
            </w:pPr>
          </w:p>
        </w:tc>
        <w:tc>
          <w:tcPr>
            <w:tcW w:w="1690" w:type="dxa"/>
            <w:vAlign w:val="bottom"/>
            <w:vMerge w:val="continue"/>
            <w:shd w:val="clear" w:color="auto" w:fill="004054"/>
          </w:tcPr>
          <w:p>
            <w:pPr>
              <w:spacing w:after="0"/>
              <w:rPr>
                <w:sz w:val="14"/>
                <w:szCs w:val="14"/>
                <w:color w:val="auto"/>
              </w:rPr>
            </w:pPr>
          </w:p>
        </w:tc>
        <w:tc>
          <w:tcPr>
            <w:tcW w:w="230" w:type="dxa"/>
            <w:vAlign w:val="bottom"/>
            <w:shd w:val="clear" w:color="auto" w:fill="004054"/>
          </w:tcPr>
          <w:p>
            <w:pPr>
              <w:spacing w:after="0"/>
              <w:rPr>
                <w:sz w:val="14"/>
                <w:szCs w:val="14"/>
                <w:color w:val="auto"/>
              </w:rPr>
            </w:pPr>
          </w:p>
        </w:tc>
        <w:tc>
          <w:tcPr>
            <w:tcW w:w="14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(three-year</w:t>
            </w:r>
          </w:p>
        </w:tc>
        <w:tc>
          <w:tcPr>
            <w:tcW w:w="2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160" w:type="dxa"/>
            <w:vAlign w:val="bottom"/>
            <w:tcBorders>
              <w:bottom w:val="single" w:sz="8" w:color="004054"/>
              <w:right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Name</w:t>
            </w:r>
          </w:p>
        </w:tc>
        <w:tc>
          <w:tcPr>
            <w:tcW w:w="16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(time-based)</w:t>
            </w:r>
          </w:p>
        </w:tc>
        <w:tc>
          <w:tcPr>
            <w:tcW w:w="40" w:type="dxa"/>
            <w:vAlign w:val="bottom"/>
            <w:tcBorders>
              <w:bottom w:val="single" w:sz="8" w:color="004054"/>
            </w:tcBorders>
            <w:shd w:val="clear" w:color="auto" w:fill="004054"/>
          </w:tcPr>
          <w:p>
            <w:pPr>
              <w:spacing w:after="0"/>
              <w:rPr>
                <w:sz w:val="17"/>
                <w:szCs w:val="17"/>
                <w:color w:val="auto"/>
              </w:rPr>
            </w:pPr>
          </w:p>
        </w:tc>
        <w:tc>
          <w:tcPr>
            <w:tcW w:w="169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(one-year performance)</w:t>
            </w:r>
          </w:p>
        </w:tc>
        <w:tc>
          <w:tcPr>
            <w:tcW w:w="230" w:type="dxa"/>
            <w:vAlign w:val="bottom"/>
            <w:tcBorders>
              <w:bottom w:val="single" w:sz="8" w:color="004054"/>
            </w:tcBorders>
            <w:shd w:val="clear" w:color="auto" w:fill="004054"/>
          </w:tcPr>
          <w:p>
            <w:pPr>
              <w:spacing w:after="0"/>
              <w:rPr>
                <w:sz w:val="17"/>
                <w:szCs w:val="17"/>
                <w:color w:val="auto"/>
              </w:rPr>
            </w:pPr>
          </w:p>
        </w:tc>
        <w:tc>
          <w:tcPr>
            <w:tcW w:w="14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performance)</w:t>
            </w:r>
          </w:p>
        </w:tc>
        <w:tc>
          <w:tcPr>
            <w:tcW w:w="20" w:type="dxa"/>
            <w:vAlign w:val="bottom"/>
            <w:tcBorders>
              <w:bottom w:val="single" w:sz="8" w:color="004054"/>
            </w:tcBorders>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6160" w:type="dxa"/>
            <w:vAlign w:val="bottom"/>
            <w:tcBorders>
              <w:right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Mr. Gianoni</w:t>
            </w:r>
          </w:p>
        </w:tc>
        <w:tc>
          <w:tcPr>
            <w:tcW w:w="16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32,582</w:t>
            </w:r>
          </w:p>
        </w:tc>
        <w:tc>
          <w:tcPr>
            <w:tcW w:w="1730" w:type="dxa"/>
            <w:vAlign w:val="bottom"/>
            <w:gridSpan w:val="2"/>
            <w:shd w:val="clear" w:color="auto" w:fill="EBFBFF"/>
          </w:tcPr>
          <w:p>
            <w:pPr>
              <w:jc w:val="right"/>
              <w:ind w:right="18"/>
              <w:spacing w:after="0"/>
              <w:rPr>
                <w:sz w:val="20"/>
                <w:szCs w:val="20"/>
                <w:color w:val="auto"/>
              </w:rPr>
            </w:pPr>
            <w:r>
              <w:rPr>
                <w:rFonts w:ascii="Arial" w:cs="Arial" w:eastAsia="Arial" w:hAnsi="Arial"/>
                <w:sz w:val="18"/>
                <w:szCs w:val="18"/>
                <w:color w:val="51555C"/>
              </w:rPr>
              <w:t>16,291</w:t>
            </w:r>
          </w:p>
        </w:tc>
        <w:tc>
          <w:tcPr>
            <w:tcW w:w="230" w:type="dxa"/>
            <w:vAlign w:val="bottom"/>
            <w:shd w:val="clear" w:color="auto" w:fill="EBFBFF"/>
          </w:tcPr>
          <w:p>
            <w:pPr>
              <w:spacing w:after="0"/>
              <w:rPr>
                <w:sz w:val="24"/>
                <w:szCs w:val="24"/>
                <w:color w:val="auto"/>
              </w:rPr>
            </w:pPr>
          </w:p>
        </w:tc>
        <w:tc>
          <w:tcPr>
            <w:tcW w:w="14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16,291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160" w:type="dxa"/>
            <w:vAlign w:val="bottom"/>
          </w:tcPr>
          <w:p>
            <w:pPr>
              <w:ind w:left="20"/>
              <w:spacing w:after="0"/>
              <w:rPr>
                <w:sz w:val="20"/>
                <w:szCs w:val="20"/>
                <w:color w:val="auto"/>
              </w:rPr>
            </w:pPr>
            <w:r>
              <w:rPr>
                <w:rFonts w:ascii="Arial" w:cs="Arial" w:eastAsia="Arial" w:hAnsi="Arial"/>
                <w:sz w:val="18"/>
                <w:szCs w:val="18"/>
                <w:b w:val="1"/>
                <w:bCs w:val="1"/>
                <w:color w:val="51555C"/>
              </w:rPr>
              <w:t>Mr. Anderson</w:t>
            </w:r>
          </w:p>
        </w:tc>
        <w:tc>
          <w:tcPr>
            <w:tcW w:w="1660" w:type="dxa"/>
            <w:vAlign w:val="bottom"/>
          </w:tcPr>
          <w:p>
            <w:pPr>
              <w:jc w:val="right"/>
              <w:spacing w:after="0"/>
              <w:rPr>
                <w:sz w:val="20"/>
                <w:szCs w:val="20"/>
                <w:color w:val="auto"/>
              </w:rPr>
            </w:pPr>
            <w:r>
              <w:rPr>
                <w:rFonts w:ascii="Arial" w:cs="Arial" w:eastAsia="Arial" w:hAnsi="Arial"/>
                <w:sz w:val="18"/>
                <w:szCs w:val="18"/>
                <w:color w:val="51555C"/>
              </w:rPr>
              <w:t>7,168</w:t>
            </w:r>
          </w:p>
        </w:tc>
        <w:tc>
          <w:tcPr>
            <w:tcW w:w="1730" w:type="dxa"/>
            <w:vAlign w:val="bottom"/>
            <w:gridSpan w:val="2"/>
          </w:tcPr>
          <w:p>
            <w:pPr>
              <w:jc w:val="right"/>
              <w:ind w:right="18"/>
              <w:spacing w:after="0"/>
              <w:rPr>
                <w:sz w:val="20"/>
                <w:szCs w:val="20"/>
                <w:color w:val="auto"/>
              </w:rPr>
            </w:pPr>
            <w:r>
              <w:rPr>
                <w:rFonts w:ascii="Arial" w:cs="Arial" w:eastAsia="Arial" w:hAnsi="Arial"/>
                <w:sz w:val="18"/>
                <w:szCs w:val="18"/>
                <w:color w:val="51555C"/>
              </w:rPr>
              <w:t>3,584</w:t>
            </w:r>
          </w:p>
        </w:tc>
        <w:tc>
          <w:tcPr>
            <w:tcW w:w="23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51555C"/>
              </w:rPr>
              <w:t>3,584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160" w:type="dxa"/>
            <w:vAlign w:val="bottom"/>
            <w:tcBorders>
              <w:right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Mr. Boor</w:t>
            </w:r>
          </w:p>
        </w:tc>
        <w:tc>
          <w:tcPr>
            <w:tcW w:w="16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19,550</w:t>
            </w:r>
          </w:p>
        </w:tc>
        <w:tc>
          <w:tcPr>
            <w:tcW w:w="1730" w:type="dxa"/>
            <w:vAlign w:val="bottom"/>
            <w:gridSpan w:val="2"/>
            <w:shd w:val="clear" w:color="auto" w:fill="EBFBFF"/>
          </w:tcPr>
          <w:p>
            <w:pPr>
              <w:jc w:val="right"/>
              <w:ind w:right="18"/>
              <w:spacing w:after="0"/>
              <w:rPr>
                <w:sz w:val="20"/>
                <w:szCs w:val="20"/>
                <w:color w:val="auto"/>
              </w:rPr>
            </w:pPr>
            <w:r>
              <w:rPr>
                <w:rFonts w:ascii="Arial" w:cs="Arial" w:eastAsia="Arial" w:hAnsi="Arial"/>
                <w:sz w:val="18"/>
                <w:szCs w:val="18"/>
                <w:color w:val="51555C"/>
              </w:rPr>
              <w:t>9,775</w:t>
            </w:r>
          </w:p>
        </w:tc>
        <w:tc>
          <w:tcPr>
            <w:tcW w:w="230" w:type="dxa"/>
            <w:vAlign w:val="bottom"/>
            <w:shd w:val="clear" w:color="auto" w:fill="EBFBFF"/>
          </w:tcPr>
          <w:p>
            <w:pPr>
              <w:spacing w:after="0"/>
              <w:rPr>
                <w:sz w:val="24"/>
                <w:szCs w:val="24"/>
                <w:color w:val="auto"/>
              </w:rPr>
            </w:pPr>
          </w:p>
        </w:tc>
        <w:tc>
          <w:tcPr>
            <w:tcW w:w="14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9,775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6160" w:type="dxa"/>
            <w:vAlign w:val="bottom"/>
          </w:tcPr>
          <w:p>
            <w:pPr>
              <w:ind w:left="20"/>
              <w:spacing w:after="0"/>
              <w:rPr>
                <w:sz w:val="20"/>
                <w:szCs w:val="20"/>
                <w:color w:val="auto"/>
              </w:rPr>
            </w:pPr>
            <w:r>
              <w:rPr>
                <w:rFonts w:ascii="Arial" w:cs="Arial" w:eastAsia="Arial" w:hAnsi="Arial"/>
                <w:sz w:val="18"/>
                <w:szCs w:val="18"/>
                <w:b w:val="1"/>
                <w:bCs w:val="1"/>
                <w:color w:val="51555C"/>
              </w:rPr>
              <w:t>Mr. Benjamin</w:t>
            </w:r>
          </w:p>
        </w:tc>
        <w:tc>
          <w:tcPr>
            <w:tcW w:w="1660" w:type="dxa"/>
            <w:vAlign w:val="bottom"/>
          </w:tcPr>
          <w:p>
            <w:pPr>
              <w:jc w:val="right"/>
              <w:spacing w:after="0"/>
              <w:rPr>
                <w:sz w:val="20"/>
                <w:szCs w:val="20"/>
                <w:color w:val="auto"/>
              </w:rPr>
            </w:pPr>
            <w:r>
              <w:rPr>
                <w:rFonts w:ascii="Arial" w:cs="Arial" w:eastAsia="Arial" w:hAnsi="Arial"/>
                <w:sz w:val="18"/>
                <w:szCs w:val="18"/>
                <w:color w:val="51555C"/>
              </w:rPr>
              <w:t>16,943</w:t>
            </w:r>
          </w:p>
        </w:tc>
        <w:tc>
          <w:tcPr>
            <w:tcW w:w="1730" w:type="dxa"/>
            <w:vAlign w:val="bottom"/>
            <w:gridSpan w:val="2"/>
          </w:tcPr>
          <w:p>
            <w:pPr>
              <w:jc w:val="right"/>
              <w:ind w:right="18"/>
              <w:spacing w:after="0"/>
              <w:rPr>
                <w:sz w:val="20"/>
                <w:szCs w:val="20"/>
                <w:color w:val="auto"/>
              </w:rPr>
            </w:pPr>
            <w:r>
              <w:rPr>
                <w:rFonts w:ascii="Arial" w:cs="Arial" w:eastAsia="Arial" w:hAnsi="Arial"/>
                <w:sz w:val="18"/>
                <w:szCs w:val="18"/>
                <w:color w:val="51555C"/>
              </w:rPr>
              <w:t>8,472</w:t>
            </w:r>
          </w:p>
        </w:tc>
        <w:tc>
          <w:tcPr>
            <w:tcW w:w="23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51555C"/>
              </w:rPr>
              <w:t>8,472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160" w:type="dxa"/>
            <w:vAlign w:val="bottom"/>
            <w:tcBorders>
              <w:right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Mr. Gregoire</w:t>
            </w:r>
          </w:p>
        </w:tc>
        <w:tc>
          <w:tcPr>
            <w:tcW w:w="16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21,179</w:t>
            </w:r>
          </w:p>
        </w:tc>
        <w:tc>
          <w:tcPr>
            <w:tcW w:w="1730" w:type="dxa"/>
            <w:vAlign w:val="bottom"/>
            <w:gridSpan w:val="2"/>
            <w:shd w:val="clear" w:color="auto" w:fill="EBFBFF"/>
          </w:tcPr>
          <w:p>
            <w:pPr>
              <w:jc w:val="right"/>
              <w:ind w:right="18"/>
              <w:spacing w:after="0"/>
              <w:rPr>
                <w:sz w:val="20"/>
                <w:szCs w:val="20"/>
                <w:color w:val="auto"/>
              </w:rPr>
            </w:pPr>
            <w:r>
              <w:rPr>
                <w:rFonts w:ascii="Arial" w:cs="Arial" w:eastAsia="Arial" w:hAnsi="Arial"/>
                <w:sz w:val="18"/>
                <w:szCs w:val="18"/>
                <w:color w:val="51555C"/>
              </w:rPr>
              <w:t>10,590</w:t>
            </w:r>
          </w:p>
        </w:tc>
        <w:tc>
          <w:tcPr>
            <w:tcW w:w="230" w:type="dxa"/>
            <w:vAlign w:val="bottom"/>
            <w:shd w:val="clear" w:color="auto" w:fill="EBFBFF"/>
          </w:tcPr>
          <w:p>
            <w:pPr>
              <w:spacing w:after="0"/>
              <w:rPr>
                <w:sz w:val="24"/>
                <w:szCs w:val="24"/>
                <w:color w:val="auto"/>
              </w:rPr>
            </w:pPr>
          </w:p>
        </w:tc>
        <w:tc>
          <w:tcPr>
            <w:tcW w:w="14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10,590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16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51555C"/>
              </w:rPr>
              <w:t>Mr. McDearis</w:t>
            </w:r>
          </w:p>
        </w:tc>
        <w:tc>
          <w:tcPr>
            <w:tcW w:w="1660" w:type="dxa"/>
            <w:vAlign w:val="bottom"/>
            <w:tcBorders>
              <w:bottom w:val="single" w:sz="8" w:color="0CD973"/>
            </w:tcBorders>
          </w:tcPr>
          <w:p>
            <w:pPr>
              <w:jc w:val="right"/>
              <w:spacing w:after="0"/>
              <w:rPr>
                <w:sz w:val="20"/>
                <w:szCs w:val="20"/>
                <w:color w:val="auto"/>
              </w:rPr>
            </w:pPr>
            <w:r>
              <w:rPr>
                <w:rFonts w:ascii="Arial" w:cs="Arial" w:eastAsia="Arial" w:hAnsi="Arial"/>
                <w:sz w:val="18"/>
                <w:szCs w:val="18"/>
                <w:color w:val="51555C"/>
              </w:rPr>
              <w:t>15,640</w:t>
            </w:r>
          </w:p>
        </w:tc>
        <w:tc>
          <w:tcPr>
            <w:tcW w:w="1730" w:type="dxa"/>
            <w:vAlign w:val="bottom"/>
            <w:tcBorders>
              <w:bottom w:val="single" w:sz="8" w:color="0CD973"/>
            </w:tcBorders>
            <w:gridSpan w:val="2"/>
          </w:tcPr>
          <w:p>
            <w:pPr>
              <w:jc w:val="right"/>
              <w:ind w:right="18"/>
              <w:spacing w:after="0"/>
              <w:rPr>
                <w:sz w:val="20"/>
                <w:szCs w:val="20"/>
                <w:color w:val="auto"/>
              </w:rPr>
            </w:pPr>
            <w:r>
              <w:rPr>
                <w:rFonts w:ascii="Arial" w:cs="Arial" w:eastAsia="Arial" w:hAnsi="Arial"/>
                <w:sz w:val="18"/>
                <w:szCs w:val="18"/>
                <w:color w:val="51555C"/>
              </w:rPr>
              <w:t>7,820</w:t>
            </w:r>
          </w:p>
        </w:tc>
        <w:tc>
          <w:tcPr>
            <w:tcW w:w="230" w:type="dxa"/>
            <w:vAlign w:val="bottom"/>
            <w:tcBorders>
              <w:bottom w:val="single" w:sz="8" w:color="0CD973"/>
            </w:tcBorders>
          </w:tcPr>
          <w:p>
            <w:pPr>
              <w:spacing w:after="0"/>
              <w:rPr>
                <w:sz w:val="24"/>
                <w:szCs w:val="24"/>
                <w:color w:val="auto"/>
              </w:rPr>
            </w:pPr>
          </w:p>
        </w:tc>
        <w:tc>
          <w:tcPr>
            <w:tcW w:w="1460" w:type="dxa"/>
            <w:vAlign w:val="bottom"/>
            <w:tcBorders>
              <w:bottom w:val="single" w:sz="8" w:color="0CD973"/>
            </w:tcBorders>
          </w:tcPr>
          <w:p>
            <w:pPr>
              <w:jc w:val="right"/>
              <w:spacing w:after="0"/>
              <w:rPr>
                <w:sz w:val="20"/>
                <w:szCs w:val="20"/>
                <w:color w:val="auto"/>
              </w:rPr>
            </w:pPr>
            <w:r>
              <w:rPr>
                <w:rFonts w:ascii="Arial" w:cs="Arial" w:eastAsia="Arial" w:hAnsi="Arial"/>
                <w:sz w:val="18"/>
                <w:szCs w:val="18"/>
                <w:color w:val="51555C"/>
              </w:rPr>
              <w:t>7,820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4"/>
        </w:trPr>
        <w:tc>
          <w:tcPr>
            <w:tcW w:w="6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gridSpan w:val="2"/>
          </w:tcPr>
          <w:p>
            <w:pPr>
              <w:ind w:left="160"/>
              <w:spacing w:after="0"/>
              <w:rPr>
                <w:sz w:val="20"/>
                <w:szCs w:val="20"/>
                <w:color w:val="auto"/>
              </w:rPr>
            </w:pPr>
            <w:r>
              <w:rPr>
                <w:rFonts w:ascii="Arial" w:cs="Arial" w:eastAsia="Arial" w:hAnsi="Arial"/>
                <w:sz w:val="14"/>
                <w:szCs w:val="14"/>
                <w:color w:val="51555C"/>
              </w:rPr>
              <w:t>2026 Proxy Statement</w:t>
            </w:r>
          </w:p>
        </w:tc>
        <w:tc>
          <w:tcPr>
            <w:tcW w:w="1460" w:type="dxa"/>
            <w:vAlign w:val="bottom"/>
          </w:tcPr>
          <w:p>
            <w:pPr>
              <w:jc w:val="right"/>
              <w:ind w:right="37"/>
              <w:spacing w:after="0"/>
              <w:rPr>
                <w:sz w:val="20"/>
                <w:szCs w:val="20"/>
                <w:color w:val="auto"/>
              </w:rPr>
            </w:pPr>
            <w:r>
              <w:rPr>
                <w:rFonts w:ascii="Arial" w:cs="Arial" w:eastAsia="Arial" w:hAnsi="Arial"/>
                <w:sz w:val="14"/>
                <w:szCs w:val="14"/>
                <w:color w:val="51555C"/>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1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90" w:type="dxa"/>
            <w:vAlign w:val="bottom"/>
            <w:tcBorders>
              <w:bottom w:val="single" w:sz="8" w:color="9A9A9A"/>
            </w:tcBorders>
          </w:tcPr>
          <w:p>
            <w:pPr>
              <w:spacing w:after="0"/>
              <w:rPr>
                <w:sz w:val="24"/>
                <w:szCs w:val="24"/>
                <w:color w:val="auto"/>
              </w:rPr>
            </w:pPr>
          </w:p>
        </w:tc>
        <w:tc>
          <w:tcPr>
            <w:tcW w:w="23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-2228215</wp:posOffset>
            </wp:positionV>
            <wp:extent cx="32486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24866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-316865</wp:posOffset>
            </wp:positionV>
            <wp:extent cx="702945" cy="1111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ectPr>
          <w:pgSz w:w="11900" w:h="16838" w:orient="portrait"/>
          <w:cols w:equalWidth="0" w:num="1">
            <w:col w:w="11260"/>
          </w:cols>
          <w:pgMar w:left="320" w:top="300" w:right="319" w:bottom="1440" w:gutter="0" w:footer="0" w:header="0"/>
        </w:sectPr>
      </w:pPr>
    </w:p>
    <w:bookmarkStart w:id="47" w:name="page48"/>
    <w:bookmarkEnd w:id="47"/>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EXECUTIVE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On April 30, 2025, Mr. Anderson was promoted to Executive Vice President and CFO. In connection with his promotion, in May 2025, Mr. Anderson was granted a one-time May 2025 Promotion LTI restricted stock award of 11,227 shares of common stock (which was in addition to the February 2025 annual LTI award referenced above). The Compensation Committee determined the May 2025 Promotion LTI award level for Mr. Anderson after considering the factors listed above and his increased responsibilities.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The number of shares granted to each NEO as RSAs or RSUs and PRSUs in fiscal 2025 was determined based on a target grant value divided by the average closing price of our common stock on the Nasdaq Global Select Market for the 30 trading days ending four trading days prior to the actual grant date. As a result, the value of equity granted to our NEOs in fiscal 2025 and reported in this Proxy Statement, according to applicable SEC reporting requirements, may differ from the target values approved by the Compensation Committee, according to its methodology.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2025 LTI RSAs or RSUs to NEOs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The RSAs or RSUs granted to our NEOs during 2025 (including the May 2025 Promotion LTI RSA granted to Mr. Anderson) vest in three equal annual installments beginning on the first anniversary of the date of grant, subject to the NEO's continued employment.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2025 LTI PRSUs to NEOs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The Compensation Committee granted PRSUs to our NEOs in February 2025. Pursuant to the terms of such awards, 50% of the shares of our common stock subject to the 2025 LTI PRSUs may be earned and become eligible for vesting based on our level of achievement of equally weighted Non-GAAP Adjusted Total Revenue and Gross Dollar Retention goals for fiscal 2025 (together, the “One-year PRSUs”).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The remaining 50% of the shares of our common stock subject to the 2025 LTI PRSUs may be earned and become eligible for vesting based on our level of achievement of Rule of 40 goals for fiscal 2025, fiscal 2026 and fiscal 2027 (the “Three-year PRSUs”).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51555C"/>
        </w:rPr>
        <w:t>For purposes of determining 2025 LTI PRSU attainment:</w:t>
      </w:r>
    </w:p>
    <w:p>
      <w:pPr>
        <w:spacing w:after="0" w:line="63" w:lineRule="exact"/>
        <w:rPr>
          <w:sz w:val="20"/>
          <w:szCs w:val="20"/>
          <w:color w:val="auto"/>
        </w:rPr>
      </w:pPr>
    </w:p>
    <w:p>
      <w:pPr>
        <w:jc w:val="both"/>
        <w:ind w:left="660" w:hanging="328"/>
        <w:spacing w:after="0" w:line="256" w:lineRule="auto"/>
        <w:tabs>
          <w:tab w:leader="none" w:pos="628" w:val="left"/>
        </w:tabs>
        <w:numPr>
          <w:ilvl w:val="0"/>
          <w:numId w:val="53"/>
        </w:numPr>
        <w:rPr>
          <w:rFonts w:ascii="Arial" w:cs="Arial" w:eastAsia="Arial" w:hAnsi="Arial"/>
          <w:sz w:val="18"/>
          <w:szCs w:val="18"/>
          <w:color w:val="51555C"/>
        </w:rPr>
      </w:pPr>
      <w:r>
        <w:rPr>
          <w:rFonts w:ascii="Arial" w:cs="Arial" w:eastAsia="Arial" w:hAnsi="Arial"/>
          <w:sz w:val="18"/>
          <w:szCs w:val="18"/>
          <w:color w:val="51555C"/>
        </w:rPr>
        <w:t>“Non-GAAP Adjusted Total Revenue” means our 2025 total non-GAAP adjusted revenue as presented in our periodic reports filed with the SEC (within the section "Management's discussion and analysis of financial condition and results of operations" of those reports), adjusted to (i) measure performance on a constant currency basis eliminating both positive and negative effects of currency exchange rate fluctuations; (ii) exclude the effects of changes to generally accepted accounting standards required by the Financial Accounting Standards Board; (iii) exclude the effects of "extraordinary events" as determined under generally accepted accounting principles as well as events of an “unusual nature” or of a type that indicates "infrequency of occurrence;" and (iv) exclude the impacts of acquisitions or dispositions that occur during the performance period.</w:t>
      </w:r>
    </w:p>
    <w:p>
      <w:pPr>
        <w:spacing w:after="0" w:line="20" w:lineRule="exact"/>
        <w:rPr>
          <w:rFonts w:ascii="Arial" w:cs="Arial" w:eastAsia="Arial" w:hAnsi="Arial"/>
          <w:sz w:val="18"/>
          <w:szCs w:val="18"/>
          <w:color w:val="51555C"/>
        </w:rPr>
      </w:pPr>
    </w:p>
    <w:p>
      <w:pPr>
        <w:ind w:left="660" w:hanging="328"/>
        <w:spacing w:after="0" w:line="281" w:lineRule="auto"/>
        <w:tabs>
          <w:tab w:leader="none" w:pos="628" w:val="left"/>
        </w:tabs>
        <w:numPr>
          <w:ilvl w:val="0"/>
          <w:numId w:val="53"/>
        </w:numPr>
        <w:rPr>
          <w:rFonts w:ascii="Arial" w:cs="Arial" w:eastAsia="Arial" w:hAnsi="Arial"/>
          <w:sz w:val="18"/>
          <w:szCs w:val="18"/>
          <w:color w:val="51555C"/>
        </w:rPr>
      </w:pPr>
      <w:r>
        <w:rPr>
          <w:rFonts w:ascii="Arial" w:cs="Arial" w:eastAsia="Arial" w:hAnsi="Arial"/>
          <w:sz w:val="18"/>
          <w:szCs w:val="18"/>
          <w:color w:val="51555C"/>
        </w:rPr>
        <w:t>“Gross Dollar Retention” means our 2025 contracted annual recurring revenue ("CARR") less churn and downgrades divided by beginning CARR with a measurement period of 12 months ended December 31, 2025.</w:t>
      </w:r>
    </w:p>
    <w:p>
      <w:pPr>
        <w:spacing w:after="0" w:line="1" w:lineRule="exact"/>
        <w:rPr>
          <w:rFonts w:ascii="Arial" w:cs="Arial" w:eastAsia="Arial" w:hAnsi="Arial"/>
          <w:sz w:val="18"/>
          <w:szCs w:val="18"/>
          <w:color w:val="51555C"/>
        </w:rPr>
      </w:pPr>
    </w:p>
    <w:p>
      <w:pPr>
        <w:jc w:val="both"/>
        <w:ind w:left="660" w:hanging="328"/>
        <w:spacing w:after="0" w:line="268" w:lineRule="auto"/>
        <w:tabs>
          <w:tab w:leader="none" w:pos="628" w:val="left"/>
        </w:tabs>
        <w:numPr>
          <w:ilvl w:val="0"/>
          <w:numId w:val="53"/>
        </w:numPr>
        <w:rPr>
          <w:rFonts w:ascii="Arial" w:cs="Arial" w:eastAsia="Arial" w:hAnsi="Arial"/>
          <w:sz w:val="18"/>
          <w:szCs w:val="18"/>
          <w:color w:val="51555C"/>
        </w:rPr>
      </w:pPr>
      <w:r>
        <w:rPr>
          <w:rFonts w:ascii="Arial" w:cs="Arial" w:eastAsia="Arial" w:hAnsi="Arial"/>
          <w:sz w:val="18"/>
          <w:szCs w:val="18"/>
          <w:color w:val="51555C"/>
        </w:rPr>
        <w:t>"Rule of 40" means our 2025 non-GAAP Organic Revenue Growth percent plus non-GAAP Adjusted EBITDA Margin percent as presented in our periodic reports filed with the SEC (within the section "Management's discussion and analysis of financial condition and results of operations" of those reports).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Based on feedback from our stockholders and to prevent duplicative payouts, our STI and LTI opportunities utilize different performance metrics. The Compensation Committee selected Non-GAAP Adjusted Total Revenue as a performance metric because it focuses management on our top-line growth. Gross Dollar Retention was chosen as it is aligned with our stated strategy of delighting our customers with innovative cloud solutions. Rule of 40 was chosen because it is aligned with our current financial goals. The Compensation Committee believes all three of the 2025 LTI PRSUs performance metrics will promote our long-term ability to increase profitability and cash flow and deliver stockholder value.</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To the extent earned, the 2025 LTI PRSUs are eligible for vesting in three equal annual installments beginning on the first anniversary of the date of grant. Achievement against the 2025 LTI PRSUs performance metrics was to be calculated to eliminate both positive and negative effects of currency exchange rate fluctuations since the date of grant.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For each of our performance metrics, the Compensation Committee set the performance target at a level it believed would represent a high (but achievable) level of Company performance, while requiring what it believed would be outstanding performance to achieve the maximum payout level.</w:t>
      </w:r>
    </w:p>
    <w:p>
      <w:pPr>
        <w:spacing w:after="0" w:line="327"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46</w:t>
      </w:r>
      <w:r>
        <w:rPr>
          <w:sz w:val="20"/>
          <w:szCs w:val="20"/>
          <w:color w:val="auto"/>
        </w:rPr>
        <w:tab/>
      </w:r>
      <w:r>
        <w:rPr>
          <w:sz w:val="1"/>
          <w:szCs w:val="1"/>
          <w:color w:val="auto"/>
        </w:rPr>
        <w:drawing>
          <wp:inline distT="0" distB="0" distL="0" distR="0">
            <wp:extent cx="702945" cy="11176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02945" cy="111760"/>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48" w:name="page49"/>
    <w:bookmarkEnd w:id="48"/>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b w:val="1"/>
          <w:bCs w:val="1"/>
          <w:color w:val="5155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51555C"/>
        </w:rPr>
        <w:t>The Compensation Committee retains discretion to adjust final performance thresholds and targets, positively or negatively, in limited circumstances, such as unforeseen events affecting the Company or its industry or instances of exceptional operational complexity. Any such discretion is expected to be used infrequently. In determining whether the exercise of discretion is appropriate, the Compensation Committee would consider, among other factors, the materiality of the event and whether it meaningfully distorted the relationship between Company performance and the intended outcomes under the applicable performance metrics. The Compensation Committee did not adjust the 2025 LTI PRSUs performance metrics, nor did it exercise any such discretion in determining 2025 LTI PRSUs payouts for executive officers.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2025 One-year PRSUs</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The One-year PRSUs granted to our NEOs in 2025 are eligible to be earned based on our level of achievement of the following equally weighted performance metrics. The threshold levels for either of the 2025 One-year PRSUs performance metrics had to be achieved or exceeded for there to be a payout (but with such payout still subject to remaining vesting conditions).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700" w:type="dxa"/>
            <w:vAlign w:val="bottom"/>
            <w:tcBorders>
              <w:top w:val="single" w:sz="8" w:color="004054"/>
              <w:bottom w:val="single" w:sz="8" w:color="004054"/>
            </w:tcBorders>
            <w:shd w:val="clear" w:color="auto" w:fill="004054"/>
          </w:tcPr>
          <w:p>
            <w:pPr>
              <w:spacing w:after="0"/>
              <w:rPr>
                <w:sz w:val="22"/>
                <w:szCs w:val="22"/>
                <w:color w:val="auto"/>
              </w:rPr>
            </w:pPr>
          </w:p>
        </w:tc>
        <w:tc>
          <w:tcPr>
            <w:tcW w:w="1220" w:type="dxa"/>
            <w:vAlign w:val="bottom"/>
            <w:tcBorders>
              <w:top w:val="single" w:sz="8" w:color="004054"/>
              <w:bottom w:val="single" w:sz="8" w:color="004054"/>
              <w:right w:val="single" w:sz="8" w:color="006880"/>
            </w:tcBorders>
            <w:shd w:val="clear" w:color="auto" w:fill="004054"/>
          </w:tcPr>
          <w:p>
            <w:pPr>
              <w:spacing w:after="0"/>
              <w:rPr>
                <w:sz w:val="22"/>
                <w:szCs w:val="22"/>
                <w:color w:val="auto"/>
              </w:rPr>
            </w:pPr>
          </w:p>
        </w:tc>
        <w:tc>
          <w:tcPr>
            <w:tcW w:w="1220" w:type="dxa"/>
            <w:vAlign w:val="bottom"/>
            <w:tcBorders>
              <w:top w:val="single" w:sz="8" w:color="006880"/>
              <w:bottom w:val="single" w:sz="8" w:color="004054"/>
            </w:tcBorders>
            <w:shd w:val="clear" w:color="auto" w:fill="006880"/>
          </w:tcPr>
          <w:p>
            <w:pPr>
              <w:spacing w:after="0"/>
              <w:rPr>
                <w:sz w:val="22"/>
                <w:szCs w:val="22"/>
                <w:color w:val="auto"/>
              </w:rPr>
            </w:pPr>
          </w:p>
        </w:tc>
        <w:tc>
          <w:tcPr>
            <w:tcW w:w="2840" w:type="dxa"/>
            <w:vAlign w:val="bottom"/>
            <w:tcBorders>
              <w:top w:val="single" w:sz="8" w:color="006880"/>
              <w:bottom w:val="single" w:sz="8" w:color="004054"/>
            </w:tcBorders>
            <w:gridSpan w:val="3"/>
            <w:shd w:val="clear" w:color="auto" w:fill="006880"/>
          </w:tcPr>
          <w:p>
            <w:pPr>
              <w:jc w:val="center"/>
              <w:spacing w:after="0"/>
              <w:rPr>
                <w:sz w:val="20"/>
                <w:szCs w:val="20"/>
                <w:color w:val="auto"/>
              </w:rPr>
            </w:pPr>
            <w:r>
              <w:rPr>
                <w:rFonts w:ascii="Arial" w:cs="Arial" w:eastAsia="Arial" w:hAnsi="Arial"/>
                <w:sz w:val="14"/>
                <w:szCs w:val="14"/>
                <w:b w:val="1"/>
                <w:bCs w:val="1"/>
                <w:color w:val="FFFFFF"/>
              </w:rPr>
              <w:t>Performance (dollars in millions)</w:t>
            </w:r>
          </w:p>
        </w:tc>
        <w:tc>
          <w:tcPr>
            <w:tcW w:w="1260" w:type="dxa"/>
            <w:vAlign w:val="bottom"/>
            <w:tcBorders>
              <w:top w:val="single" w:sz="8" w:color="006880"/>
              <w:bottom w:val="single" w:sz="8" w:color="004054"/>
            </w:tcBorders>
            <w:shd w:val="clear" w:color="auto" w:fill="006880"/>
          </w:tcPr>
          <w:p>
            <w:pPr>
              <w:spacing w:after="0"/>
              <w:rPr>
                <w:sz w:val="22"/>
                <w:szCs w:val="22"/>
                <w:color w:val="auto"/>
              </w:rPr>
            </w:pPr>
          </w:p>
        </w:tc>
        <w:tc>
          <w:tcPr>
            <w:tcW w:w="20" w:type="dxa"/>
            <w:vAlign w:val="bottom"/>
            <w:tcBorders>
              <w:top w:val="single" w:sz="8" w:color="006880"/>
              <w:bottom w:val="single" w:sz="8" w:color="006880"/>
            </w:tcBorders>
            <w:shd w:val="clear" w:color="auto" w:fill="006880"/>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4700" w:type="dxa"/>
            <w:vAlign w:val="bottom"/>
            <w:shd w:val="clear" w:color="auto" w:fill="004054"/>
          </w:tcPr>
          <w:p>
            <w:pPr>
              <w:spacing w:after="0"/>
              <w:rPr>
                <w:sz w:val="16"/>
                <w:szCs w:val="16"/>
                <w:color w:val="auto"/>
              </w:rPr>
            </w:pPr>
          </w:p>
        </w:tc>
        <w:tc>
          <w:tcPr>
            <w:tcW w:w="1220" w:type="dxa"/>
            <w:vAlign w:val="bottom"/>
            <w:tcBorders>
              <w:right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Performance</w:t>
            </w:r>
          </w:p>
        </w:tc>
        <w:tc>
          <w:tcPr>
            <w:tcW w:w="122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Below</w:t>
            </w:r>
          </w:p>
        </w:tc>
        <w:tc>
          <w:tcPr>
            <w:tcW w:w="1260" w:type="dxa"/>
            <w:vAlign w:val="bottom"/>
            <w:shd w:val="clear" w:color="auto" w:fill="004054"/>
          </w:tcPr>
          <w:p>
            <w:pPr>
              <w:spacing w:after="0"/>
              <w:rPr>
                <w:sz w:val="16"/>
                <w:szCs w:val="16"/>
                <w:color w:val="auto"/>
              </w:rPr>
            </w:pPr>
          </w:p>
        </w:tc>
        <w:tc>
          <w:tcPr>
            <w:tcW w:w="1240" w:type="dxa"/>
            <w:vAlign w:val="bottom"/>
            <w:shd w:val="clear" w:color="auto" w:fill="004054"/>
          </w:tcPr>
          <w:p>
            <w:pPr>
              <w:spacing w:after="0"/>
              <w:rPr>
                <w:sz w:val="16"/>
                <w:szCs w:val="16"/>
                <w:color w:val="auto"/>
              </w:rPr>
            </w:pPr>
          </w:p>
        </w:tc>
        <w:tc>
          <w:tcPr>
            <w:tcW w:w="340" w:type="dxa"/>
            <w:vAlign w:val="bottom"/>
            <w:shd w:val="clear" w:color="auto" w:fill="004054"/>
          </w:tcPr>
          <w:p>
            <w:pPr>
              <w:spacing w:after="0"/>
              <w:rPr>
                <w:sz w:val="16"/>
                <w:szCs w:val="16"/>
                <w:color w:val="auto"/>
              </w:rPr>
            </w:pPr>
          </w:p>
        </w:tc>
        <w:tc>
          <w:tcPr>
            <w:tcW w:w="126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7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2025 One-year PRSUs Performance Metrics</w:t>
            </w:r>
          </w:p>
        </w:tc>
        <w:tc>
          <w:tcPr>
            <w:tcW w:w="1220" w:type="dxa"/>
            <w:vAlign w:val="bottom"/>
            <w:tcBorders>
              <w:bottom w:val="single" w:sz="8" w:color="004054"/>
              <w:right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Period</w:t>
            </w:r>
          </w:p>
        </w:tc>
        <w:tc>
          <w:tcPr>
            <w:tcW w:w="122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Threshold</w:t>
            </w:r>
          </w:p>
        </w:tc>
        <w:tc>
          <w:tcPr>
            <w:tcW w:w="1260" w:type="dxa"/>
            <w:vAlign w:val="bottom"/>
            <w:tcBorders>
              <w:bottom w:val="single" w:sz="8" w:color="004054"/>
            </w:tcBorders>
            <w:shd w:val="clear" w:color="auto" w:fill="004054"/>
          </w:tcPr>
          <w:p>
            <w:pPr>
              <w:ind w:left="280"/>
              <w:spacing w:after="0"/>
              <w:rPr>
                <w:sz w:val="20"/>
                <w:szCs w:val="20"/>
                <w:color w:val="auto"/>
              </w:rPr>
            </w:pPr>
            <w:r>
              <w:rPr>
                <w:rFonts w:ascii="Arial" w:cs="Arial" w:eastAsia="Arial" w:hAnsi="Arial"/>
                <w:sz w:val="14"/>
                <w:szCs w:val="14"/>
                <w:b w:val="1"/>
                <w:bCs w:val="1"/>
                <w:color w:val="FFFFFF"/>
              </w:rPr>
              <w:t>Threshold</w:t>
            </w:r>
          </w:p>
        </w:tc>
        <w:tc>
          <w:tcPr>
            <w:tcW w:w="1240" w:type="dxa"/>
            <w:vAlign w:val="bottom"/>
            <w:tcBorders>
              <w:bottom w:val="single" w:sz="8" w:color="004054"/>
            </w:tcBorders>
            <w:shd w:val="clear" w:color="auto" w:fill="004054"/>
          </w:tcPr>
          <w:p>
            <w:pPr>
              <w:ind w:left="400"/>
              <w:spacing w:after="0"/>
              <w:rPr>
                <w:sz w:val="20"/>
                <w:szCs w:val="20"/>
                <w:color w:val="auto"/>
              </w:rPr>
            </w:pPr>
            <w:r>
              <w:rPr>
                <w:rFonts w:ascii="Arial" w:cs="Arial" w:eastAsia="Arial" w:hAnsi="Arial"/>
                <w:sz w:val="14"/>
                <w:szCs w:val="14"/>
                <w:b w:val="1"/>
                <w:bCs w:val="1"/>
                <w:color w:val="FFFFFF"/>
              </w:rPr>
              <w:t>Target</w:t>
            </w:r>
          </w:p>
        </w:tc>
        <w:tc>
          <w:tcPr>
            <w:tcW w:w="340" w:type="dxa"/>
            <w:vAlign w:val="bottom"/>
            <w:tcBorders>
              <w:bottom w:val="single" w:sz="8" w:color="004054"/>
            </w:tcBorders>
            <w:shd w:val="clear" w:color="auto" w:fill="004054"/>
          </w:tcPr>
          <w:p>
            <w:pPr>
              <w:spacing w:after="0"/>
              <w:rPr>
                <w:sz w:val="17"/>
                <w:szCs w:val="17"/>
                <w:color w:val="auto"/>
              </w:rPr>
            </w:pPr>
          </w:p>
        </w:tc>
        <w:tc>
          <w:tcPr>
            <w:tcW w:w="1260" w:type="dxa"/>
            <w:vAlign w:val="bottom"/>
            <w:tcBorders>
              <w:bottom w:val="single" w:sz="8" w:color="004054"/>
            </w:tcBorders>
            <w:shd w:val="clear" w:color="auto" w:fill="004054"/>
          </w:tcPr>
          <w:p>
            <w:pPr>
              <w:ind w:left="300"/>
              <w:spacing w:after="0"/>
              <w:rPr>
                <w:sz w:val="20"/>
                <w:szCs w:val="20"/>
                <w:color w:val="auto"/>
              </w:rPr>
            </w:pPr>
            <w:r>
              <w:rPr>
                <w:rFonts w:ascii="Arial" w:cs="Arial" w:eastAsia="Arial" w:hAnsi="Arial"/>
                <w:sz w:val="14"/>
                <w:szCs w:val="14"/>
                <w:b w:val="1"/>
                <w:bCs w:val="1"/>
                <w:color w:val="FFFFFF"/>
              </w:rPr>
              <w:t>Maximum</w:t>
            </w:r>
          </w:p>
        </w:tc>
        <w:tc>
          <w:tcPr>
            <w:tcW w:w="20" w:type="dxa"/>
            <w:vAlign w:val="bottom"/>
            <w:tcBorders>
              <w:bottom w:val="single" w:sz="8" w:color="004054"/>
            </w:tcBorders>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700" w:type="dxa"/>
            <w:vAlign w:val="bottom"/>
            <w:vMerge w:val="restart"/>
            <w:shd w:val="clear" w:color="auto" w:fill="EBFBFF"/>
          </w:tcPr>
          <w:p>
            <w:pPr>
              <w:ind w:left="20"/>
              <w:spacing w:after="0"/>
              <w:rPr>
                <w:sz w:val="20"/>
                <w:szCs w:val="20"/>
                <w:color w:val="auto"/>
              </w:rPr>
            </w:pPr>
            <w:r>
              <w:rPr>
                <w:rFonts w:ascii="Arial" w:cs="Arial" w:eastAsia="Arial" w:hAnsi="Arial"/>
                <w:sz w:val="18"/>
                <w:szCs w:val="18"/>
                <w:color w:val="51555C"/>
              </w:rPr>
              <w:t>Non-GAAP Adjusted Total Revenue</w:t>
            </w:r>
          </w:p>
        </w:tc>
        <w:tc>
          <w:tcPr>
            <w:tcW w:w="1220" w:type="dxa"/>
            <w:vAlign w:val="bottom"/>
            <w:tcBorders>
              <w:right w:val="single" w:sz="8" w:color="EBFBFF"/>
            </w:tcBorders>
            <w:vMerge w:val="restart"/>
            <w:shd w:val="clear" w:color="auto" w:fill="EBFBFF"/>
          </w:tcPr>
          <w:p>
            <w:pPr>
              <w:jc w:val="center"/>
              <w:spacing w:after="0"/>
              <w:rPr>
                <w:sz w:val="20"/>
                <w:szCs w:val="20"/>
                <w:color w:val="auto"/>
              </w:rPr>
            </w:pPr>
            <w:r>
              <w:rPr>
                <w:rFonts w:ascii="Arial" w:cs="Arial" w:eastAsia="Arial" w:hAnsi="Arial"/>
                <w:sz w:val="18"/>
                <w:szCs w:val="18"/>
                <w:color w:val="51555C"/>
                <w:w w:val="99"/>
              </w:rPr>
              <w:t>2025</w:t>
            </w:r>
          </w:p>
        </w:tc>
        <w:tc>
          <w:tcPr>
            <w:tcW w:w="1220" w:type="dxa"/>
            <w:vAlign w:val="bottom"/>
            <w:vMerge w:val="restart"/>
            <w:shd w:val="clear" w:color="auto" w:fill="EBFBFF"/>
          </w:tcPr>
          <w:p>
            <w:pPr>
              <w:jc w:val="center"/>
              <w:spacing w:after="0"/>
              <w:rPr>
                <w:sz w:val="20"/>
                <w:szCs w:val="20"/>
                <w:color w:val="auto"/>
              </w:rPr>
            </w:pPr>
            <w:r>
              <w:rPr>
                <w:rFonts w:ascii="Arial" w:cs="Arial" w:eastAsia="Arial" w:hAnsi="Arial"/>
                <w:sz w:val="18"/>
                <w:szCs w:val="18"/>
                <w:color w:val="51555C"/>
              </w:rPr>
              <w:t>&lt; $1,015.2</w:t>
            </w:r>
          </w:p>
        </w:tc>
        <w:tc>
          <w:tcPr>
            <w:tcW w:w="1260" w:type="dxa"/>
            <w:vAlign w:val="bottom"/>
            <w:vMerge w:val="restart"/>
            <w:shd w:val="clear" w:color="auto" w:fill="EBFBFF"/>
          </w:tcPr>
          <w:p>
            <w:pPr>
              <w:jc w:val="center"/>
              <w:spacing w:after="0"/>
              <w:rPr>
                <w:sz w:val="20"/>
                <w:szCs w:val="20"/>
                <w:color w:val="auto"/>
              </w:rPr>
            </w:pPr>
            <w:r>
              <w:rPr>
                <w:rFonts w:ascii="Arial" w:cs="Arial" w:eastAsia="Arial" w:hAnsi="Arial"/>
                <w:sz w:val="18"/>
                <w:szCs w:val="18"/>
                <w:color w:val="51555C"/>
                <w:w w:val="99"/>
              </w:rPr>
              <w:t>$1,015.2</w:t>
            </w:r>
          </w:p>
        </w:tc>
        <w:tc>
          <w:tcPr>
            <w:tcW w:w="1240" w:type="dxa"/>
            <w:vAlign w:val="bottom"/>
            <w:vMerge w:val="restart"/>
            <w:shd w:val="clear" w:color="auto" w:fill="EBFBFF"/>
          </w:tcPr>
          <w:p>
            <w:pPr>
              <w:jc w:val="center"/>
              <w:spacing w:after="0"/>
              <w:rPr>
                <w:sz w:val="20"/>
                <w:szCs w:val="20"/>
                <w:color w:val="auto"/>
              </w:rPr>
            </w:pPr>
            <w:r>
              <w:rPr>
                <w:rFonts w:ascii="Arial" w:cs="Arial" w:eastAsia="Arial" w:hAnsi="Arial"/>
                <w:sz w:val="18"/>
                <w:szCs w:val="18"/>
                <w:color w:val="51555C"/>
                <w:w w:val="99"/>
              </w:rPr>
              <w:t>$1,128.0</w:t>
            </w:r>
          </w:p>
        </w:tc>
        <w:tc>
          <w:tcPr>
            <w:tcW w:w="340" w:type="dxa"/>
            <w:vAlign w:val="bottom"/>
            <w:shd w:val="clear" w:color="auto" w:fill="EBFBFF"/>
          </w:tcPr>
          <w:p>
            <w:pPr>
              <w:jc w:val="right"/>
              <w:ind w:right="117"/>
              <w:spacing w:after="0"/>
              <w:rPr>
                <w:sz w:val="20"/>
                <w:szCs w:val="20"/>
                <w:color w:val="auto"/>
              </w:rPr>
            </w:pPr>
            <w:r>
              <w:rPr>
                <w:rFonts w:ascii="Arial" w:cs="Arial" w:eastAsia="Arial" w:hAnsi="Arial"/>
                <w:sz w:val="13"/>
                <w:szCs w:val="13"/>
                <w:color w:val="51555C"/>
                <w:w w:val="87"/>
              </w:rPr>
              <w:t>(1)</w:t>
            </w:r>
          </w:p>
        </w:tc>
        <w:tc>
          <w:tcPr>
            <w:tcW w:w="1260" w:type="dxa"/>
            <w:vAlign w:val="bottom"/>
            <w:vMerge w:val="restart"/>
            <w:shd w:val="clear" w:color="auto" w:fill="EBFBFF"/>
          </w:tcPr>
          <w:p>
            <w:pPr>
              <w:jc w:val="center"/>
              <w:spacing w:after="0"/>
              <w:rPr>
                <w:sz w:val="20"/>
                <w:szCs w:val="20"/>
                <w:color w:val="auto"/>
              </w:rPr>
            </w:pPr>
            <w:r>
              <w:rPr>
                <w:rFonts w:ascii="Arial" w:cs="Arial" w:eastAsia="Arial" w:hAnsi="Arial"/>
                <w:sz w:val="18"/>
                <w:szCs w:val="18"/>
                <w:color w:val="51555C"/>
                <w:w w:val="99"/>
              </w:rPr>
              <w:t>$1,240.8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700" w:type="dxa"/>
            <w:vAlign w:val="bottom"/>
            <w:tcBorders>
              <w:bottom w:val="single" w:sz="8" w:color="EBFBFF"/>
            </w:tcBorders>
            <w:vMerge w:val="continue"/>
            <w:shd w:val="clear" w:color="auto" w:fill="EBFBFF"/>
          </w:tcPr>
          <w:p>
            <w:pPr>
              <w:spacing w:after="0"/>
              <w:rPr>
                <w:sz w:val="11"/>
                <w:szCs w:val="11"/>
                <w:color w:val="auto"/>
              </w:rPr>
            </w:pPr>
          </w:p>
        </w:tc>
        <w:tc>
          <w:tcPr>
            <w:tcW w:w="1220" w:type="dxa"/>
            <w:vAlign w:val="bottom"/>
            <w:tcBorders>
              <w:bottom w:val="single" w:sz="8" w:color="EBFBFF"/>
              <w:right w:val="single" w:sz="8" w:color="EBFBFF"/>
            </w:tcBorders>
            <w:vMerge w:val="continue"/>
            <w:shd w:val="clear" w:color="auto" w:fill="EBFBFF"/>
          </w:tcPr>
          <w:p>
            <w:pPr>
              <w:spacing w:after="0"/>
              <w:rPr>
                <w:sz w:val="11"/>
                <w:szCs w:val="11"/>
                <w:color w:val="auto"/>
              </w:rPr>
            </w:pPr>
          </w:p>
        </w:tc>
        <w:tc>
          <w:tcPr>
            <w:tcW w:w="1220" w:type="dxa"/>
            <w:vAlign w:val="bottom"/>
            <w:tcBorders>
              <w:bottom w:val="single" w:sz="8" w:color="EBFBFF"/>
            </w:tcBorders>
            <w:vMerge w:val="continue"/>
            <w:shd w:val="clear" w:color="auto" w:fill="EBFBFF"/>
          </w:tcPr>
          <w:p>
            <w:pPr>
              <w:spacing w:after="0"/>
              <w:rPr>
                <w:sz w:val="11"/>
                <w:szCs w:val="11"/>
                <w:color w:val="auto"/>
              </w:rPr>
            </w:pPr>
          </w:p>
        </w:tc>
        <w:tc>
          <w:tcPr>
            <w:tcW w:w="1260" w:type="dxa"/>
            <w:vAlign w:val="bottom"/>
            <w:tcBorders>
              <w:bottom w:val="single" w:sz="8" w:color="EBFBFF"/>
            </w:tcBorders>
            <w:vMerge w:val="continue"/>
            <w:shd w:val="clear" w:color="auto" w:fill="EBFBFF"/>
          </w:tcPr>
          <w:p>
            <w:pPr>
              <w:spacing w:after="0"/>
              <w:rPr>
                <w:sz w:val="11"/>
                <w:szCs w:val="11"/>
                <w:color w:val="auto"/>
              </w:rPr>
            </w:pPr>
          </w:p>
        </w:tc>
        <w:tc>
          <w:tcPr>
            <w:tcW w:w="1240" w:type="dxa"/>
            <w:vAlign w:val="bottom"/>
            <w:tcBorders>
              <w:bottom w:val="single" w:sz="8" w:color="EBFBFF"/>
            </w:tcBorders>
            <w:vMerge w:val="continue"/>
            <w:shd w:val="clear" w:color="auto" w:fill="EBFBFF"/>
          </w:tcPr>
          <w:p>
            <w:pPr>
              <w:spacing w:after="0"/>
              <w:rPr>
                <w:sz w:val="11"/>
                <w:szCs w:val="11"/>
                <w:color w:val="auto"/>
              </w:rPr>
            </w:pPr>
          </w:p>
        </w:tc>
        <w:tc>
          <w:tcPr>
            <w:tcW w:w="340" w:type="dxa"/>
            <w:vAlign w:val="bottom"/>
            <w:tcBorders>
              <w:bottom w:val="single" w:sz="8" w:color="EBFBFF"/>
            </w:tcBorders>
            <w:shd w:val="clear" w:color="auto" w:fill="EBFBFF"/>
          </w:tcPr>
          <w:p>
            <w:pPr>
              <w:spacing w:after="0"/>
              <w:rPr>
                <w:sz w:val="11"/>
                <w:szCs w:val="11"/>
                <w:color w:val="auto"/>
              </w:rPr>
            </w:pPr>
          </w:p>
        </w:tc>
        <w:tc>
          <w:tcPr>
            <w:tcW w:w="1260" w:type="dxa"/>
            <w:vAlign w:val="bottom"/>
            <w:tcBorders>
              <w:bottom w:val="single" w:sz="8" w:color="EBFBFF"/>
            </w:tcBorders>
            <w:vMerge w:val="continue"/>
            <w:shd w:val="clear" w:color="auto" w:fill="EBFB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4700" w:type="dxa"/>
            <w:vAlign w:val="bottom"/>
          </w:tcPr>
          <w:p>
            <w:pPr>
              <w:ind w:left="20"/>
              <w:spacing w:after="0"/>
              <w:rPr>
                <w:sz w:val="20"/>
                <w:szCs w:val="20"/>
                <w:color w:val="auto"/>
              </w:rPr>
            </w:pPr>
            <w:r>
              <w:rPr>
                <w:rFonts w:ascii="Arial" w:cs="Arial" w:eastAsia="Arial" w:hAnsi="Arial"/>
                <w:sz w:val="18"/>
                <w:szCs w:val="18"/>
                <w:color w:val="51555C"/>
              </w:rPr>
              <w:t>Gross Dollar Retention</w:t>
            </w:r>
          </w:p>
        </w:tc>
        <w:tc>
          <w:tcPr>
            <w:tcW w:w="1220" w:type="dxa"/>
            <w:vAlign w:val="bottom"/>
          </w:tcPr>
          <w:p>
            <w:pPr>
              <w:jc w:val="center"/>
              <w:spacing w:after="0"/>
              <w:rPr>
                <w:sz w:val="20"/>
                <w:szCs w:val="20"/>
                <w:color w:val="auto"/>
              </w:rPr>
            </w:pPr>
            <w:r>
              <w:rPr>
                <w:rFonts w:ascii="Arial" w:cs="Arial" w:eastAsia="Arial" w:hAnsi="Arial"/>
                <w:sz w:val="18"/>
                <w:szCs w:val="18"/>
                <w:color w:val="51555C"/>
                <w:w w:val="99"/>
              </w:rPr>
              <w:t>2025</w:t>
            </w:r>
          </w:p>
        </w:tc>
        <w:tc>
          <w:tcPr>
            <w:tcW w:w="1220" w:type="dxa"/>
            <w:vAlign w:val="bottom"/>
          </w:tcPr>
          <w:p>
            <w:pPr>
              <w:jc w:val="center"/>
              <w:spacing w:after="0"/>
              <w:rPr>
                <w:sz w:val="20"/>
                <w:szCs w:val="20"/>
                <w:color w:val="auto"/>
              </w:rPr>
            </w:pPr>
            <w:r>
              <w:rPr>
                <w:rFonts w:ascii="Arial" w:cs="Arial" w:eastAsia="Arial" w:hAnsi="Arial"/>
                <w:sz w:val="18"/>
                <w:szCs w:val="18"/>
                <w:color w:val="51555C"/>
                <w:w w:val="99"/>
              </w:rPr>
              <w:t>&lt; 89.0%</w:t>
            </w:r>
          </w:p>
        </w:tc>
        <w:tc>
          <w:tcPr>
            <w:tcW w:w="1260" w:type="dxa"/>
            <w:vAlign w:val="bottom"/>
          </w:tcPr>
          <w:p>
            <w:pPr>
              <w:jc w:val="center"/>
              <w:spacing w:after="0"/>
              <w:rPr>
                <w:sz w:val="20"/>
                <w:szCs w:val="20"/>
                <w:color w:val="auto"/>
              </w:rPr>
            </w:pPr>
            <w:r>
              <w:rPr>
                <w:rFonts w:ascii="Arial" w:cs="Arial" w:eastAsia="Arial" w:hAnsi="Arial"/>
                <w:sz w:val="18"/>
                <w:szCs w:val="18"/>
                <w:color w:val="51555C"/>
                <w:w w:val="97"/>
              </w:rPr>
              <w:t>89.0%</w:t>
            </w:r>
          </w:p>
        </w:tc>
        <w:tc>
          <w:tcPr>
            <w:tcW w:w="1240" w:type="dxa"/>
            <w:vAlign w:val="bottom"/>
          </w:tcPr>
          <w:p>
            <w:pPr>
              <w:jc w:val="center"/>
              <w:spacing w:after="0"/>
              <w:rPr>
                <w:sz w:val="20"/>
                <w:szCs w:val="20"/>
                <w:color w:val="auto"/>
              </w:rPr>
            </w:pPr>
            <w:r>
              <w:rPr>
                <w:rFonts w:ascii="Arial" w:cs="Arial" w:eastAsia="Arial" w:hAnsi="Arial"/>
                <w:sz w:val="18"/>
                <w:szCs w:val="18"/>
                <w:color w:val="51555C"/>
                <w:w w:val="97"/>
              </w:rPr>
              <w:t>92.0%</w:t>
            </w:r>
          </w:p>
        </w:tc>
        <w:tc>
          <w:tcPr>
            <w:tcW w:w="3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51555C"/>
                <w:w w:val="97"/>
              </w:rPr>
              <w:t>94.0%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EBFBFF"/>
          </w:tcPr>
          <w:p>
            <w:pPr>
              <w:spacing w:after="0"/>
              <w:rPr>
                <w:sz w:val="20"/>
                <w:szCs w:val="20"/>
                <w:color w:val="auto"/>
              </w:rPr>
            </w:pPr>
          </w:p>
        </w:tc>
        <w:tc>
          <w:tcPr>
            <w:tcW w:w="1220" w:type="dxa"/>
            <w:vAlign w:val="bottom"/>
            <w:tcBorders>
              <w:right w:val="single" w:sz="8" w:color="006880"/>
            </w:tcBorders>
            <w:shd w:val="clear" w:color="auto" w:fill="EBFBFF"/>
          </w:tcPr>
          <w:p>
            <w:pPr>
              <w:spacing w:after="0"/>
              <w:rPr>
                <w:sz w:val="20"/>
                <w:szCs w:val="20"/>
                <w:color w:val="auto"/>
              </w:rPr>
            </w:pPr>
          </w:p>
        </w:tc>
        <w:tc>
          <w:tcPr>
            <w:tcW w:w="1220" w:type="dxa"/>
            <w:vAlign w:val="bottom"/>
            <w:tcBorders>
              <w:bottom w:val="single" w:sz="8" w:color="006880"/>
            </w:tcBorders>
            <w:shd w:val="clear" w:color="auto" w:fill="006880"/>
          </w:tcPr>
          <w:p>
            <w:pPr>
              <w:spacing w:after="0"/>
              <w:rPr>
                <w:sz w:val="20"/>
                <w:szCs w:val="20"/>
                <w:color w:val="auto"/>
              </w:rPr>
            </w:pPr>
          </w:p>
        </w:tc>
        <w:tc>
          <w:tcPr>
            <w:tcW w:w="2500" w:type="dxa"/>
            <w:vAlign w:val="bottom"/>
            <w:tcBorders>
              <w:bottom w:val="single" w:sz="8" w:color="006880"/>
            </w:tcBorders>
            <w:gridSpan w:val="2"/>
            <w:shd w:val="clear" w:color="auto" w:fill="006880"/>
          </w:tcPr>
          <w:p>
            <w:pPr>
              <w:jc w:val="center"/>
              <w:ind w:left="299"/>
              <w:spacing w:after="0"/>
              <w:rPr>
                <w:sz w:val="20"/>
                <w:szCs w:val="20"/>
                <w:color w:val="auto"/>
              </w:rPr>
            </w:pPr>
            <w:r>
              <w:rPr>
                <w:rFonts w:ascii="Arial" w:cs="Arial" w:eastAsia="Arial" w:hAnsi="Arial"/>
                <w:sz w:val="14"/>
                <w:szCs w:val="14"/>
                <w:b w:val="1"/>
                <w:bCs w:val="1"/>
                <w:color w:val="FFFFFF"/>
              </w:rPr>
              <w:t>Payout (% of Target)</w:t>
            </w:r>
          </w:p>
        </w:tc>
        <w:tc>
          <w:tcPr>
            <w:tcW w:w="340" w:type="dxa"/>
            <w:vAlign w:val="bottom"/>
            <w:tcBorders>
              <w:bottom w:val="single" w:sz="8" w:color="006880"/>
            </w:tcBorders>
            <w:shd w:val="clear" w:color="auto" w:fill="006880"/>
          </w:tcPr>
          <w:p>
            <w:pPr>
              <w:spacing w:after="0"/>
              <w:rPr>
                <w:sz w:val="20"/>
                <w:szCs w:val="20"/>
                <w:color w:val="auto"/>
              </w:rPr>
            </w:pPr>
          </w:p>
        </w:tc>
        <w:tc>
          <w:tcPr>
            <w:tcW w:w="1260" w:type="dxa"/>
            <w:vAlign w:val="bottom"/>
            <w:tcBorders>
              <w:bottom w:val="single" w:sz="8" w:color="006880"/>
            </w:tcBorders>
            <w:shd w:val="clear" w:color="auto" w:fill="006880"/>
          </w:tcPr>
          <w:p>
            <w:pPr>
              <w:spacing w:after="0"/>
              <w:rPr>
                <w:sz w:val="20"/>
                <w:szCs w:val="20"/>
                <w:color w:val="auto"/>
              </w:rPr>
            </w:pPr>
          </w:p>
        </w:tc>
        <w:tc>
          <w:tcPr>
            <w:tcW w:w="20" w:type="dxa"/>
            <w:vAlign w:val="bottom"/>
            <w:tcBorders>
              <w:bottom w:val="single" w:sz="8" w:color="006880"/>
            </w:tcBorders>
            <w:shd w:val="clear" w:color="auto" w:fill="006880"/>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4700" w:type="dxa"/>
            <w:vAlign w:val="bottom"/>
          </w:tcPr>
          <w:p>
            <w:pPr>
              <w:ind w:left="20"/>
              <w:spacing w:after="0"/>
              <w:rPr>
                <w:sz w:val="20"/>
                <w:szCs w:val="20"/>
                <w:color w:val="auto"/>
              </w:rPr>
            </w:pPr>
            <w:r>
              <w:rPr>
                <w:rFonts w:ascii="Arial" w:cs="Arial" w:eastAsia="Arial" w:hAnsi="Arial"/>
                <w:sz w:val="18"/>
                <w:szCs w:val="18"/>
                <w:color w:val="51555C"/>
              </w:rPr>
              <w:t>Number of shares as percentage of target</w:t>
            </w:r>
          </w:p>
        </w:tc>
        <w:tc>
          <w:tcPr>
            <w:tcW w:w="12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51555C"/>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51555C"/>
                <w:w w:val="97"/>
              </w:rPr>
              <w:t>50.0%</w:t>
            </w:r>
          </w:p>
        </w:tc>
        <w:tc>
          <w:tcPr>
            <w:tcW w:w="1240" w:type="dxa"/>
            <w:vAlign w:val="bottom"/>
          </w:tcPr>
          <w:p>
            <w:pPr>
              <w:jc w:val="center"/>
              <w:spacing w:after="0"/>
              <w:rPr>
                <w:sz w:val="20"/>
                <w:szCs w:val="20"/>
                <w:color w:val="auto"/>
              </w:rPr>
            </w:pPr>
            <w:r>
              <w:rPr>
                <w:rFonts w:ascii="Arial" w:cs="Arial" w:eastAsia="Arial" w:hAnsi="Arial"/>
                <w:sz w:val="18"/>
                <w:szCs w:val="18"/>
                <w:color w:val="51555C"/>
              </w:rPr>
              <w:t>100.0%</w:t>
            </w:r>
          </w:p>
        </w:tc>
        <w:tc>
          <w:tcPr>
            <w:tcW w:w="3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51555C"/>
              </w:rPr>
              <w:t>200.0%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Borders>
              <w:bottom w:val="single" w:sz="8" w:color="0CD973"/>
            </w:tcBorders>
          </w:tcPr>
          <w:p>
            <w:pPr>
              <w:spacing w:after="0"/>
              <w:rPr>
                <w:sz w:val="2"/>
                <w:szCs w:val="2"/>
                <w:color w:val="auto"/>
              </w:rPr>
            </w:pPr>
          </w:p>
        </w:tc>
        <w:tc>
          <w:tcPr>
            <w:tcW w:w="1220" w:type="dxa"/>
            <w:vAlign w:val="bottom"/>
            <w:tcBorders>
              <w:bottom w:val="single" w:sz="8" w:color="0CD973"/>
            </w:tcBorders>
          </w:tcPr>
          <w:p>
            <w:pPr>
              <w:spacing w:after="0"/>
              <w:rPr>
                <w:sz w:val="2"/>
                <w:szCs w:val="2"/>
                <w:color w:val="auto"/>
              </w:rPr>
            </w:pPr>
          </w:p>
        </w:tc>
        <w:tc>
          <w:tcPr>
            <w:tcW w:w="1220" w:type="dxa"/>
            <w:vAlign w:val="bottom"/>
            <w:tcBorders>
              <w:bottom w:val="single" w:sz="8" w:color="0CD973"/>
            </w:tcBorders>
          </w:tcPr>
          <w:p>
            <w:pPr>
              <w:spacing w:after="0"/>
              <w:rPr>
                <w:sz w:val="2"/>
                <w:szCs w:val="2"/>
                <w:color w:val="auto"/>
              </w:rPr>
            </w:pPr>
          </w:p>
        </w:tc>
        <w:tc>
          <w:tcPr>
            <w:tcW w:w="1260" w:type="dxa"/>
            <w:vAlign w:val="bottom"/>
            <w:tcBorders>
              <w:bottom w:val="single" w:sz="8" w:color="0CD973"/>
            </w:tcBorders>
          </w:tcPr>
          <w:p>
            <w:pPr>
              <w:spacing w:after="0"/>
              <w:rPr>
                <w:sz w:val="2"/>
                <w:szCs w:val="2"/>
                <w:color w:val="auto"/>
              </w:rPr>
            </w:pPr>
          </w:p>
        </w:tc>
        <w:tc>
          <w:tcPr>
            <w:tcW w:w="1240" w:type="dxa"/>
            <w:vAlign w:val="bottom"/>
            <w:tcBorders>
              <w:bottom w:val="single" w:sz="8" w:color="0CD973"/>
            </w:tcBorders>
          </w:tcPr>
          <w:p>
            <w:pPr>
              <w:spacing w:after="0"/>
              <w:rPr>
                <w:sz w:val="2"/>
                <w:szCs w:val="2"/>
                <w:color w:val="auto"/>
              </w:rPr>
            </w:pPr>
          </w:p>
        </w:tc>
        <w:tc>
          <w:tcPr>
            <w:tcW w:w="340" w:type="dxa"/>
            <w:vAlign w:val="bottom"/>
            <w:tcBorders>
              <w:bottom w:val="single" w:sz="8" w:color="0CD973"/>
            </w:tcBorders>
          </w:tcPr>
          <w:p>
            <w:pPr>
              <w:spacing w:after="0"/>
              <w:rPr>
                <w:sz w:val="2"/>
                <w:szCs w:val="2"/>
                <w:color w:val="auto"/>
              </w:rPr>
            </w:pPr>
          </w:p>
        </w:tc>
        <w:tc>
          <w:tcPr>
            <w:tcW w:w="126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-1062355</wp:posOffset>
            </wp:positionV>
            <wp:extent cx="339471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65"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4"/>
          <w:szCs w:val="14"/>
          <w:color w:val="51555C"/>
        </w:rPr>
      </w:pPr>
      <w:r>
        <w:rPr>
          <w:rFonts w:ascii="Arial" w:cs="Arial" w:eastAsia="Arial" w:hAnsi="Arial"/>
          <w:sz w:val="14"/>
          <w:szCs w:val="14"/>
          <w:color w:val="51555C"/>
        </w:rPr>
        <w:t>Non-GAAP Adjusted Total Revenue target reflects the expected reduction in total revenue for 2025 resulting from the disposition of EVERFI on December 31, 2024.</w:t>
      </w:r>
    </w:p>
    <w:p>
      <w:pPr>
        <w:spacing w:after="0" w:line="15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Our achievement against the One-year PRSUs performance metrics was $1,129.5 million, or 100.1% of target, with respect to Non-GAAP Adjusted Total Revenue and 91.8%, or 99.8% of target, with respect to Gross Dollar Retention, resulting in performance factors of approximately 101.0% and 99.0%, respectively. As a result, the Compensation Committee determined that 100.01% of the shares of our common stock subject to the One-year PRSUs will vest according to the time-based vesting schedule set forth above subject to each NEO's continued employment as of each vesting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7520" w:type="dxa"/>
            <w:vAlign w:val="bottom"/>
            <w:shd w:val="clear" w:color="auto" w:fill="004054"/>
          </w:tcPr>
          <w:p>
            <w:pPr>
              <w:spacing w:after="0" w:line="20" w:lineRule="exact"/>
              <w:rPr>
                <w:sz w:val="1"/>
                <w:szCs w:val="1"/>
                <w:color w:val="auto"/>
              </w:rPr>
            </w:pPr>
          </w:p>
        </w:tc>
        <w:tc>
          <w:tcPr>
            <w:tcW w:w="3720" w:type="dxa"/>
            <w:vAlign w:val="bottom"/>
            <w:gridSpan w:val="2"/>
            <w:vMerge w:val="restart"/>
            <w:shd w:val="clear" w:color="auto" w:fill="006880"/>
          </w:tcPr>
          <w:p>
            <w:pPr>
              <w:jc w:val="right"/>
              <w:ind w:right="1016"/>
              <w:spacing w:after="0"/>
              <w:rPr>
                <w:sz w:val="20"/>
                <w:szCs w:val="20"/>
                <w:color w:val="auto"/>
              </w:rPr>
            </w:pPr>
            <w:r>
              <w:rPr>
                <w:rFonts w:ascii="Arial" w:cs="Arial" w:eastAsia="Arial" w:hAnsi="Arial"/>
                <w:sz w:val="14"/>
                <w:szCs w:val="14"/>
                <w:b w:val="1"/>
                <w:bCs w:val="1"/>
                <w:color w:val="FFFFFF"/>
              </w:rPr>
              <w:t>2025 One-year PRSUs</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20" w:type="dxa"/>
            <w:vAlign w:val="bottom"/>
            <w:tcBorders>
              <w:bottom w:val="single" w:sz="8" w:color="004054"/>
            </w:tcBorders>
            <w:shd w:val="clear" w:color="auto" w:fill="004054"/>
          </w:tcPr>
          <w:p>
            <w:pPr>
              <w:spacing w:after="0"/>
              <w:rPr>
                <w:sz w:val="18"/>
                <w:szCs w:val="18"/>
                <w:color w:val="auto"/>
              </w:rPr>
            </w:pPr>
          </w:p>
        </w:tc>
        <w:tc>
          <w:tcPr>
            <w:tcW w:w="3720" w:type="dxa"/>
            <w:vAlign w:val="bottom"/>
            <w:tcBorders>
              <w:bottom w:val="single" w:sz="8" w:color="004054"/>
            </w:tcBorders>
            <w:gridSpan w:val="2"/>
            <w:vMerge w:val="continue"/>
            <w:shd w:val="clear" w:color="auto" w:fill="006880"/>
          </w:tcPr>
          <w:p>
            <w:pPr>
              <w:spacing w:after="0"/>
              <w:rPr>
                <w:sz w:val="18"/>
                <w:szCs w:val="18"/>
                <w:color w:val="auto"/>
              </w:rPr>
            </w:pPr>
          </w:p>
        </w:tc>
        <w:tc>
          <w:tcPr>
            <w:tcW w:w="20" w:type="dxa"/>
            <w:vAlign w:val="bottom"/>
            <w:tcBorders>
              <w:bottom w:val="single" w:sz="8" w:color="004054"/>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520" w:type="dxa"/>
            <w:vAlign w:val="bottom"/>
            <w:shd w:val="clear" w:color="auto" w:fill="004054"/>
          </w:tcPr>
          <w:p>
            <w:pPr>
              <w:spacing w:after="0"/>
              <w:rPr>
                <w:sz w:val="16"/>
                <w:szCs w:val="16"/>
                <w:color w:val="auto"/>
              </w:rPr>
            </w:pPr>
          </w:p>
        </w:tc>
        <w:tc>
          <w:tcPr>
            <w:tcW w:w="18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 of</w:t>
            </w:r>
          </w:p>
        </w:tc>
        <w:tc>
          <w:tcPr>
            <w:tcW w:w="18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 of</w:t>
            </w: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7520" w:type="dxa"/>
            <w:vAlign w:val="bottom"/>
            <w:vMerge w:val="restart"/>
            <w:shd w:val="clear" w:color="auto" w:fill="004054"/>
          </w:tcPr>
          <w:p>
            <w:pPr>
              <w:ind w:left="40"/>
              <w:spacing w:after="0"/>
              <w:rPr>
                <w:sz w:val="20"/>
                <w:szCs w:val="20"/>
                <w:color w:val="auto"/>
              </w:rPr>
            </w:pPr>
            <w:r>
              <w:rPr>
                <w:rFonts w:ascii="Arial" w:cs="Arial" w:eastAsia="Arial" w:hAnsi="Arial"/>
                <w:sz w:val="14"/>
                <w:szCs w:val="14"/>
                <w:b w:val="1"/>
                <w:bCs w:val="1"/>
                <w:color w:val="FFFFFF"/>
              </w:rPr>
              <w:t>Name</w:t>
            </w:r>
          </w:p>
        </w:tc>
        <w:tc>
          <w:tcPr>
            <w:tcW w:w="18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PRSUs Granted</w:t>
            </w:r>
          </w:p>
        </w:tc>
        <w:tc>
          <w:tcPr>
            <w:tcW w:w="18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PRSUs Earned</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520" w:type="dxa"/>
            <w:vAlign w:val="bottom"/>
            <w:vMerge w:val="continue"/>
            <w:shd w:val="clear" w:color="auto" w:fill="004054"/>
          </w:tcPr>
          <w:p>
            <w:pPr>
              <w:spacing w:after="0"/>
              <w:rPr>
                <w:sz w:val="18"/>
                <w:szCs w:val="18"/>
                <w:color w:val="auto"/>
              </w:rPr>
            </w:pPr>
          </w:p>
        </w:tc>
        <w:tc>
          <w:tcPr>
            <w:tcW w:w="18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(one-year performance)</w:t>
            </w:r>
          </w:p>
        </w:tc>
        <w:tc>
          <w:tcPr>
            <w:tcW w:w="1860" w:type="dxa"/>
            <w:vAlign w:val="bottom"/>
            <w:shd w:val="clear" w:color="auto" w:fill="004054"/>
          </w:tcPr>
          <w:p>
            <w:pPr>
              <w:jc w:val="right"/>
              <w:spacing w:after="0" w:line="201" w:lineRule="exact"/>
              <w:rPr>
                <w:sz w:val="20"/>
                <w:szCs w:val="20"/>
                <w:color w:val="auto"/>
              </w:rPr>
            </w:pPr>
            <w:r>
              <w:rPr>
                <w:rFonts w:ascii="Arial" w:cs="Arial" w:eastAsia="Arial" w:hAnsi="Arial"/>
                <w:sz w:val="14"/>
                <w:szCs w:val="14"/>
                <w:b w:val="1"/>
                <w:bCs w:val="1"/>
                <w:color w:val="FFFFFF"/>
              </w:rPr>
              <w:t>(2025 performance)</w:t>
            </w:r>
            <w:r>
              <w:rPr>
                <w:rFonts w:ascii="Arial" w:cs="Arial" w:eastAsia="Arial" w:hAnsi="Arial"/>
                <w:sz w:val="18"/>
                <w:szCs w:val="18"/>
                <w:b w:val="1"/>
                <w:bCs w:val="1"/>
                <w:color w:val="FFFFFF"/>
                <w:vertAlign w:val="superscript"/>
              </w:rPr>
              <w:t>(1)</w:t>
            </w:r>
          </w:p>
        </w:tc>
        <w:tc>
          <w:tcPr>
            <w:tcW w:w="20" w:type="dxa"/>
            <w:vAlign w:val="bottom"/>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5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Mr. Gianoni</w:t>
            </w:r>
          </w:p>
        </w:tc>
        <w:tc>
          <w:tcPr>
            <w:tcW w:w="1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16,291</w:t>
            </w:r>
          </w:p>
        </w:tc>
        <w:tc>
          <w:tcPr>
            <w:tcW w:w="1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16,294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520" w:type="dxa"/>
            <w:vAlign w:val="bottom"/>
          </w:tcPr>
          <w:p>
            <w:pPr>
              <w:ind w:left="20"/>
              <w:spacing w:after="0"/>
              <w:rPr>
                <w:sz w:val="20"/>
                <w:szCs w:val="20"/>
                <w:color w:val="auto"/>
              </w:rPr>
            </w:pPr>
            <w:r>
              <w:rPr>
                <w:rFonts w:ascii="Arial" w:cs="Arial" w:eastAsia="Arial" w:hAnsi="Arial"/>
                <w:sz w:val="18"/>
                <w:szCs w:val="18"/>
                <w:color w:val="51555C"/>
              </w:rPr>
              <w:t>Mr. Anderson</w:t>
            </w:r>
          </w:p>
        </w:tc>
        <w:tc>
          <w:tcPr>
            <w:tcW w:w="1860" w:type="dxa"/>
            <w:vAlign w:val="bottom"/>
          </w:tcPr>
          <w:p>
            <w:pPr>
              <w:jc w:val="right"/>
              <w:spacing w:after="0"/>
              <w:rPr>
                <w:sz w:val="20"/>
                <w:szCs w:val="20"/>
                <w:color w:val="auto"/>
              </w:rPr>
            </w:pPr>
            <w:r>
              <w:rPr>
                <w:rFonts w:ascii="Arial" w:cs="Arial" w:eastAsia="Arial" w:hAnsi="Arial"/>
                <w:sz w:val="18"/>
                <w:szCs w:val="18"/>
                <w:color w:val="51555C"/>
              </w:rPr>
              <w:t>3,584</w:t>
            </w:r>
          </w:p>
        </w:tc>
        <w:tc>
          <w:tcPr>
            <w:tcW w:w="1860" w:type="dxa"/>
            <w:vAlign w:val="bottom"/>
          </w:tcPr>
          <w:p>
            <w:pPr>
              <w:jc w:val="right"/>
              <w:spacing w:after="0"/>
              <w:rPr>
                <w:sz w:val="20"/>
                <w:szCs w:val="20"/>
                <w:color w:val="auto"/>
              </w:rPr>
            </w:pPr>
            <w:r>
              <w:rPr>
                <w:rFonts w:ascii="Arial" w:cs="Arial" w:eastAsia="Arial" w:hAnsi="Arial"/>
                <w:sz w:val="18"/>
                <w:szCs w:val="18"/>
                <w:color w:val="51555C"/>
              </w:rPr>
              <w:t>3,587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Mr. Boor</w:t>
            </w:r>
          </w:p>
        </w:tc>
        <w:tc>
          <w:tcPr>
            <w:tcW w:w="1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9,775</w:t>
            </w:r>
          </w:p>
        </w:tc>
        <w:tc>
          <w:tcPr>
            <w:tcW w:w="1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9,778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520" w:type="dxa"/>
            <w:vAlign w:val="bottom"/>
          </w:tcPr>
          <w:p>
            <w:pPr>
              <w:ind w:left="20"/>
              <w:spacing w:after="0"/>
              <w:rPr>
                <w:sz w:val="20"/>
                <w:szCs w:val="20"/>
                <w:color w:val="auto"/>
              </w:rPr>
            </w:pPr>
            <w:r>
              <w:rPr>
                <w:rFonts w:ascii="Arial" w:cs="Arial" w:eastAsia="Arial" w:hAnsi="Arial"/>
                <w:sz w:val="18"/>
                <w:szCs w:val="18"/>
                <w:color w:val="51555C"/>
              </w:rPr>
              <w:t>Mr. Benjamin</w:t>
            </w:r>
          </w:p>
        </w:tc>
        <w:tc>
          <w:tcPr>
            <w:tcW w:w="1860" w:type="dxa"/>
            <w:vAlign w:val="bottom"/>
          </w:tcPr>
          <w:p>
            <w:pPr>
              <w:jc w:val="right"/>
              <w:spacing w:after="0"/>
              <w:rPr>
                <w:sz w:val="20"/>
                <w:szCs w:val="20"/>
                <w:color w:val="auto"/>
              </w:rPr>
            </w:pPr>
            <w:r>
              <w:rPr>
                <w:rFonts w:ascii="Arial" w:cs="Arial" w:eastAsia="Arial" w:hAnsi="Arial"/>
                <w:sz w:val="18"/>
                <w:szCs w:val="18"/>
                <w:color w:val="51555C"/>
              </w:rPr>
              <w:t>8,472</w:t>
            </w:r>
          </w:p>
        </w:tc>
        <w:tc>
          <w:tcPr>
            <w:tcW w:w="1860" w:type="dxa"/>
            <w:vAlign w:val="bottom"/>
          </w:tcPr>
          <w:p>
            <w:pPr>
              <w:jc w:val="right"/>
              <w:spacing w:after="0"/>
              <w:rPr>
                <w:sz w:val="20"/>
                <w:szCs w:val="20"/>
                <w:color w:val="auto"/>
              </w:rPr>
            </w:pPr>
            <w:r>
              <w:rPr>
                <w:rFonts w:ascii="Arial" w:cs="Arial" w:eastAsia="Arial" w:hAnsi="Arial"/>
                <w:sz w:val="18"/>
                <w:szCs w:val="18"/>
                <w:color w:val="51555C"/>
              </w:rPr>
              <w:t>8,475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Mr. Gregoire</w:t>
            </w:r>
          </w:p>
        </w:tc>
        <w:tc>
          <w:tcPr>
            <w:tcW w:w="1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10,590</w:t>
            </w:r>
          </w:p>
        </w:tc>
        <w:tc>
          <w:tcPr>
            <w:tcW w:w="1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10,593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520" w:type="dxa"/>
            <w:vAlign w:val="bottom"/>
          </w:tcPr>
          <w:p>
            <w:pPr>
              <w:ind w:left="20"/>
              <w:spacing w:after="0"/>
              <w:rPr>
                <w:sz w:val="20"/>
                <w:szCs w:val="20"/>
                <w:color w:val="auto"/>
              </w:rPr>
            </w:pPr>
            <w:r>
              <w:rPr>
                <w:rFonts w:ascii="Arial" w:cs="Arial" w:eastAsia="Arial" w:hAnsi="Arial"/>
                <w:sz w:val="18"/>
                <w:szCs w:val="18"/>
                <w:color w:val="51555C"/>
              </w:rPr>
              <w:t>Mr. McDearis</w:t>
            </w:r>
          </w:p>
        </w:tc>
        <w:tc>
          <w:tcPr>
            <w:tcW w:w="1860" w:type="dxa"/>
            <w:vAlign w:val="bottom"/>
          </w:tcPr>
          <w:p>
            <w:pPr>
              <w:jc w:val="right"/>
              <w:spacing w:after="0"/>
              <w:rPr>
                <w:sz w:val="20"/>
                <w:szCs w:val="20"/>
                <w:color w:val="auto"/>
              </w:rPr>
            </w:pPr>
            <w:r>
              <w:rPr>
                <w:rFonts w:ascii="Arial" w:cs="Arial" w:eastAsia="Arial" w:hAnsi="Arial"/>
                <w:sz w:val="18"/>
                <w:szCs w:val="18"/>
                <w:color w:val="51555C"/>
              </w:rPr>
              <w:t>7,820</w:t>
            </w:r>
          </w:p>
        </w:tc>
        <w:tc>
          <w:tcPr>
            <w:tcW w:w="1860" w:type="dxa"/>
            <w:vAlign w:val="bottom"/>
          </w:tcPr>
          <w:p>
            <w:pPr>
              <w:jc w:val="right"/>
              <w:spacing w:after="0"/>
              <w:rPr>
                <w:sz w:val="20"/>
                <w:szCs w:val="20"/>
                <w:color w:val="auto"/>
              </w:rPr>
            </w:pPr>
            <w:r>
              <w:rPr>
                <w:rFonts w:ascii="Arial" w:cs="Arial" w:eastAsia="Arial" w:hAnsi="Arial"/>
                <w:sz w:val="18"/>
                <w:szCs w:val="18"/>
                <w:color w:val="51555C"/>
              </w:rPr>
              <w:t>7,823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520" w:type="dxa"/>
            <w:vAlign w:val="bottom"/>
            <w:tcBorders>
              <w:bottom w:val="single" w:sz="8" w:color="0CD973"/>
            </w:tcBorders>
          </w:tcPr>
          <w:p>
            <w:pPr>
              <w:spacing w:after="0"/>
              <w:rPr>
                <w:sz w:val="2"/>
                <w:szCs w:val="2"/>
                <w:color w:val="auto"/>
              </w:rPr>
            </w:pPr>
          </w:p>
        </w:tc>
        <w:tc>
          <w:tcPr>
            <w:tcW w:w="1860" w:type="dxa"/>
            <w:vAlign w:val="bottom"/>
            <w:tcBorders>
              <w:bottom w:val="single" w:sz="8" w:color="0CD973"/>
            </w:tcBorders>
          </w:tcPr>
          <w:p>
            <w:pPr>
              <w:spacing w:after="0"/>
              <w:rPr>
                <w:sz w:val="2"/>
                <w:szCs w:val="2"/>
                <w:color w:val="auto"/>
              </w:rPr>
            </w:pPr>
          </w:p>
        </w:tc>
        <w:tc>
          <w:tcPr>
            <w:tcW w:w="186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-1414145</wp:posOffset>
            </wp:positionV>
            <wp:extent cx="237426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65" w:lineRule="exact"/>
        <w:rPr>
          <w:sz w:val="20"/>
          <w:szCs w:val="20"/>
          <w:color w:val="auto"/>
        </w:rPr>
      </w:pPr>
    </w:p>
    <w:p>
      <w:pPr>
        <w:ind w:left="340" w:right="40" w:hanging="332"/>
        <w:spacing w:after="0" w:line="305" w:lineRule="auto"/>
        <w:tabs>
          <w:tab w:leader="none" w:pos="354" w:val="left"/>
        </w:tabs>
        <w:numPr>
          <w:ilvl w:val="0"/>
          <w:numId w:val="55"/>
        </w:numPr>
        <w:rPr>
          <w:rFonts w:ascii="Arial" w:cs="Arial" w:eastAsia="Arial" w:hAnsi="Arial"/>
          <w:sz w:val="14"/>
          <w:szCs w:val="14"/>
          <w:color w:val="51555C"/>
        </w:rPr>
      </w:pPr>
      <w:r>
        <w:rPr>
          <w:rFonts w:ascii="Arial" w:cs="Arial" w:eastAsia="Arial" w:hAnsi="Arial"/>
          <w:sz w:val="14"/>
          <w:szCs w:val="14"/>
          <w:color w:val="51555C"/>
        </w:rPr>
        <w:t>The earned 2025 One-year PRSUs will vest in three equal annual installments beginning on the first anniversary of the date of grant subject to each NEO's continued employment.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2025 Three-year PRSUs</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51555C"/>
        </w:rPr>
        <w:t>The Three-year PRSUs granted to our NEOs in 2025 are eligible to be earned based on our level of achievement of three equally weighted Rule of 40 goals for fiscal 2025, fiscal 2026 and fiscal 2027.</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720" w:type="dxa"/>
            <w:vAlign w:val="bottom"/>
            <w:tcBorders>
              <w:top w:val="single" w:sz="8" w:color="004054"/>
              <w:bottom w:val="single" w:sz="8" w:color="004054"/>
            </w:tcBorders>
            <w:shd w:val="clear" w:color="auto" w:fill="004054"/>
          </w:tcPr>
          <w:p>
            <w:pPr>
              <w:spacing w:after="0"/>
              <w:rPr>
                <w:sz w:val="22"/>
                <w:szCs w:val="22"/>
                <w:color w:val="auto"/>
              </w:rPr>
            </w:pPr>
          </w:p>
        </w:tc>
        <w:tc>
          <w:tcPr>
            <w:tcW w:w="1240" w:type="dxa"/>
            <w:vAlign w:val="bottom"/>
            <w:tcBorders>
              <w:top w:val="single" w:sz="8" w:color="004054"/>
              <w:bottom w:val="single" w:sz="8" w:color="004054"/>
              <w:right w:val="single" w:sz="8" w:color="006880"/>
            </w:tcBorders>
            <w:shd w:val="clear" w:color="auto" w:fill="004054"/>
          </w:tcPr>
          <w:p>
            <w:pPr>
              <w:spacing w:after="0"/>
              <w:rPr>
                <w:sz w:val="22"/>
                <w:szCs w:val="22"/>
                <w:color w:val="auto"/>
              </w:rPr>
            </w:pPr>
          </w:p>
        </w:tc>
        <w:tc>
          <w:tcPr>
            <w:tcW w:w="1180" w:type="dxa"/>
            <w:vAlign w:val="bottom"/>
            <w:tcBorders>
              <w:top w:val="single" w:sz="8" w:color="006880"/>
              <w:bottom w:val="single" w:sz="8" w:color="004054"/>
            </w:tcBorders>
            <w:shd w:val="clear" w:color="auto" w:fill="006880"/>
          </w:tcPr>
          <w:p>
            <w:pPr>
              <w:spacing w:after="0"/>
              <w:rPr>
                <w:sz w:val="22"/>
                <w:szCs w:val="22"/>
                <w:color w:val="auto"/>
              </w:rPr>
            </w:pPr>
          </w:p>
        </w:tc>
        <w:tc>
          <w:tcPr>
            <w:tcW w:w="1000" w:type="dxa"/>
            <w:vAlign w:val="bottom"/>
            <w:tcBorders>
              <w:top w:val="single" w:sz="8" w:color="006880"/>
              <w:bottom w:val="single" w:sz="8" w:color="004054"/>
            </w:tcBorders>
            <w:shd w:val="clear" w:color="auto" w:fill="006880"/>
          </w:tcPr>
          <w:p>
            <w:pPr>
              <w:spacing w:after="0"/>
              <w:rPr>
                <w:sz w:val="22"/>
                <w:szCs w:val="22"/>
                <w:color w:val="auto"/>
              </w:rPr>
            </w:pPr>
          </w:p>
        </w:tc>
        <w:tc>
          <w:tcPr>
            <w:tcW w:w="1880" w:type="dxa"/>
            <w:vAlign w:val="bottom"/>
            <w:tcBorders>
              <w:top w:val="single" w:sz="8" w:color="006880"/>
              <w:bottom w:val="single" w:sz="8" w:color="004054"/>
            </w:tcBorders>
            <w:shd w:val="clear" w:color="auto" w:fill="006880"/>
          </w:tcPr>
          <w:p>
            <w:pPr>
              <w:jc w:val="center"/>
              <w:ind w:right="876"/>
              <w:spacing w:after="0"/>
              <w:rPr>
                <w:sz w:val="20"/>
                <w:szCs w:val="20"/>
                <w:color w:val="auto"/>
              </w:rPr>
            </w:pPr>
            <w:r>
              <w:rPr>
                <w:rFonts w:ascii="Arial" w:cs="Arial" w:eastAsia="Arial" w:hAnsi="Arial"/>
                <w:sz w:val="14"/>
                <w:szCs w:val="14"/>
                <w:b w:val="1"/>
                <w:bCs w:val="1"/>
                <w:color w:val="FFFFFF"/>
              </w:rPr>
              <w:t>Performance</w:t>
            </w:r>
          </w:p>
        </w:tc>
        <w:tc>
          <w:tcPr>
            <w:tcW w:w="1220" w:type="dxa"/>
            <w:vAlign w:val="bottom"/>
            <w:tcBorders>
              <w:top w:val="single" w:sz="8" w:color="006880"/>
              <w:bottom w:val="single" w:sz="8" w:color="004054"/>
            </w:tcBorders>
            <w:shd w:val="clear" w:color="auto" w:fill="006880"/>
          </w:tcPr>
          <w:p>
            <w:pPr>
              <w:spacing w:after="0"/>
              <w:rPr>
                <w:sz w:val="22"/>
                <w:szCs w:val="22"/>
                <w:color w:val="auto"/>
              </w:rPr>
            </w:pPr>
          </w:p>
        </w:tc>
        <w:tc>
          <w:tcPr>
            <w:tcW w:w="20" w:type="dxa"/>
            <w:vAlign w:val="bottom"/>
            <w:tcBorders>
              <w:top w:val="single" w:sz="8" w:color="006880"/>
              <w:bottom w:val="single" w:sz="8" w:color="006880"/>
            </w:tcBorders>
            <w:shd w:val="clear" w:color="auto" w:fill="006880"/>
          </w:tcPr>
          <w:p>
            <w:pPr>
              <w:spacing w:after="0"/>
              <w:rPr>
                <w:sz w:val="22"/>
                <w:szCs w:val="22"/>
                <w:color w:val="auto"/>
              </w:rPr>
            </w:pPr>
          </w:p>
        </w:tc>
      </w:tr>
      <w:tr>
        <w:trPr>
          <w:trHeight w:val="193"/>
        </w:trPr>
        <w:tc>
          <w:tcPr>
            <w:tcW w:w="4720" w:type="dxa"/>
            <w:vAlign w:val="bottom"/>
            <w:shd w:val="clear" w:color="auto" w:fill="004054"/>
          </w:tcPr>
          <w:p>
            <w:pPr>
              <w:spacing w:after="0"/>
              <w:rPr>
                <w:sz w:val="16"/>
                <w:szCs w:val="16"/>
                <w:color w:val="auto"/>
              </w:rPr>
            </w:pPr>
          </w:p>
        </w:tc>
        <w:tc>
          <w:tcPr>
            <w:tcW w:w="1240" w:type="dxa"/>
            <w:vAlign w:val="bottom"/>
            <w:tcBorders>
              <w:right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Performance</w:t>
            </w:r>
          </w:p>
        </w:tc>
        <w:tc>
          <w:tcPr>
            <w:tcW w:w="1180" w:type="dxa"/>
            <w:vAlign w:val="bottom"/>
            <w:shd w:val="clear" w:color="auto" w:fill="004054"/>
          </w:tcPr>
          <w:p>
            <w:pPr>
              <w:jc w:val="right"/>
              <w:ind w:right="296"/>
              <w:spacing w:after="0"/>
              <w:rPr>
                <w:sz w:val="20"/>
                <w:szCs w:val="20"/>
                <w:color w:val="auto"/>
              </w:rPr>
            </w:pPr>
            <w:r>
              <w:rPr>
                <w:rFonts w:ascii="Arial" w:cs="Arial" w:eastAsia="Arial" w:hAnsi="Arial"/>
                <w:sz w:val="14"/>
                <w:szCs w:val="14"/>
                <w:b w:val="1"/>
                <w:bCs w:val="1"/>
                <w:color w:val="FFFFFF"/>
              </w:rPr>
              <w:t>Below</w:t>
            </w:r>
          </w:p>
        </w:tc>
        <w:tc>
          <w:tcPr>
            <w:tcW w:w="1000" w:type="dxa"/>
            <w:vAlign w:val="bottom"/>
            <w:shd w:val="clear" w:color="auto" w:fill="004054"/>
          </w:tcPr>
          <w:p>
            <w:pPr>
              <w:spacing w:after="0"/>
              <w:rPr>
                <w:sz w:val="16"/>
                <w:szCs w:val="16"/>
                <w:color w:val="auto"/>
              </w:rPr>
            </w:pPr>
          </w:p>
        </w:tc>
        <w:tc>
          <w:tcPr>
            <w:tcW w:w="1880" w:type="dxa"/>
            <w:vAlign w:val="bottom"/>
            <w:shd w:val="clear" w:color="auto" w:fill="004054"/>
          </w:tcPr>
          <w:p>
            <w:pPr>
              <w:spacing w:after="0"/>
              <w:rPr>
                <w:sz w:val="16"/>
                <w:szCs w:val="16"/>
                <w:color w:val="auto"/>
              </w:rPr>
            </w:pPr>
          </w:p>
        </w:tc>
        <w:tc>
          <w:tcPr>
            <w:tcW w:w="12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r>
      <w:tr>
        <w:trPr>
          <w:trHeight w:val="225"/>
        </w:trPr>
        <w:tc>
          <w:tcPr>
            <w:tcW w:w="472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2025 Three-year PRSUs Performance Metrics</w:t>
            </w:r>
          </w:p>
        </w:tc>
        <w:tc>
          <w:tcPr>
            <w:tcW w:w="1240" w:type="dxa"/>
            <w:vAlign w:val="bottom"/>
            <w:tcBorders>
              <w:right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Period</w:t>
            </w:r>
          </w:p>
        </w:tc>
        <w:tc>
          <w:tcPr>
            <w:tcW w:w="1180" w:type="dxa"/>
            <w:vAlign w:val="bottom"/>
            <w:shd w:val="clear" w:color="auto" w:fill="004054"/>
          </w:tcPr>
          <w:p>
            <w:pPr>
              <w:jc w:val="right"/>
              <w:ind w:right="156"/>
              <w:spacing w:after="0"/>
              <w:rPr>
                <w:sz w:val="20"/>
                <w:szCs w:val="20"/>
                <w:color w:val="auto"/>
              </w:rPr>
            </w:pPr>
            <w:r>
              <w:rPr>
                <w:rFonts w:ascii="Arial" w:cs="Arial" w:eastAsia="Arial" w:hAnsi="Arial"/>
                <w:sz w:val="14"/>
                <w:szCs w:val="14"/>
                <w:b w:val="1"/>
                <w:bCs w:val="1"/>
                <w:color w:val="FFFFFF"/>
              </w:rPr>
              <w:t>Threshold</w:t>
            </w:r>
          </w:p>
        </w:tc>
        <w:tc>
          <w:tcPr>
            <w:tcW w:w="1000" w:type="dxa"/>
            <w:vAlign w:val="bottom"/>
            <w:shd w:val="clear" w:color="auto" w:fill="004054"/>
          </w:tcPr>
          <w:p>
            <w:pPr>
              <w:jc w:val="center"/>
              <w:ind w:left="178"/>
              <w:spacing w:after="0"/>
              <w:rPr>
                <w:sz w:val="20"/>
                <w:szCs w:val="20"/>
                <w:color w:val="auto"/>
              </w:rPr>
            </w:pPr>
            <w:r>
              <w:rPr>
                <w:rFonts w:ascii="Arial" w:cs="Arial" w:eastAsia="Arial" w:hAnsi="Arial"/>
                <w:sz w:val="14"/>
                <w:szCs w:val="14"/>
                <w:b w:val="1"/>
                <w:bCs w:val="1"/>
                <w:color w:val="FFFFFF"/>
              </w:rPr>
              <w:t>Threshold</w:t>
            </w:r>
          </w:p>
        </w:tc>
        <w:tc>
          <w:tcPr>
            <w:tcW w:w="1880" w:type="dxa"/>
            <w:vAlign w:val="bottom"/>
            <w:shd w:val="clear" w:color="auto" w:fill="004054"/>
          </w:tcPr>
          <w:p>
            <w:pPr>
              <w:ind w:left="840"/>
              <w:spacing w:after="0"/>
              <w:rPr>
                <w:sz w:val="20"/>
                <w:szCs w:val="20"/>
                <w:color w:val="auto"/>
              </w:rPr>
            </w:pPr>
            <w:r>
              <w:rPr>
                <w:rFonts w:ascii="Arial" w:cs="Arial" w:eastAsia="Arial" w:hAnsi="Arial"/>
                <w:sz w:val="14"/>
                <w:szCs w:val="14"/>
                <w:b w:val="1"/>
                <w:bCs w:val="1"/>
                <w:color w:val="FFFFFF"/>
              </w:rPr>
              <w:t>Target</w:t>
            </w:r>
          </w:p>
        </w:tc>
        <w:tc>
          <w:tcPr>
            <w:tcW w:w="1220" w:type="dxa"/>
            <w:vAlign w:val="bottom"/>
            <w:shd w:val="clear" w:color="auto" w:fill="004054"/>
          </w:tcPr>
          <w:p>
            <w:pPr>
              <w:jc w:val="right"/>
              <w:ind w:right="176"/>
              <w:spacing w:after="0"/>
              <w:rPr>
                <w:sz w:val="20"/>
                <w:szCs w:val="20"/>
                <w:color w:val="auto"/>
              </w:rPr>
            </w:pPr>
            <w:r>
              <w:rPr>
                <w:rFonts w:ascii="Arial" w:cs="Arial" w:eastAsia="Arial" w:hAnsi="Arial"/>
                <w:sz w:val="14"/>
                <w:szCs w:val="14"/>
                <w:b w:val="1"/>
                <w:bCs w:val="1"/>
                <w:color w:val="FFFFFF"/>
              </w:rPr>
              <w:t>Maximum</w:t>
            </w:r>
          </w:p>
        </w:tc>
        <w:tc>
          <w:tcPr>
            <w:tcW w:w="20" w:type="dxa"/>
            <w:vAlign w:val="bottom"/>
            <w:shd w:val="clear" w:color="auto" w:fill="004054"/>
          </w:tcPr>
          <w:p>
            <w:pPr>
              <w:spacing w:after="0"/>
              <w:rPr>
                <w:sz w:val="19"/>
                <w:szCs w:val="19"/>
                <w:color w:val="auto"/>
              </w:rPr>
            </w:pPr>
          </w:p>
        </w:tc>
      </w:tr>
      <w:tr>
        <w:trPr>
          <w:trHeight w:val="304"/>
        </w:trPr>
        <w:tc>
          <w:tcPr>
            <w:tcW w:w="47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Rule of 40</w:t>
            </w:r>
          </w:p>
        </w:tc>
        <w:tc>
          <w:tcPr>
            <w:tcW w:w="1240" w:type="dxa"/>
            <w:vAlign w:val="bottom"/>
            <w:tcBorders>
              <w:bottom w:val="single" w:sz="8" w:color="EBFBFF"/>
              <w:right w:val="single" w:sz="8" w:color="EBFBFF"/>
            </w:tcBorders>
            <w:shd w:val="clear" w:color="auto" w:fill="EBFBFF"/>
          </w:tcPr>
          <w:p>
            <w:pPr>
              <w:jc w:val="center"/>
              <w:spacing w:after="0"/>
              <w:rPr>
                <w:sz w:val="20"/>
                <w:szCs w:val="20"/>
                <w:color w:val="auto"/>
              </w:rPr>
            </w:pPr>
            <w:r>
              <w:rPr>
                <w:rFonts w:ascii="Arial" w:cs="Arial" w:eastAsia="Arial" w:hAnsi="Arial"/>
                <w:sz w:val="18"/>
                <w:szCs w:val="18"/>
                <w:color w:val="51555C"/>
                <w:w w:val="99"/>
              </w:rPr>
              <w:t>2025</w:t>
            </w:r>
          </w:p>
        </w:tc>
        <w:tc>
          <w:tcPr>
            <w:tcW w:w="1180" w:type="dxa"/>
            <w:vAlign w:val="bottom"/>
            <w:tcBorders>
              <w:bottom w:val="single" w:sz="8" w:color="EBFBFF"/>
            </w:tcBorders>
            <w:shd w:val="clear" w:color="auto" w:fill="EBFBFF"/>
          </w:tcPr>
          <w:p>
            <w:pPr>
              <w:jc w:val="right"/>
              <w:ind w:right="176"/>
              <w:spacing w:after="0"/>
              <w:rPr>
                <w:sz w:val="20"/>
                <w:szCs w:val="20"/>
                <w:color w:val="auto"/>
              </w:rPr>
            </w:pPr>
            <w:r>
              <w:rPr>
                <w:rFonts w:ascii="Arial" w:cs="Arial" w:eastAsia="Arial" w:hAnsi="Arial"/>
                <w:sz w:val="18"/>
                <w:szCs w:val="18"/>
                <w:color w:val="51555C"/>
              </w:rPr>
              <w:t>&lt; 36.9%</w:t>
            </w:r>
          </w:p>
        </w:tc>
        <w:tc>
          <w:tcPr>
            <w:tcW w:w="1000" w:type="dxa"/>
            <w:vAlign w:val="bottom"/>
            <w:tcBorders>
              <w:bottom w:val="single" w:sz="8" w:color="EBFBFF"/>
            </w:tcBorders>
            <w:shd w:val="clear" w:color="auto" w:fill="EBFBFF"/>
          </w:tcPr>
          <w:p>
            <w:pPr>
              <w:jc w:val="center"/>
              <w:ind w:left="158"/>
              <w:spacing w:after="0"/>
              <w:rPr>
                <w:sz w:val="20"/>
                <w:szCs w:val="20"/>
                <w:color w:val="auto"/>
              </w:rPr>
            </w:pPr>
            <w:r>
              <w:rPr>
                <w:rFonts w:ascii="Arial" w:cs="Arial" w:eastAsia="Arial" w:hAnsi="Arial"/>
                <w:sz w:val="18"/>
                <w:szCs w:val="18"/>
                <w:color w:val="51555C"/>
              </w:rPr>
              <w:t>36.9%</w:t>
            </w:r>
          </w:p>
        </w:tc>
        <w:tc>
          <w:tcPr>
            <w:tcW w:w="1880" w:type="dxa"/>
            <w:vAlign w:val="bottom"/>
            <w:tcBorders>
              <w:bottom w:val="single" w:sz="8" w:color="EBFBFF"/>
            </w:tcBorders>
            <w:shd w:val="clear" w:color="auto" w:fill="EBFBFF"/>
          </w:tcPr>
          <w:p>
            <w:pPr>
              <w:jc w:val="center"/>
              <w:ind w:left="156"/>
              <w:spacing w:after="0"/>
              <w:rPr>
                <w:sz w:val="20"/>
                <w:szCs w:val="20"/>
                <w:color w:val="auto"/>
              </w:rPr>
            </w:pPr>
            <w:r>
              <w:rPr>
                <w:rFonts w:ascii="Arial" w:cs="Arial" w:eastAsia="Arial" w:hAnsi="Arial"/>
                <w:sz w:val="18"/>
                <w:szCs w:val="18"/>
                <w:color w:val="51555C"/>
              </w:rPr>
              <w:t>41.0%</w:t>
            </w:r>
          </w:p>
        </w:tc>
        <w:tc>
          <w:tcPr>
            <w:tcW w:w="1220" w:type="dxa"/>
            <w:vAlign w:val="bottom"/>
            <w:tcBorders>
              <w:bottom w:val="single" w:sz="8" w:color="EBFBFF"/>
            </w:tcBorders>
            <w:shd w:val="clear" w:color="auto" w:fill="EBFBFF"/>
          </w:tcPr>
          <w:p>
            <w:pPr>
              <w:jc w:val="center"/>
              <w:spacing w:after="0"/>
              <w:rPr>
                <w:sz w:val="20"/>
                <w:szCs w:val="20"/>
                <w:color w:val="auto"/>
              </w:rPr>
            </w:pPr>
            <w:r>
              <w:rPr>
                <w:rFonts w:ascii="Arial" w:cs="Arial" w:eastAsia="Arial" w:hAnsi="Arial"/>
                <w:sz w:val="18"/>
                <w:szCs w:val="18"/>
                <w:color w:val="51555C"/>
                <w:w w:val="97"/>
              </w:rPr>
              <w:t>45.1%</w:t>
            </w:r>
          </w:p>
        </w:tc>
        <w:tc>
          <w:tcPr>
            <w:tcW w:w="20" w:type="dxa"/>
            <w:vAlign w:val="bottom"/>
          </w:tcPr>
          <w:p>
            <w:pPr>
              <w:spacing w:after="0"/>
              <w:rPr>
                <w:sz w:val="24"/>
                <w:szCs w:val="24"/>
                <w:color w:val="auto"/>
              </w:rPr>
            </w:pPr>
          </w:p>
        </w:tc>
      </w:tr>
      <w:tr>
        <w:trPr>
          <w:trHeight w:val="301"/>
        </w:trPr>
        <w:tc>
          <w:tcPr>
            <w:tcW w:w="4720" w:type="dxa"/>
            <w:vAlign w:val="bottom"/>
          </w:tcPr>
          <w:p>
            <w:pPr>
              <w:ind w:left="20"/>
              <w:spacing w:after="0"/>
              <w:rPr>
                <w:sz w:val="20"/>
                <w:szCs w:val="20"/>
                <w:color w:val="auto"/>
              </w:rPr>
            </w:pPr>
            <w:r>
              <w:rPr>
                <w:rFonts w:ascii="Arial" w:cs="Arial" w:eastAsia="Arial" w:hAnsi="Arial"/>
                <w:sz w:val="18"/>
                <w:szCs w:val="18"/>
                <w:color w:val="51555C"/>
              </w:rPr>
              <w:t>Rule of 40</w:t>
            </w:r>
          </w:p>
        </w:tc>
        <w:tc>
          <w:tcPr>
            <w:tcW w:w="1240" w:type="dxa"/>
            <w:vAlign w:val="bottom"/>
          </w:tcPr>
          <w:p>
            <w:pPr>
              <w:jc w:val="center"/>
              <w:spacing w:after="0"/>
              <w:rPr>
                <w:sz w:val="20"/>
                <w:szCs w:val="20"/>
                <w:color w:val="auto"/>
              </w:rPr>
            </w:pPr>
            <w:r>
              <w:rPr>
                <w:rFonts w:ascii="Arial" w:cs="Arial" w:eastAsia="Arial" w:hAnsi="Arial"/>
                <w:sz w:val="18"/>
                <w:szCs w:val="18"/>
                <w:color w:val="51555C"/>
                <w:w w:val="99"/>
              </w:rPr>
              <w:t>2026</w:t>
            </w:r>
          </w:p>
        </w:tc>
        <w:tc>
          <w:tcPr>
            <w:tcW w:w="1180" w:type="dxa"/>
            <w:vAlign w:val="bottom"/>
          </w:tcPr>
          <w:p>
            <w:pPr>
              <w:jc w:val="right"/>
              <w:ind w:right="176"/>
              <w:spacing w:after="0"/>
              <w:rPr>
                <w:sz w:val="20"/>
                <w:szCs w:val="20"/>
                <w:color w:val="auto"/>
              </w:rPr>
            </w:pPr>
            <w:r>
              <w:rPr>
                <w:rFonts w:ascii="Arial" w:cs="Arial" w:eastAsia="Arial" w:hAnsi="Arial"/>
                <w:sz w:val="18"/>
                <w:szCs w:val="18"/>
                <w:color w:val="51555C"/>
              </w:rPr>
              <w:t>&lt; 37.4%</w:t>
            </w:r>
          </w:p>
        </w:tc>
        <w:tc>
          <w:tcPr>
            <w:tcW w:w="1000" w:type="dxa"/>
            <w:vAlign w:val="bottom"/>
          </w:tcPr>
          <w:p>
            <w:pPr>
              <w:jc w:val="center"/>
              <w:ind w:left="158"/>
              <w:spacing w:after="0"/>
              <w:rPr>
                <w:sz w:val="20"/>
                <w:szCs w:val="20"/>
                <w:color w:val="auto"/>
              </w:rPr>
            </w:pPr>
            <w:r>
              <w:rPr>
                <w:rFonts w:ascii="Arial" w:cs="Arial" w:eastAsia="Arial" w:hAnsi="Arial"/>
                <w:sz w:val="18"/>
                <w:szCs w:val="18"/>
                <w:color w:val="51555C"/>
              </w:rPr>
              <w:t>37.4%</w:t>
            </w:r>
          </w:p>
        </w:tc>
        <w:tc>
          <w:tcPr>
            <w:tcW w:w="1880" w:type="dxa"/>
            <w:vAlign w:val="bottom"/>
          </w:tcPr>
          <w:p>
            <w:pPr>
              <w:jc w:val="center"/>
              <w:ind w:left="156"/>
              <w:spacing w:after="0"/>
              <w:rPr>
                <w:sz w:val="20"/>
                <w:szCs w:val="20"/>
                <w:color w:val="auto"/>
              </w:rPr>
            </w:pPr>
            <w:r>
              <w:rPr>
                <w:rFonts w:ascii="Arial" w:cs="Arial" w:eastAsia="Arial" w:hAnsi="Arial"/>
                <w:sz w:val="18"/>
                <w:szCs w:val="18"/>
                <w:color w:val="51555C"/>
              </w:rPr>
              <w:t>41.5%</w:t>
            </w:r>
          </w:p>
        </w:tc>
        <w:tc>
          <w:tcPr>
            <w:tcW w:w="1220" w:type="dxa"/>
            <w:vAlign w:val="bottom"/>
          </w:tcPr>
          <w:p>
            <w:pPr>
              <w:jc w:val="center"/>
              <w:spacing w:after="0"/>
              <w:rPr>
                <w:sz w:val="20"/>
                <w:szCs w:val="20"/>
                <w:color w:val="auto"/>
              </w:rPr>
            </w:pPr>
            <w:r>
              <w:rPr>
                <w:rFonts w:ascii="Arial" w:cs="Arial" w:eastAsia="Arial" w:hAnsi="Arial"/>
                <w:sz w:val="18"/>
                <w:szCs w:val="18"/>
                <w:color w:val="51555C"/>
                <w:w w:val="97"/>
              </w:rPr>
              <w:t>45.7%</w:t>
            </w:r>
          </w:p>
        </w:tc>
        <w:tc>
          <w:tcPr>
            <w:tcW w:w="20" w:type="dxa"/>
            <w:vAlign w:val="bottom"/>
          </w:tcPr>
          <w:p>
            <w:pPr>
              <w:spacing w:after="0"/>
              <w:rPr>
                <w:sz w:val="24"/>
                <w:szCs w:val="24"/>
                <w:color w:val="auto"/>
              </w:rPr>
            </w:pPr>
          </w:p>
        </w:tc>
      </w:tr>
      <w:tr>
        <w:trPr>
          <w:trHeight w:val="23"/>
        </w:trPr>
        <w:tc>
          <w:tcPr>
            <w:tcW w:w="4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47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Rule of 40</w:t>
            </w:r>
          </w:p>
        </w:tc>
        <w:tc>
          <w:tcPr>
            <w:tcW w:w="1240" w:type="dxa"/>
            <w:vAlign w:val="bottom"/>
            <w:tcBorders>
              <w:bottom w:val="single" w:sz="8" w:color="EBFBFF"/>
              <w:right w:val="single" w:sz="8" w:color="EBFBFF"/>
            </w:tcBorders>
            <w:shd w:val="clear" w:color="auto" w:fill="EBFBFF"/>
          </w:tcPr>
          <w:p>
            <w:pPr>
              <w:jc w:val="center"/>
              <w:spacing w:after="0"/>
              <w:rPr>
                <w:sz w:val="20"/>
                <w:szCs w:val="20"/>
                <w:color w:val="auto"/>
              </w:rPr>
            </w:pPr>
            <w:r>
              <w:rPr>
                <w:rFonts w:ascii="Arial" w:cs="Arial" w:eastAsia="Arial" w:hAnsi="Arial"/>
                <w:sz w:val="18"/>
                <w:szCs w:val="18"/>
                <w:color w:val="51555C"/>
                <w:w w:val="99"/>
              </w:rPr>
              <w:t>2027</w:t>
            </w:r>
          </w:p>
        </w:tc>
        <w:tc>
          <w:tcPr>
            <w:tcW w:w="1180" w:type="dxa"/>
            <w:vAlign w:val="bottom"/>
            <w:tcBorders>
              <w:bottom w:val="single" w:sz="8" w:color="EBFBFF"/>
            </w:tcBorders>
            <w:shd w:val="clear" w:color="auto" w:fill="EBFBFF"/>
          </w:tcPr>
          <w:p>
            <w:pPr>
              <w:jc w:val="right"/>
              <w:ind w:right="176"/>
              <w:spacing w:after="0"/>
              <w:rPr>
                <w:sz w:val="20"/>
                <w:szCs w:val="20"/>
                <w:color w:val="auto"/>
              </w:rPr>
            </w:pPr>
            <w:r>
              <w:rPr>
                <w:rFonts w:ascii="Arial" w:cs="Arial" w:eastAsia="Arial" w:hAnsi="Arial"/>
                <w:sz w:val="18"/>
                <w:szCs w:val="18"/>
                <w:color w:val="51555C"/>
              </w:rPr>
              <w:t>&lt; 37.8%</w:t>
            </w:r>
          </w:p>
        </w:tc>
        <w:tc>
          <w:tcPr>
            <w:tcW w:w="1000" w:type="dxa"/>
            <w:vAlign w:val="bottom"/>
            <w:tcBorders>
              <w:bottom w:val="single" w:sz="8" w:color="EBFBFF"/>
            </w:tcBorders>
            <w:shd w:val="clear" w:color="auto" w:fill="EBFBFF"/>
          </w:tcPr>
          <w:p>
            <w:pPr>
              <w:jc w:val="center"/>
              <w:ind w:left="158"/>
              <w:spacing w:after="0"/>
              <w:rPr>
                <w:sz w:val="20"/>
                <w:szCs w:val="20"/>
                <w:color w:val="auto"/>
              </w:rPr>
            </w:pPr>
            <w:r>
              <w:rPr>
                <w:rFonts w:ascii="Arial" w:cs="Arial" w:eastAsia="Arial" w:hAnsi="Arial"/>
                <w:sz w:val="18"/>
                <w:szCs w:val="18"/>
                <w:color w:val="51555C"/>
              </w:rPr>
              <w:t>37.8%</w:t>
            </w:r>
          </w:p>
        </w:tc>
        <w:tc>
          <w:tcPr>
            <w:tcW w:w="1880" w:type="dxa"/>
            <w:vAlign w:val="bottom"/>
            <w:tcBorders>
              <w:bottom w:val="single" w:sz="8" w:color="EBFBFF"/>
            </w:tcBorders>
            <w:shd w:val="clear" w:color="auto" w:fill="EBFBFF"/>
          </w:tcPr>
          <w:p>
            <w:pPr>
              <w:jc w:val="center"/>
              <w:ind w:left="156"/>
              <w:spacing w:after="0"/>
              <w:rPr>
                <w:sz w:val="20"/>
                <w:szCs w:val="20"/>
                <w:color w:val="auto"/>
              </w:rPr>
            </w:pPr>
            <w:r>
              <w:rPr>
                <w:rFonts w:ascii="Arial" w:cs="Arial" w:eastAsia="Arial" w:hAnsi="Arial"/>
                <w:sz w:val="18"/>
                <w:szCs w:val="18"/>
                <w:color w:val="51555C"/>
              </w:rPr>
              <w:t>42.0%</w:t>
            </w:r>
          </w:p>
        </w:tc>
        <w:tc>
          <w:tcPr>
            <w:tcW w:w="1220" w:type="dxa"/>
            <w:vAlign w:val="bottom"/>
            <w:tcBorders>
              <w:bottom w:val="single" w:sz="8" w:color="EBFBFF"/>
            </w:tcBorders>
            <w:shd w:val="clear" w:color="auto" w:fill="EBFBFF"/>
          </w:tcPr>
          <w:p>
            <w:pPr>
              <w:jc w:val="center"/>
              <w:spacing w:after="0"/>
              <w:rPr>
                <w:sz w:val="20"/>
                <w:szCs w:val="20"/>
                <w:color w:val="auto"/>
              </w:rPr>
            </w:pPr>
            <w:r>
              <w:rPr>
                <w:rFonts w:ascii="Arial" w:cs="Arial" w:eastAsia="Arial" w:hAnsi="Arial"/>
                <w:sz w:val="18"/>
                <w:szCs w:val="18"/>
                <w:color w:val="51555C"/>
                <w:w w:val="97"/>
              </w:rPr>
              <w:t>46.2%</w:t>
            </w:r>
          </w:p>
        </w:tc>
        <w:tc>
          <w:tcPr>
            <w:tcW w:w="20" w:type="dxa"/>
            <w:vAlign w:val="bottom"/>
          </w:tcPr>
          <w:p>
            <w:pPr>
              <w:spacing w:after="0"/>
              <w:rPr>
                <w:sz w:val="24"/>
                <w:szCs w:val="24"/>
                <w:color w:val="auto"/>
              </w:rPr>
            </w:pPr>
          </w:p>
        </w:tc>
      </w:tr>
      <w:tr>
        <w:trPr>
          <w:trHeight w:val="236"/>
        </w:trPr>
        <w:tc>
          <w:tcPr>
            <w:tcW w:w="4720" w:type="dxa"/>
            <w:vAlign w:val="bottom"/>
            <w:tcBorders>
              <w:bottom w:val="single" w:sz="8" w:color="EBFBFF"/>
            </w:tcBorders>
          </w:tcPr>
          <w:p>
            <w:pPr>
              <w:spacing w:after="0"/>
              <w:rPr>
                <w:sz w:val="20"/>
                <w:szCs w:val="20"/>
                <w:color w:val="auto"/>
              </w:rPr>
            </w:pPr>
          </w:p>
        </w:tc>
        <w:tc>
          <w:tcPr>
            <w:tcW w:w="1240" w:type="dxa"/>
            <w:vAlign w:val="bottom"/>
            <w:tcBorders>
              <w:bottom w:val="single" w:sz="8" w:color="EBFBFF"/>
              <w:right w:val="single" w:sz="8" w:color="006880"/>
            </w:tcBorders>
          </w:tcPr>
          <w:p>
            <w:pPr>
              <w:spacing w:after="0"/>
              <w:rPr>
                <w:sz w:val="20"/>
                <w:szCs w:val="20"/>
                <w:color w:val="auto"/>
              </w:rPr>
            </w:pPr>
          </w:p>
        </w:tc>
        <w:tc>
          <w:tcPr>
            <w:tcW w:w="1180" w:type="dxa"/>
            <w:vAlign w:val="bottom"/>
            <w:tcBorders>
              <w:bottom w:val="single" w:sz="8" w:color="006880"/>
            </w:tcBorders>
            <w:shd w:val="clear" w:color="auto" w:fill="006880"/>
          </w:tcPr>
          <w:p>
            <w:pPr>
              <w:spacing w:after="0"/>
              <w:rPr>
                <w:sz w:val="20"/>
                <w:szCs w:val="20"/>
                <w:color w:val="auto"/>
              </w:rPr>
            </w:pPr>
          </w:p>
        </w:tc>
        <w:tc>
          <w:tcPr>
            <w:tcW w:w="2880" w:type="dxa"/>
            <w:vAlign w:val="bottom"/>
            <w:tcBorders>
              <w:bottom w:val="single" w:sz="8" w:color="006880"/>
            </w:tcBorders>
            <w:gridSpan w:val="2"/>
            <w:shd w:val="clear" w:color="auto" w:fill="006880"/>
          </w:tcPr>
          <w:p>
            <w:pPr>
              <w:jc w:val="center"/>
              <w:spacing w:after="0"/>
              <w:rPr>
                <w:sz w:val="20"/>
                <w:szCs w:val="20"/>
                <w:color w:val="auto"/>
              </w:rPr>
            </w:pPr>
            <w:r>
              <w:rPr>
                <w:rFonts w:ascii="Arial" w:cs="Arial" w:eastAsia="Arial" w:hAnsi="Arial"/>
                <w:sz w:val="14"/>
                <w:szCs w:val="14"/>
                <w:b w:val="1"/>
                <w:bCs w:val="1"/>
                <w:color w:val="FFFFFF"/>
              </w:rPr>
              <w:t>Payout (% of Target)</w:t>
            </w:r>
          </w:p>
        </w:tc>
        <w:tc>
          <w:tcPr>
            <w:tcW w:w="1220" w:type="dxa"/>
            <w:vAlign w:val="bottom"/>
            <w:tcBorders>
              <w:bottom w:val="single" w:sz="8" w:color="006880"/>
            </w:tcBorders>
            <w:shd w:val="clear" w:color="auto" w:fill="006880"/>
          </w:tcPr>
          <w:p>
            <w:pPr>
              <w:spacing w:after="0"/>
              <w:rPr>
                <w:sz w:val="20"/>
                <w:szCs w:val="20"/>
                <w:color w:val="auto"/>
              </w:rPr>
            </w:pPr>
          </w:p>
        </w:tc>
        <w:tc>
          <w:tcPr>
            <w:tcW w:w="20" w:type="dxa"/>
            <w:vAlign w:val="bottom"/>
            <w:tcBorders>
              <w:bottom w:val="single" w:sz="8" w:color="006880"/>
            </w:tcBorders>
            <w:shd w:val="clear" w:color="auto" w:fill="006880"/>
          </w:tcPr>
          <w:p>
            <w:pPr>
              <w:spacing w:after="0"/>
              <w:rPr>
                <w:sz w:val="20"/>
                <w:szCs w:val="20"/>
                <w:color w:val="auto"/>
              </w:rPr>
            </w:pPr>
          </w:p>
        </w:tc>
      </w:tr>
      <w:tr>
        <w:trPr>
          <w:trHeight w:val="329"/>
        </w:trPr>
        <w:tc>
          <w:tcPr>
            <w:tcW w:w="47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Number of shares as percentage of target</w:t>
            </w:r>
          </w:p>
        </w:tc>
        <w:tc>
          <w:tcPr>
            <w:tcW w:w="1240" w:type="dxa"/>
            <w:vAlign w:val="bottom"/>
            <w:tcBorders>
              <w:bottom w:val="single" w:sz="8" w:color="EBFBFF"/>
              <w:right w:val="single" w:sz="8" w:color="EBFBFF"/>
            </w:tcBorders>
            <w:shd w:val="clear" w:color="auto" w:fill="EBFBFF"/>
          </w:tcPr>
          <w:p>
            <w:pPr>
              <w:spacing w:after="0"/>
              <w:rPr>
                <w:sz w:val="24"/>
                <w:szCs w:val="24"/>
                <w:color w:val="auto"/>
              </w:rPr>
            </w:pPr>
          </w:p>
        </w:tc>
        <w:tc>
          <w:tcPr>
            <w:tcW w:w="1180" w:type="dxa"/>
            <w:vAlign w:val="bottom"/>
            <w:tcBorders>
              <w:bottom w:val="single" w:sz="8" w:color="EBFBFF"/>
            </w:tcBorders>
            <w:shd w:val="clear" w:color="auto" w:fill="EBFBFF"/>
          </w:tcPr>
          <w:p>
            <w:pPr>
              <w:jc w:val="right"/>
              <w:ind w:right="336"/>
              <w:spacing w:after="0"/>
              <w:rPr>
                <w:sz w:val="20"/>
                <w:szCs w:val="20"/>
                <w:color w:val="auto"/>
              </w:rPr>
            </w:pPr>
            <w:r>
              <w:rPr>
                <w:rFonts w:ascii="Arial" w:cs="Arial" w:eastAsia="Arial" w:hAnsi="Arial"/>
                <w:sz w:val="18"/>
                <w:szCs w:val="18"/>
                <w:color w:val="51555C"/>
              </w:rPr>
              <w:t>—%</w:t>
            </w:r>
          </w:p>
        </w:tc>
        <w:tc>
          <w:tcPr>
            <w:tcW w:w="1000" w:type="dxa"/>
            <w:vAlign w:val="bottom"/>
            <w:tcBorders>
              <w:bottom w:val="single" w:sz="8" w:color="EBFBFF"/>
            </w:tcBorders>
            <w:shd w:val="clear" w:color="auto" w:fill="EBFBFF"/>
          </w:tcPr>
          <w:p>
            <w:pPr>
              <w:jc w:val="center"/>
              <w:ind w:left="158"/>
              <w:spacing w:after="0"/>
              <w:rPr>
                <w:sz w:val="20"/>
                <w:szCs w:val="20"/>
                <w:color w:val="auto"/>
              </w:rPr>
            </w:pPr>
            <w:r>
              <w:rPr>
                <w:rFonts w:ascii="Arial" w:cs="Arial" w:eastAsia="Arial" w:hAnsi="Arial"/>
                <w:sz w:val="18"/>
                <w:szCs w:val="18"/>
                <w:color w:val="51555C"/>
              </w:rPr>
              <w:t>50.0%</w:t>
            </w:r>
          </w:p>
        </w:tc>
        <w:tc>
          <w:tcPr>
            <w:tcW w:w="1880" w:type="dxa"/>
            <w:vAlign w:val="bottom"/>
            <w:tcBorders>
              <w:bottom w:val="single" w:sz="8" w:color="EBFBFF"/>
            </w:tcBorders>
            <w:shd w:val="clear" w:color="auto" w:fill="EBFBFF"/>
          </w:tcPr>
          <w:p>
            <w:pPr>
              <w:jc w:val="center"/>
              <w:ind w:left="136"/>
              <w:spacing w:after="0"/>
              <w:rPr>
                <w:sz w:val="20"/>
                <w:szCs w:val="20"/>
                <w:color w:val="auto"/>
              </w:rPr>
            </w:pPr>
            <w:r>
              <w:rPr>
                <w:rFonts w:ascii="Arial" w:cs="Arial" w:eastAsia="Arial" w:hAnsi="Arial"/>
                <w:sz w:val="18"/>
                <w:szCs w:val="18"/>
                <w:color w:val="51555C"/>
              </w:rPr>
              <w:t>100.0%</w:t>
            </w:r>
          </w:p>
        </w:tc>
        <w:tc>
          <w:tcPr>
            <w:tcW w:w="1220" w:type="dxa"/>
            <w:vAlign w:val="bottom"/>
            <w:tcBorders>
              <w:bottom w:val="single" w:sz="8" w:color="EBFBFF"/>
            </w:tcBorders>
            <w:shd w:val="clear" w:color="auto" w:fill="EBFBFF"/>
          </w:tcPr>
          <w:p>
            <w:pPr>
              <w:jc w:val="center"/>
              <w:spacing w:after="0"/>
              <w:rPr>
                <w:sz w:val="20"/>
                <w:szCs w:val="20"/>
                <w:color w:val="auto"/>
              </w:rPr>
            </w:pPr>
            <w:r>
              <w:rPr>
                <w:rFonts w:ascii="Arial" w:cs="Arial" w:eastAsia="Arial" w:hAnsi="Arial"/>
                <w:sz w:val="18"/>
                <w:szCs w:val="18"/>
                <w:color w:val="51555C"/>
              </w:rPr>
              <w:t>200.0%</w:t>
            </w:r>
          </w:p>
        </w:tc>
        <w:tc>
          <w:tcPr>
            <w:tcW w:w="20" w:type="dxa"/>
            <w:vAlign w:val="bottom"/>
          </w:tcPr>
          <w:p>
            <w:pPr>
              <w:spacing w:after="0"/>
              <w:rPr>
                <w:sz w:val="24"/>
                <w:szCs w:val="24"/>
                <w:color w:val="auto"/>
              </w:rPr>
            </w:pPr>
          </w:p>
        </w:tc>
      </w:tr>
      <w:tr>
        <w:trPr>
          <w:trHeight w:val="647"/>
        </w:trPr>
        <w:tc>
          <w:tcPr>
            <w:tcW w:w="4720" w:type="dxa"/>
            <w:vAlign w:val="bottom"/>
            <w:tcBorders>
              <w:top w:val="single" w:sz="8" w:color="0CD973"/>
            </w:tcBorders>
          </w:tcPr>
          <w:p>
            <w:pPr>
              <w:spacing w:after="0"/>
              <w:rPr>
                <w:sz w:val="24"/>
                <w:szCs w:val="24"/>
                <w:color w:val="auto"/>
              </w:rPr>
            </w:pPr>
          </w:p>
        </w:tc>
        <w:tc>
          <w:tcPr>
            <w:tcW w:w="1240" w:type="dxa"/>
            <w:vAlign w:val="bottom"/>
            <w:tcBorders>
              <w:top w:val="single" w:sz="8" w:color="0CD973"/>
            </w:tcBorders>
          </w:tcPr>
          <w:p>
            <w:pPr>
              <w:spacing w:after="0"/>
              <w:rPr>
                <w:sz w:val="24"/>
                <w:szCs w:val="24"/>
                <w:color w:val="auto"/>
              </w:rPr>
            </w:pPr>
          </w:p>
        </w:tc>
        <w:tc>
          <w:tcPr>
            <w:tcW w:w="1180" w:type="dxa"/>
            <w:vAlign w:val="bottom"/>
            <w:tcBorders>
              <w:top w:val="single" w:sz="8" w:color="0CD973"/>
            </w:tcBorders>
          </w:tcPr>
          <w:p>
            <w:pPr>
              <w:spacing w:after="0"/>
              <w:rPr>
                <w:sz w:val="24"/>
                <w:szCs w:val="24"/>
                <w:color w:val="auto"/>
              </w:rPr>
            </w:pPr>
          </w:p>
        </w:tc>
        <w:tc>
          <w:tcPr>
            <w:tcW w:w="2880" w:type="dxa"/>
            <w:vAlign w:val="bottom"/>
            <w:tcBorders>
              <w:top w:val="single" w:sz="8" w:color="0CD973"/>
            </w:tcBorders>
            <w:gridSpan w:val="2"/>
          </w:tcPr>
          <w:p>
            <w:pPr>
              <w:ind w:left="880"/>
              <w:spacing w:after="0"/>
              <w:rPr>
                <w:sz w:val="20"/>
                <w:szCs w:val="20"/>
                <w:color w:val="auto"/>
              </w:rPr>
            </w:pPr>
            <w:r>
              <w:rPr>
                <w:rFonts w:ascii="Arial" w:cs="Arial" w:eastAsia="Arial" w:hAnsi="Arial"/>
                <w:sz w:val="14"/>
                <w:szCs w:val="14"/>
                <w:color w:val="51555C"/>
              </w:rPr>
              <w:t>2026 Proxy Statement</w:t>
            </w:r>
          </w:p>
        </w:tc>
        <w:tc>
          <w:tcPr>
            <w:tcW w:w="1220" w:type="dxa"/>
            <w:vAlign w:val="bottom"/>
            <w:tcBorders>
              <w:top w:val="single" w:sz="8" w:color="0CD973"/>
            </w:tcBorders>
          </w:tcPr>
          <w:p>
            <w:pPr>
              <w:jc w:val="right"/>
              <w:ind w:right="36"/>
              <w:spacing w:after="0"/>
              <w:rPr>
                <w:sz w:val="20"/>
                <w:szCs w:val="20"/>
                <w:color w:val="auto"/>
              </w:rPr>
            </w:pPr>
            <w:r>
              <w:rPr>
                <w:rFonts w:ascii="Arial" w:cs="Arial" w:eastAsia="Arial" w:hAnsi="Arial"/>
                <w:sz w:val="14"/>
                <w:szCs w:val="14"/>
                <w:color w:val="51555C"/>
              </w:rPr>
              <w:t>47</w:t>
            </w:r>
          </w:p>
        </w:tc>
        <w:tc>
          <w:tcPr>
            <w:tcW w:w="20" w:type="dxa"/>
            <w:vAlign w:val="bottom"/>
          </w:tcPr>
          <w:p>
            <w:pPr>
              <w:spacing w:after="0"/>
              <w:rPr>
                <w:sz w:val="24"/>
                <w:szCs w:val="24"/>
                <w:color w:val="auto"/>
              </w:rPr>
            </w:pPr>
          </w:p>
        </w:tc>
      </w:tr>
      <w:tr>
        <w:trPr>
          <w:trHeight w:val="271"/>
        </w:trPr>
        <w:tc>
          <w:tcPr>
            <w:tcW w:w="4720" w:type="dxa"/>
            <w:vAlign w:val="bottom"/>
            <w:tcBorders>
              <w:bottom w:val="single" w:sz="8" w:color="9A9A9A"/>
            </w:tcBorders>
          </w:tcPr>
          <w:p>
            <w:pPr>
              <w:spacing w:after="0"/>
              <w:rPr>
                <w:sz w:val="23"/>
                <w:szCs w:val="23"/>
                <w:color w:val="auto"/>
              </w:rPr>
            </w:pPr>
          </w:p>
        </w:tc>
        <w:tc>
          <w:tcPr>
            <w:tcW w:w="1240" w:type="dxa"/>
            <w:vAlign w:val="bottom"/>
            <w:tcBorders>
              <w:bottom w:val="single" w:sz="8" w:color="9A9A9A"/>
            </w:tcBorders>
          </w:tcPr>
          <w:p>
            <w:pPr>
              <w:spacing w:after="0"/>
              <w:rPr>
                <w:sz w:val="23"/>
                <w:szCs w:val="23"/>
                <w:color w:val="auto"/>
              </w:rPr>
            </w:pPr>
          </w:p>
        </w:tc>
        <w:tc>
          <w:tcPr>
            <w:tcW w:w="1180" w:type="dxa"/>
            <w:vAlign w:val="bottom"/>
            <w:tcBorders>
              <w:bottom w:val="single" w:sz="8" w:color="9A9A9A"/>
            </w:tcBorders>
          </w:tcPr>
          <w:p>
            <w:pPr>
              <w:spacing w:after="0"/>
              <w:rPr>
                <w:sz w:val="23"/>
                <w:szCs w:val="23"/>
                <w:color w:val="auto"/>
              </w:rPr>
            </w:pPr>
          </w:p>
        </w:tc>
        <w:tc>
          <w:tcPr>
            <w:tcW w:w="1000" w:type="dxa"/>
            <w:vAlign w:val="bottom"/>
            <w:tcBorders>
              <w:bottom w:val="single" w:sz="8" w:color="9A9A9A"/>
            </w:tcBorders>
          </w:tcPr>
          <w:p>
            <w:pPr>
              <w:spacing w:after="0"/>
              <w:rPr>
                <w:sz w:val="23"/>
                <w:szCs w:val="23"/>
                <w:color w:val="auto"/>
              </w:rPr>
            </w:pPr>
          </w:p>
        </w:tc>
        <w:tc>
          <w:tcPr>
            <w:tcW w:w="1880" w:type="dxa"/>
            <w:vAlign w:val="bottom"/>
            <w:tcBorders>
              <w:bottom w:val="single" w:sz="8" w:color="9A9A9A"/>
            </w:tcBorders>
          </w:tcPr>
          <w:p>
            <w:pPr>
              <w:spacing w:after="0"/>
              <w:rPr>
                <w:sz w:val="23"/>
                <w:szCs w:val="23"/>
                <w:color w:val="auto"/>
              </w:rPr>
            </w:pPr>
          </w:p>
        </w:tc>
        <w:tc>
          <w:tcPr>
            <w:tcW w:w="1220" w:type="dxa"/>
            <w:vAlign w:val="bottom"/>
            <w:tcBorders>
              <w:bottom w:val="single" w:sz="8" w:color="9A9A9A"/>
            </w:tcBorders>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-1868170</wp:posOffset>
            </wp:positionV>
            <wp:extent cx="337756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7756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-307975</wp:posOffset>
            </wp:positionV>
            <wp:extent cx="702945" cy="1117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02945" cy="111760"/>
                    </a:xfrm>
                    <a:prstGeom prst="rect">
                      <a:avLst/>
                    </a:prstGeom>
                    <a:noFill/>
                  </pic:spPr>
                </pic:pic>
              </a:graphicData>
            </a:graphic>
          </wp:anchor>
        </w:drawing>
      </w:r>
    </w:p>
    <w:p>
      <w:pPr>
        <w:sectPr>
          <w:pgSz w:w="11900" w:h="16838" w:orient="portrait"/>
          <w:cols w:equalWidth="0" w:num="1">
            <w:col w:w="11260"/>
          </w:cols>
          <w:pgMar w:left="320" w:top="300" w:right="319" w:bottom="1440" w:gutter="0" w:footer="0" w:header="0"/>
        </w:sectPr>
      </w:pPr>
    </w:p>
    <w:bookmarkStart w:id="49" w:name="page50"/>
    <w:bookmarkEnd w:id="49"/>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EXECUTIVE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100"/>
          </w:cols>
          <w:pgMar w:left="320" w:top="338" w:right="319" w:bottom="900" w:gutter="0" w:footer="0" w:header="0"/>
        </w:sect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51555C"/>
        </w:rPr>
        <w:t>During fiscal 2025, we achieved a Rule of 40 of 41.6%, or 101.5% of target, resulting in a payout equal to 104.76% of target.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780" w:type="dxa"/>
            <w:vAlign w:val="bottom"/>
            <w:shd w:val="clear" w:color="auto" w:fill="004054"/>
          </w:tcPr>
          <w:p>
            <w:pPr>
              <w:spacing w:after="0" w:line="20" w:lineRule="exact"/>
              <w:rPr>
                <w:sz w:val="1"/>
                <w:szCs w:val="1"/>
                <w:color w:val="auto"/>
              </w:rPr>
            </w:pPr>
          </w:p>
        </w:tc>
        <w:tc>
          <w:tcPr>
            <w:tcW w:w="1480" w:type="dxa"/>
            <w:vAlign w:val="bottom"/>
            <w:shd w:val="clear" w:color="auto" w:fill="006880"/>
          </w:tcPr>
          <w:p>
            <w:pPr>
              <w:spacing w:after="0" w:line="20" w:lineRule="exact"/>
              <w:rPr>
                <w:sz w:val="1"/>
                <w:szCs w:val="1"/>
                <w:color w:val="auto"/>
              </w:rPr>
            </w:pPr>
          </w:p>
        </w:tc>
        <w:tc>
          <w:tcPr>
            <w:tcW w:w="3330" w:type="dxa"/>
            <w:vAlign w:val="bottom"/>
            <w:gridSpan w:val="2"/>
            <w:vMerge w:val="restart"/>
            <w:shd w:val="clear" w:color="auto" w:fill="006880"/>
          </w:tcPr>
          <w:p>
            <w:pPr>
              <w:jc w:val="right"/>
              <w:ind w:right="686"/>
              <w:spacing w:after="0"/>
              <w:rPr>
                <w:sz w:val="20"/>
                <w:szCs w:val="20"/>
                <w:color w:val="auto"/>
              </w:rPr>
            </w:pPr>
            <w:r>
              <w:rPr>
                <w:rFonts w:ascii="Arial" w:cs="Arial" w:eastAsia="Arial" w:hAnsi="Arial"/>
                <w:sz w:val="14"/>
                <w:szCs w:val="14"/>
                <w:b w:val="1"/>
                <w:bCs w:val="1"/>
                <w:color w:val="FFFFFF"/>
              </w:rPr>
              <w:t>2025 Three-year PRSUs</w:t>
            </w:r>
          </w:p>
        </w:tc>
        <w:tc>
          <w:tcPr>
            <w:tcW w:w="1650" w:type="dxa"/>
            <w:vAlign w:val="bottom"/>
            <w:shd w:val="clear" w:color="auto" w:fill="00688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tcBorders>
              <w:bottom w:val="single" w:sz="8" w:color="004054"/>
            </w:tcBorders>
            <w:shd w:val="clear" w:color="auto" w:fill="004054"/>
          </w:tcPr>
          <w:p>
            <w:pPr>
              <w:spacing w:after="0"/>
              <w:rPr>
                <w:sz w:val="18"/>
                <w:szCs w:val="18"/>
                <w:color w:val="auto"/>
              </w:rPr>
            </w:pPr>
          </w:p>
        </w:tc>
        <w:tc>
          <w:tcPr>
            <w:tcW w:w="1480" w:type="dxa"/>
            <w:vAlign w:val="bottom"/>
            <w:tcBorders>
              <w:bottom w:val="single" w:sz="8" w:color="004054"/>
            </w:tcBorders>
            <w:shd w:val="clear" w:color="auto" w:fill="006880"/>
          </w:tcPr>
          <w:p>
            <w:pPr>
              <w:spacing w:after="0"/>
              <w:rPr>
                <w:sz w:val="18"/>
                <w:szCs w:val="18"/>
                <w:color w:val="auto"/>
              </w:rPr>
            </w:pPr>
          </w:p>
        </w:tc>
        <w:tc>
          <w:tcPr>
            <w:tcW w:w="3330" w:type="dxa"/>
            <w:vAlign w:val="bottom"/>
            <w:tcBorders>
              <w:bottom w:val="single" w:sz="8" w:color="004054"/>
            </w:tcBorders>
            <w:gridSpan w:val="2"/>
            <w:vMerge w:val="continue"/>
            <w:shd w:val="clear" w:color="auto" w:fill="006880"/>
          </w:tcPr>
          <w:p>
            <w:pPr>
              <w:spacing w:after="0"/>
              <w:rPr>
                <w:sz w:val="18"/>
                <w:szCs w:val="18"/>
                <w:color w:val="auto"/>
              </w:rPr>
            </w:pPr>
          </w:p>
        </w:tc>
        <w:tc>
          <w:tcPr>
            <w:tcW w:w="1650" w:type="dxa"/>
            <w:vAlign w:val="bottom"/>
            <w:tcBorders>
              <w:bottom w:val="single" w:sz="8" w:color="004054"/>
            </w:tcBorders>
            <w:shd w:val="clear" w:color="auto" w:fill="006880"/>
          </w:tcPr>
          <w:p>
            <w:pPr>
              <w:spacing w:after="0"/>
              <w:rPr>
                <w:sz w:val="18"/>
                <w:szCs w:val="18"/>
                <w:color w:val="auto"/>
              </w:rPr>
            </w:pPr>
          </w:p>
        </w:tc>
        <w:tc>
          <w:tcPr>
            <w:tcW w:w="20" w:type="dxa"/>
            <w:vAlign w:val="bottom"/>
            <w:tcBorders>
              <w:bottom w:val="single" w:sz="8" w:color="004054"/>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780" w:type="dxa"/>
            <w:vAlign w:val="bottom"/>
            <w:shd w:val="clear" w:color="auto" w:fill="004054"/>
          </w:tcPr>
          <w:p>
            <w:pPr>
              <w:spacing w:after="0"/>
              <w:rPr>
                <w:sz w:val="16"/>
                <w:szCs w:val="16"/>
                <w:color w:val="auto"/>
              </w:rPr>
            </w:pPr>
          </w:p>
        </w:tc>
        <w:tc>
          <w:tcPr>
            <w:tcW w:w="14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 of</w:t>
            </w:r>
          </w:p>
        </w:tc>
        <w:tc>
          <w:tcPr>
            <w:tcW w:w="1670" w:type="dxa"/>
            <w:vAlign w:val="bottom"/>
            <w:shd w:val="clear" w:color="auto" w:fill="004054"/>
          </w:tcPr>
          <w:p>
            <w:pPr>
              <w:spacing w:after="0"/>
              <w:rPr>
                <w:sz w:val="16"/>
                <w:szCs w:val="16"/>
                <w:color w:val="auto"/>
              </w:rPr>
            </w:pPr>
          </w:p>
        </w:tc>
        <w:tc>
          <w:tcPr>
            <w:tcW w:w="1660" w:type="dxa"/>
            <w:vAlign w:val="bottom"/>
            <w:shd w:val="clear" w:color="auto" w:fill="004054"/>
          </w:tcPr>
          <w:p>
            <w:pPr>
              <w:spacing w:after="0"/>
              <w:rPr>
                <w:sz w:val="16"/>
                <w:szCs w:val="16"/>
                <w:color w:val="auto"/>
              </w:rPr>
            </w:pPr>
          </w:p>
        </w:tc>
        <w:tc>
          <w:tcPr>
            <w:tcW w:w="165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780" w:type="dxa"/>
            <w:vAlign w:val="bottom"/>
            <w:shd w:val="clear" w:color="auto" w:fill="004054"/>
          </w:tcPr>
          <w:p>
            <w:pPr>
              <w:spacing w:after="0"/>
              <w:rPr>
                <w:sz w:val="15"/>
                <w:szCs w:val="15"/>
                <w:color w:val="auto"/>
              </w:rPr>
            </w:pPr>
          </w:p>
        </w:tc>
        <w:tc>
          <w:tcPr>
            <w:tcW w:w="14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PRSUs Granted</w:t>
            </w:r>
          </w:p>
        </w:tc>
        <w:tc>
          <w:tcPr>
            <w:tcW w:w="167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 of</w:t>
            </w: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 of</w:t>
            </w:r>
          </w:p>
        </w:tc>
        <w:tc>
          <w:tcPr>
            <w:tcW w:w="165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 of</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780" w:type="dxa"/>
            <w:vAlign w:val="bottom"/>
            <w:shd w:val="clear" w:color="auto" w:fill="004054"/>
          </w:tcPr>
          <w:p>
            <w:pPr>
              <w:spacing w:after="0"/>
              <w:rPr>
                <w:sz w:val="14"/>
                <w:szCs w:val="14"/>
                <w:color w:val="auto"/>
              </w:rPr>
            </w:pPr>
          </w:p>
        </w:tc>
        <w:tc>
          <w:tcPr>
            <w:tcW w:w="14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(three-year</w:t>
            </w:r>
          </w:p>
        </w:tc>
        <w:tc>
          <w:tcPr>
            <w:tcW w:w="167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PRSUs Earned</w:t>
            </w: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PRSUs Earned</w:t>
            </w:r>
          </w:p>
        </w:tc>
        <w:tc>
          <w:tcPr>
            <w:tcW w:w="165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PRSUs Earned</w:t>
            </w:r>
          </w:p>
        </w:tc>
        <w:tc>
          <w:tcPr>
            <w:tcW w:w="2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78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Name</w:t>
            </w:r>
          </w:p>
        </w:tc>
        <w:tc>
          <w:tcPr>
            <w:tcW w:w="14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performance)</w:t>
            </w:r>
          </w:p>
        </w:tc>
        <w:tc>
          <w:tcPr>
            <w:tcW w:w="167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(2025 performance)</w:t>
            </w:r>
            <w:r>
              <w:rPr>
                <w:rFonts w:ascii="Arial" w:cs="Arial" w:eastAsia="Arial" w:hAnsi="Arial"/>
                <w:sz w:val="18"/>
                <w:szCs w:val="18"/>
                <w:b w:val="1"/>
                <w:bCs w:val="1"/>
                <w:color w:val="FFFFFF"/>
                <w:vertAlign w:val="superscript"/>
              </w:rPr>
              <w:t>(1)</w:t>
            </w: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(2026 performance)</w:t>
            </w:r>
          </w:p>
        </w:tc>
        <w:tc>
          <w:tcPr>
            <w:tcW w:w="165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(2027 performance)</w:t>
            </w:r>
          </w:p>
        </w:tc>
        <w:tc>
          <w:tcPr>
            <w:tcW w:w="20" w:type="dxa"/>
            <w:vAlign w:val="bottom"/>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47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Mr. Gianoni</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16,291</w:t>
            </w:r>
          </w:p>
        </w:tc>
        <w:tc>
          <w:tcPr>
            <w:tcW w:w="1670" w:type="dxa"/>
            <w:vAlign w:val="bottom"/>
            <w:tcBorders>
              <w:bottom w:val="single" w:sz="8" w:color="EBFBFF"/>
            </w:tcBorders>
            <w:shd w:val="clear" w:color="auto" w:fill="EBFBFF"/>
          </w:tcPr>
          <w:p>
            <w:pPr>
              <w:jc w:val="right"/>
              <w:ind w:right="7"/>
              <w:spacing w:after="0"/>
              <w:rPr>
                <w:sz w:val="20"/>
                <w:szCs w:val="20"/>
                <w:color w:val="auto"/>
              </w:rPr>
            </w:pPr>
            <w:r>
              <w:rPr>
                <w:rFonts w:ascii="Arial" w:cs="Arial" w:eastAsia="Arial" w:hAnsi="Arial"/>
                <w:sz w:val="18"/>
                <w:szCs w:val="18"/>
                <w:color w:val="51555C"/>
              </w:rPr>
              <w:t>5,690</w:t>
            </w:r>
          </w:p>
        </w:tc>
        <w:tc>
          <w:tcPr>
            <w:tcW w:w="16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TBD</w:t>
            </w:r>
          </w:p>
        </w:tc>
        <w:tc>
          <w:tcPr>
            <w:tcW w:w="165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TBD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780" w:type="dxa"/>
            <w:vAlign w:val="bottom"/>
          </w:tcPr>
          <w:p>
            <w:pPr>
              <w:ind w:left="20"/>
              <w:spacing w:after="0"/>
              <w:rPr>
                <w:sz w:val="20"/>
                <w:szCs w:val="20"/>
                <w:color w:val="auto"/>
              </w:rPr>
            </w:pPr>
            <w:r>
              <w:rPr>
                <w:rFonts w:ascii="Arial" w:cs="Arial" w:eastAsia="Arial" w:hAnsi="Arial"/>
                <w:sz w:val="18"/>
                <w:szCs w:val="18"/>
                <w:color w:val="51555C"/>
              </w:rPr>
              <w:t>Mr. Anderson</w:t>
            </w:r>
          </w:p>
        </w:tc>
        <w:tc>
          <w:tcPr>
            <w:tcW w:w="1480" w:type="dxa"/>
            <w:vAlign w:val="bottom"/>
          </w:tcPr>
          <w:p>
            <w:pPr>
              <w:jc w:val="right"/>
              <w:spacing w:after="0"/>
              <w:rPr>
                <w:sz w:val="20"/>
                <w:szCs w:val="20"/>
                <w:color w:val="auto"/>
              </w:rPr>
            </w:pPr>
            <w:r>
              <w:rPr>
                <w:rFonts w:ascii="Arial" w:cs="Arial" w:eastAsia="Arial" w:hAnsi="Arial"/>
                <w:sz w:val="18"/>
                <w:szCs w:val="18"/>
                <w:color w:val="51555C"/>
              </w:rPr>
              <w:t>3,584</w:t>
            </w:r>
          </w:p>
        </w:tc>
        <w:tc>
          <w:tcPr>
            <w:tcW w:w="1670" w:type="dxa"/>
            <w:vAlign w:val="bottom"/>
          </w:tcPr>
          <w:p>
            <w:pPr>
              <w:jc w:val="right"/>
              <w:ind w:right="7"/>
              <w:spacing w:after="0"/>
              <w:rPr>
                <w:sz w:val="20"/>
                <w:szCs w:val="20"/>
                <w:color w:val="auto"/>
              </w:rPr>
            </w:pPr>
            <w:r>
              <w:rPr>
                <w:rFonts w:ascii="Arial" w:cs="Arial" w:eastAsia="Arial" w:hAnsi="Arial"/>
                <w:sz w:val="18"/>
                <w:szCs w:val="18"/>
                <w:color w:val="51555C"/>
              </w:rPr>
              <w:t>1,252</w:t>
            </w:r>
          </w:p>
        </w:tc>
        <w:tc>
          <w:tcPr>
            <w:tcW w:w="1660" w:type="dxa"/>
            <w:vAlign w:val="bottom"/>
          </w:tcPr>
          <w:p>
            <w:pPr>
              <w:jc w:val="right"/>
              <w:spacing w:after="0"/>
              <w:rPr>
                <w:sz w:val="20"/>
                <w:szCs w:val="20"/>
                <w:color w:val="auto"/>
              </w:rPr>
            </w:pPr>
            <w:r>
              <w:rPr>
                <w:rFonts w:ascii="Arial" w:cs="Arial" w:eastAsia="Arial" w:hAnsi="Arial"/>
                <w:sz w:val="18"/>
                <w:szCs w:val="18"/>
                <w:color w:val="51555C"/>
              </w:rPr>
              <w:t>TBD</w:t>
            </w:r>
          </w:p>
        </w:tc>
        <w:tc>
          <w:tcPr>
            <w:tcW w:w="1650" w:type="dxa"/>
            <w:vAlign w:val="bottom"/>
          </w:tcPr>
          <w:p>
            <w:pPr>
              <w:jc w:val="right"/>
              <w:spacing w:after="0"/>
              <w:rPr>
                <w:sz w:val="20"/>
                <w:szCs w:val="20"/>
                <w:color w:val="auto"/>
              </w:rPr>
            </w:pPr>
            <w:r>
              <w:rPr>
                <w:rFonts w:ascii="Arial" w:cs="Arial" w:eastAsia="Arial" w:hAnsi="Arial"/>
                <w:sz w:val="18"/>
                <w:szCs w:val="18"/>
                <w:color w:val="51555C"/>
              </w:rPr>
              <w:t>TBD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7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5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47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Mr. Boor</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9,775</w:t>
            </w:r>
          </w:p>
        </w:tc>
        <w:tc>
          <w:tcPr>
            <w:tcW w:w="1670" w:type="dxa"/>
            <w:vAlign w:val="bottom"/>
            <w:tcBorders>
              <w:bottom w:val="single" w:sz="8" w:color="EBFBFF"/>
            </w:tcBorders>
            <w:shd w:val="clear" w:color="auto" w:fill="EBFBFF"/>
          </w:tcPr>
          <w:p>
            <w:pPr>
              <w:jc w:val="right"/>
              <w:ind w:right="7"/>
              <w:spacing w:after="0"/>
              <w:rPr>
                <w:sz w:val="20"/>
                <w:szCs w:val="20"/>
                <w:color w:val="auto"/>
              </w:rPr>
            </w:pPr>
            <w:r>
              <w:rPr>
                <w:rFonts w:ascii="Arial" w:cs="Arial" w:eastAsia="Arial" w:hAnsi="Arial"/>
                <w:sz w:val="18"/>
                <w:szCs w:val="18"/>
                <w:color w:val="51555C"/>
              </w:rPr>
              <w:t>3,415</w:t>
            </w:r>
          </w:p>
        </w:tc>
        <w:tc>
          <w:tcPr>
            <w:tcW w:w="16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TBD</w:t>
            </w:r>
          </w:p>
        </w:tc>
        <w:tc>
          <w:tcPr>
            <w:tcW w:w="165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TBD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780" w:type="dxa"/>
            <w:vAlign w:val="bottom"/>
          </w:tcPr>
          <w:p>
            <w:pPr>
              <w:ind w:left="20"/>
              <w:spacing w:after="0"/>
              <w:rPr>
                <w:sz w:val="20"/>
                <w:szCs w:val="20"/>
                <w:color w:val="auto"/>
              </w:rPr>
            </w:pPr>
            <w:r>
              <w:rPr>
                <w:rFonts w:ascii="Arial" w:cs="Arial" w:eastAsia="Arial" w:hAnsi="Arial"/>
                <w:sz w:val="18"/>
                <w:szCs w:val="18"/>
                <w:color w:val="51555C"/>
              </w:rPr>
              <w:t>Mr. Benjamin</w:t>
            </w:r>
          </w:p>
        </w:tc>
        <w:tc>
          <w:tcPr>
            <w:tcW w:w="1480" w:type="dxa"/>
            <w:vAlign w:val="bottom"/>
          </w:tcPr>
          <w:p>
            <w:pPr>
              <w:jc w:val="right"/>
              <w:spacing w:after="0"/>
              <w:rPr>
                <w:sz w:val="20"/>
                <w:szCs w:val="20"/>
                <w:color w:val="auto"/>
              </w:rPr>
            </w:pPr>
            <w:r>
              <w:rPr>
                <w:rFonts w:ascii="Arial" w:cs="Arial" w:eastAsia="Arial" w:hAnsi="Arial"/>
                <w:sz w:val="18"/>
                <w:szCs w:val="18"/>
                <w:color w:val="51555C"/>
              </w:rPr>
              <w:t>8,472</w:t>
            </w:r>
          </w:p>
        </w:tc>
        <w:tc>
          <w:tcPr>
            <w:tcW w:w="1670" w:type="dxa"/>
            <w:vAlign w:val="bottom"/>
          </w:tcPr>
          <w:p>
            <w:pPr>
              <w:jc w:val="right"/>
              <w:ind w:right="7"/>
              <w:spacing w:after="0"/>
              <w:rPr>
                <w:sz w:val="20"/>
                <w:szCs w:val="20"/>
                <w:color w:val="auto"/>
              </w:rPr>
            </w:pPr>
            <w:r>
              <w:rPr>
                <w:rFonts w:ascii="Arial" w:cs="Arial" w:eastAsia="Arial" w:hAnsi="Arial"/>
                <w:sz w:val="18"/>
                <w:szCs w:val="18"/>
                <w:color w:val="51555C"/>
              </w:rPr>
              <w:t>2,959</w:t>
            </w:r>
          </w:p>
        </w:tc>
        <w:tc>
          <w:tcPr>
            <w:tcW w:w="1660" w:type="dxa"/>
            <w:vAlign w:val="bottom"/>
          </w:tcPr>
          <w:p>
            <w:pPr>
              <w:jc w:val="right"/>
              <w:spacing w:after="0"/>
              <w:rPr>
                <w:sz w:val="20"/>
                <w:szCs w:val="20"/>
                <w:color w:val="auto"/>
              </w:rPr>
            </w:pPr>
            <w:r>
              <w:rPr>
                <w:rFonts w:ascii="Arial" w:cs="Arial" w:eastAsia="Arial" w:hAnsi="Arial"/>
                <w:sz w:val="18"/>
                <w:szCs w:val="18"/>
                <w:color w:val="51555C"/>
              </w:rPr>
              <w:t>TBD</w:t>
            </w:r>
          </w:p>
        </w:tc>
        <w:tc>
          <w:tcPr>
            <w:tcW w:w="1650" w:type="dxa"/>
            <w:vAlign w:val="bottom"/>
          </w:tcPr>
          <w:p>
            <w:pPr>
              <w:jc w:val="right"/>
              <w:spacing w:after="0"/>
              <w:rPr>
                <w:sz w:val="20"/>
                <w:szCs w:val="20"/>
                <w:color w:val="auto"/>
              </w:rPr>
            </w:pPr>
            <w:r>
              <w:rPr>
                <w:rFonts w:ascii="Arial" w:cs="Arial" w:eastAsia="Arial" w:hAnsi="Arial"/>
                <w:sz w:val="18"/>
                <w:szCs w:val="18"/>
                <w:color w:val="51555C"/>
              </w:rPr>
              <w:t>TBD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7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5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47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Mr. Gregoire</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10,590</w:t>
            </w:r>
          </w:p>
        </w:tc>
        <w:tc>
          <w:tcPr>
            <w:tcW w:w="1670" w:type="dxa"/>
            <w:vAlign w:val="bottom"/>
            <w:tcBorders>
              <w:bottom w:val="single" w:sz="8" w:color="EBFBFF"/>
            </w:tcBorders>
            <w:shd w:val="clear" w:color="auto" w:fill="EBFBFF"/>
          </w:tcPr>
          <w:p>
            <w:pPr>
              <w:jc w:val="right"/>
              <w:ind w:right="7"/>
              <w:spacing w:after="0"/>
              <w:rPr>
                <w:sz w:val="20"/>
                <w:szCs w:val="20"/>
                <w:color w:val="auto"/>
              </w:rPr>
            </w:pPr>
            <w:r>
              <w:rPr>
                <w:rFonts w:ascii="Arial" w:cs="Arial" w:eastAsia="Arial" w:hAnsi="Arial"/>
                <w:sz w:val="18"/>
                <w:szCs w:val="18"/>
                <w:color w:val="51555C"/>
              </w:rPr>
              <w:t>3,699</w:t>
            </w:r>
          </w:p>
        </w:tc>
        <w:tc>
          <w:tcPr>
            <w:tcW w:w="16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TBD</w:t>
            </w:r>
          </w:p>
        </w:tc>
        <w:tc>
          <w:tcPr>
            <w:tcW w:w="165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TBD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780" w:type="dxa"/>
            <w:vAlign w:val="bottom"/>
          </w:tcPr>
          <w:p>
            <w:pPr>
              <w:ind w:left="20"/>
              <w:spacing w:after="0"/>
              <w:rPr>
                <w:sz w:val="20"/>
                <w:szCs w:val="20"/>
                <w:color w:val="auto"/>
              </w:rPr>
            </w:pPr>
            <w:r>
              <w:rPr>
                <w:rFonts w:ascii="Arial" w:cs="Arial" w:eastAsia="Arial" w:hAnsi="Arial"/>
                <w:sz w:val="18"/>
                <w:szCs w:val="18"/>
                <w:color w:val="51555C"/>
              </w:rPr>
              <w:t>Mr. McDearis</w:t>
            </w:r>
          </w:p>
        </w:tc>
        <w:tc>
          <w:tcPr>
            <w:tcW w:w="1480" w:type="dxa"/>
            <w:vAlign w:val="bottom"/>
          </w:tcPr>
          <w:p>
            <w:pPr>
              <w:jc w:val="right"/>
              <w:spacing w:after="0"/>
              <w:rPr>
                <w:sz w:val="20"/>
                <w:szCs w:val="20"/>
                <w:color w:val="auto"/>
              </w:rPr>
            </w:pPr>
            <w:r>
              <w:rPr>
                <w:rFonts w:ascii="Arial" w:cs="Arial" w:eastAsia="Arial" w:hAnsi="Arial"/>
                <w:sz w:val="18"/>
                <w:szCs w:val="18"/>
                <w:color w:val="51555C"/>
              </w:rPr>
              <w:t>7,820</w:t>
            </w:r>
          </w:p>
        </w:tc>
        <w:tc>
          <w:tcPr>
            <w:tcW w:w="1670" w:type="dxa"/>
            <w:vAlign w:val="bottom"/>
          </w:tcPr>
          <w:p>
            <w:pPr>
              <w:jc w:val="right"/>
              <w:ind w:right="7"/>
              <w:spacing w:after="0"/>
              <w:rPr>
                <w:sz w:val="20"/>
                <w:szCs w:val="20"/>
                <w:color w:val="auto"/>
              </w:rPr>
            </w:pPr>
            <w:r>
              <w:rPr>
                <w:rFonts w:ascii="Arial" w:cs="Arial" w:eastAsia="Arial" w:hAnsi="Arial"/>
                <w:sz w:val="18"/>
                <w:szCs w:val="18"/>
                <w:color w:val="51555C"/>
              </w:rPr>
              <w:t>2,732</w:t>
            </w:r>
          </w:p>
        </w:tc>
        <w:tc>
          <w:tcPr>
            <w:tcW w:w="1660" w:type="dxa"/>
            <w:vAlign w:val="bottom"/>
          </w:tcPr>
          <w:p>
            <w:pPr>
              <w:jc w:val="right"/>
              <w:spacing w:after="0"/>
              <w:rPr>
                <w:sz w:val="20"/>
                <w:szCs w:val="20"/>
                <w:color w:val="auto"/>
              </w:rPr>
            </w:pPr>
            <w:r>
              <w:rPr>
                <w:rFonts w:ascii="Arial" w:cs="Arial" w:eastAsia="Arial" w:hAnsi="Arial"/>
                <w:sz w:val="18"/>
                <w:szCs w:val="18"/>
                <w:color w:val="51555C"/>
              </w:rPr>
              <w:t>TBD</w:t>
            </w:r>
          </w:p>
        </w:tc>
        <w:tc>
          <w:tcPr>
            <w:tcW w:w="1650" w:type="dxa"/>
            <w:vAlign w:val="bottom"/>
          </w:tcPr>
          <w:p>
            <w:pPr>
              <w:jc w:val="right"/>
              <w:spacing w:after="0"/>
              <w:rPr>
                <w:sz w:val="20"/>
                <w:szCs w:val="20"/>
                <w:color w:val="auto"/>
              </w:rPr>
            </w:pPr>
            <w:r>
              <w:rPr>
                <w:rFonts w:ascii="Arial" w:cs="Arial" w:eastAsia="Arial" w:hAnsi="Arial"/>
                <w:sz w:val="18"/>
                <w:szCs w:val="18"/>
                <w:color w:val="51555C"/>
              </w:rPr>
              <w:t>TBD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80" w:type="dxa"/>
            <w:vAlign w:val="bottom"/>
            <w:tcBorders>
              <w:bottom w:val="single" w:sz="8" w:color="0CD973"/>
            </w:tcBorders>
          </w:tcPr>
          <w:p>
            <w:pPr>
              <w:spacing w:after="0"/>
              <w:rPr>
                <w:sz w:val="2"/>
                <w:szCs w:val="2"/>
                <w:color w:val="auto"/>
              </w:rPr>
            </w:pPr>
          </w:p>
        </w:tc>
        <w:tc>
          <w:tcPr>
            <w:tcW w:w="1480" w:type="dxa"/>
            <w:vAlign w:val="bottom"/>
            <w:tcBorders>
              <w:bottom w:val="single" w:sz="8" w:color="0CD973"/>
            </w:tcBorders>
          </w:tcPr>
          <w:p>
            <w:pPr>
              <w:spacing w:after="0"/>
              <w:rPr>
                <w:sz w:val="2"/>
                <w:szCs w:val="2"/>
                <w:color w:val="auto"/>
              </w:rPr>
            </w:pPr>
          </w:p>
        </w:tc>
        <w:tc>
          <w:tcPr>
            <w:tcW w:w="1670" w:type="dxa"/>
            <w:vAlign w:val="bottom"/>
            <w:tcBorders>
              <w:bottom w:val="single" w:sz="8" w:color="0CD973"/>
            </w:tcBorders>
          </w:tcPr>
          <w:p>
            <w:pPr>
              <w:spacing w:after="0"/>
              <w:rPr>
                <w:sz w:val="2"/>
                <w:szCs w:val="2"/>
                <w:color w:val="auto"/>
              </w:rPr>
            </w:pPr>
          </w:p>
        </w:tc>
        <w:tc>
          <w:tcPr>
            <w:tcW w:w="1660" w:type="dxa"/>
            <w:vAlign w:val="bottom"/>
            <w:tcBorders>
              <w:bottom w:val="single" w:sz="8" w:color="0CD973"/>
            </w:tcBorders>
          </w:tcPr>
          <w:p>
            <w:pPr>
              <w:spacing w:after="0"/>
              <w:rPr>
                <w:sz w:val="2"/>
                <w:szCs w:val="2"/>
                <w:color w:val="auto"/>
              </w:rPr>
            </w:pPr>
          </w:p>
        </w:tc>
        <w:tc>
          <w:tcPr>
            <w:tcW w:w="165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-1731010</wp:posOffset>
            </wp:positionV>
            <wp:extent cx="41148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65" w:lineRule="exact"/>
        <w:rPr>
          <w:sz w:val="20"/>
          <w:szCs w:val="20"/>
          <w:color w:val="auto"/>
        </w:rPr>
      </w:pPr>
    </w:p>
    <w:p>
      <w:pPr>
        <w:ind w:left="340" w:right="20" w:hanging="332"/>
        <w:spacing w:after="0" w:line="285" w:lineRule="auto"/>
        <w:tabs>
          <w:tab w:leader="none" w:pos="354" w:val="left"/>
        </w:tabs>
        <w:numPr>
          <w:ilvl w:val="0"/>
          <w:numId w:val="56"/>
        </w:numPr>
        <w:rPr>
          <w:rFonts w:ascii="Arial" w:cs="Arial" w:eastAsia="Arial" w:hAnsi="Arial"/>
          <w:sz w:val="14"/>
          <w:szCs w:val="14"/>
          <w:color w:val="51555C"/>
        </w:rPr>
      </w:pPr>
      <w:r>
        <w:rPr>
          <w:rFonts w:ascii="Arial" w:cs="Arial" w:eastAsia="Arial" w:hAnsi="Arial"/>
          <w:sz w:val="14"/>
          <w:szCs w:val="14"/>
          <w:color w:val="51555C"/>
        </w:rPr>
        <w:t>In accordance with the LTI award terms discussed above, 104.76% of the shares of our common stock subject to the 2025 Three-year PRSUs based on 2025 Rule of 40 performance were earned and vested on February 19, 2026.</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Prior Year Three-year PRSUs</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Consistent with 2025, the Compensation Committee has previously granted Three-year PRSUs to our NEOs which may be earned and become eligible for vesting based on our level of achievement of Rule of 40 goals over three annual performance periods. To the extent earned, the previously granted Three-year PRSUs are eligible for vesting in three equal annual installments starting on the anniversary of the grant date. Achievement against the prior years' performance metrics will be calculated on a constant currency basis, eliminating both positive and negative effects of currency exchange rate fluctuations since the grant date.</w:t>
      </w:r>
    </w:p>
    <w:p>
      <w:pPr>
        <w:spacing w:after="0" w:line="12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51555C"/>
        </w:rPr>
        <w:t>Our NEOs were eligible to earn PRSUs that were granted in prior years and tied to the achievement of Rule of 40 goals for 2025. As shown below, our actual achievement resulted in the following payout percentages for PRSUs granted in prior years. This represented approximately one-third of the target number of shares granted in the grant year, with earned shares for PRSUs granted in 2024 and 2023 vesting on the second and third anniversaries of the grant date, respectively.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Grant</w:t>
            </w:r>
          </w:p>
        </w:tc>
        <w:tc>
          <w:tcPr>
            <w:tcW w:w="1430" w:type="dxa"/>
            <w:vAlign w:val="bottom"/>
            <w:shd w:val="clear" w:color="auto" w:fill="004054"/>
          </w:tcPr>
          <w:p>
            <w:pPr>
              <w:jc w:val="center"/>
              <w:ind w:right="29"/>
              <w:spacing w:after="0"/>
              <w:rPr>
                <w:sz w:val="20"/>
                <w:szCs w:val="20"/>
                <w:color w:val="auto"/>
              </w:rPr>
            </w:pPr>
            <w:r>
              <w:rPr>
                <w:rFonts w:ascii="Arial" w:cs="Arial" w:eastAsia="Arial" w:hAnsi="Arial"/>
                <w:sz w:val="14"/>
                <w:szCs w:val="14"/>
                <w:b w:val="1"/>
                <w:bCs w:val="1"/>
                <w:color w:val="FFFFFF"/>
              </w:rPr>
              <w:t>Performance</w:t>
            </w:r>
          </w:p>
        </w:tc>
        <w:tc>
          <w:tcPr>
            <w:tcW w:w="150" w:type="dxa"/>
            <w:vAlign w:val="bottom"/>
            <w:shd w:val="clear" w:color="auto" w:fill="004054"/>
          </w:tcPr>
          <w:p>
            <w:pPr>
              <w:spacing w:after="0"/>
              <w:rPr>
                <w:sz w:val="17"/>
                <w:szCs w:val="17"/>
                <w:color w:val="auto"/>
              </w:rPr>
            </w:pPr>
          </w:p>
        </w:tc>
        <w:tc>
          <w:tcPr>
            <w:tcW w:w="1060" w:type="dxa"/>
            <w:vAlign w:val="bottom"/>
            <w:shd w:val="clear" w:color="auto" w:fill="006880"/>
          </w:tcPr>
          <w:p>
            <w:pPr>
              <w:jc w:val="center"/>
              <w:spacing w:after="0"/>
              <w:rPr>
                <w:sz w:val="20"/>
                <w:szCs w:val="20"/>
                <w:color w:val="auto"/>
              </w:rPr>
            </w:pPr>
            <w:r>
              <w:rPr>
                <w:rFonts w:ascii="Arial" w:cs="Arial" w:eastAsia="Arial" w:hAnsi="Arial"/>
                <w:sz w:val="14"/>
                <w:szCs w:val="14"/>
                <w:b w:val="1"/>
                <w:bCs w:val="1"/>
                <w:color w:val="FFFFFF"/>
              </w:rPr>
              <w:t>Below</w:t>
            </w:r>
          </w:p>
        </w:tc>
        <w:tc>
          <w:tcPr>
            <w:tcW w:w="1080" w:type="dxa"/>
            <w:vAlign w:val="bottom"/>
            <w:shd w:val="clear" w:color="auto" w:fill="006880"/>
          </w:tcPr>
          <w:p>
            <w:pPr>
              <w:spacing w:after="0"/>
              <w:rPr>
                <w:sz w:val="17"/>
                <w:szCs w:val="17"/>
                <w:color w:val="auto"/>
              </w:rPr>
            </w:pPr>
          </w:p>
        </w:tc>
        <w:tc>
          <w:tcPr>
            <w:tcW w:w="1080" w:type="dxa"/>
            <w:vAlign w:val="bottom"/>
            <w:shd w:val="clear" w:color="auto" w:fill="006880"/>
          </w:tcPr>
          <w:p>
            <w:pPr>
              <w:spacing w:after="0"/>
              <w:rPr>
                <w:sz w:val="17"/>
                <w:szCs w:val="17"/>
                <w:color w:val="auto"/>
              </w:rPr>
            </w:pPr>
          </w:p>
        </w:tc>
        <w:tc>
          <w:tcPr>
            <w:tcW w:w="1080" w:type="dxa"/>
            <w:vAlign w:val="bottom"/>
            <w:shd w:val="clear" w:color="auto" w:fill="006880"/>
          </w:tcPr>
          <w:p>
            <w:pPr>
              <w:spacing w:after="0"/>
              <w:rPr>
                <w:sz w:val="17"/>
                <w:szCs w:val="17"/>
                <w:color w:val="auto"/>
              </w:rPr>
            </w:pPr>
          </w:p>
        </w:tc>
        <w:tc>
          <w:tcPr>
            <w:tcW w:w="1520" w:type="dxa"/>
            <w:vAlign w:val="bottom"/>
            <w:shd w:val="clear" w:color="auto" w:fill="004054"/>
          </w:tcPr>
          <w:p>
            <w:pPr>
              <w:jc w:val="center"/>
              <w:ind w:left="159"/>
              <w:spacing w:after="0"/>
              <w:rPr>
                <w:sz w:val="20"/>
                <w:szCs w:val="20"/>
                <w:color w:val="auto"/>
              </w:rPr>
            </w:pPr>
            <w:r>
              <w:rPr>
                <w:rFonts w:ascii="Arial" w:cs="Arial" w:eastAsia="Arial" w:hAnsi="Arial"/>
                <w:sz w:val="14"/>
                <w:szCs w:val="14"/>
                <w:b w:val="1"/>
                <w:bCs w:val="1"/>
                <w:color w:val="FFFFFF"/>
              </w:rPr>
              <w:t>Actual</w:t>
            </w:r>
          </w:p>
        </w:tc>
        <w:tc>
          <w:tcPr>
            <w:tcW w:w="130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w w:val="96"/>
              </w:rPr>
              <w:t>%</w:t>
            </w:r>
          </w:p>
        </w:tc>
        <w:tc>
          <w:tcPr>
            <w:tcW w:w="130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Payout</w:t>
            </w:r>
          </w:p>
        </w:tc>
        <w:tc>
          <w:tcPr>
            <w:tcW w:w="20" w:type="dxa"/>
            <w:vAlign w:val="bottom"/>
            <w:shd w:val="clear" w:color="auto" w:fill="004054"/>
          </w:tcPr>
          <w:p>
            <w:pPr>
              <w:spacing w:after="0"/>
              <w:rPr>
                <w:sz w:val="17"/>
                <w:szCs w:val="17"/>
                <w:color w:val="auto"/>
              </w:rPr>
            </w:pPr>
          </w:p>
        </w:tc>
      </w:tr>
      <w:tr>
        <w:trPr>
          <w:trHeight w:val="205"/>
        </w:trPr>
        <w:tc>
          <w:tcPr>
            <w:tcW w:w="124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w w:val="98"/>
              </w:rPr>
              <w:t>Year</w:t>
            </w:r>
          </w:p>
        </w:tc>
        <w:tc>
          <w:tcPr>
            <w:tcW w:w="1430" w:type="dxa"/>
            <w:vAlign w:val="bottom"/>
            <w:tcBorders>
              <w:bottom w:val="single" w:sz="8" w:color="004054"/>
            </w:tcBorders>
            <w:shd w:val="clear" w:color="auto" w:fill="004054"/>
          </w:tcPr>
          <w:p>
            <w:pPr>
              <w:jc w:val="center"/>
              <w:ind w:right="29"/>
              <w:spacing w:after="0"/>
              <w:rPr>
                <w:sz w:val="20"/>
                <w:szCs w:val="20"/>
                <w:color w:val="auto"/>
              </w:rPr>
            </w:pPr>
            <w:r>
              <w:rPr>
                <w:rFonts w:ascii="Arial" w:cs="Arial" w:eastAsia="Arial" w:hAnsi="Arial"/>
                <w:sz w:val="14"/>
                <w:szCs w:val="14"/>
                <w:b w:val="1"/>
                <w:bCs w:val="1"/>
                <w:color w:val="FFFFFF"/>
              </w:rPr>
              <w:t>Period</w:t>
            </w:r>
          </w:p>
        </w:tc>
        <w:tc>
          <w:tcPr>
            <w:tcW w:w="150" w:type="dxa"/>
            <w:vAlign w:val="bottom"/>
            <w:tcBorders>
              <w:bottom w:val="single" w:sz="8" w:color="004054"/>
            </w:tcBorders>
            <w:shd w:val="clear" w:color="auto" w:fill="004054"/>
          </w:tcPr>
          <w:p>
            <w:pPr>
              <w:spacing w:after="0"/>
              <w:rPr>
                <w:sz w:val="17"/>
                <w:szCs w:val="17"/>
                <w:color w:val="auto"/>
              </w:rPr>
            </w:pPr>
          </w:p>
        </w:tc>
        <w:tc>
          <w:tcPr>
            <w:tcW w:w="1060" w:type="dxa"/>
            <w:vAlign w:val="bottom"/>
            <w:tcBorders>
              <w:bottom w:val="single" w:sz="8" w:color="006880"/>
            </w:tcBorders>
            <w:shd w:val="clear" w:color="auto" w:fill="006880"/>
          </w:tcPr>
          <w:p>
            <w:pPr>
              <w:jc w:val="center"/>
              <w:spacing w:after="0"/>
              <w:rPr>
                <w:sz w:val="20"/>
                <w:szCs w:val="20"/>
                <w:color w:val="auto"/>
              </w:rPr>
            </w:pPr>
            <w:r>
              <w:rPr>
                <w:rFonts w:ascii="Arial" w:cs="Arial" w:eastAsia="Arial" w:hAnsi="Arial"/>
                <w:sz w:val="14"/>
                <w:szCs w:val="14"/>
                <w:b w:val="1"/>
                <w:bCs w:val="1"/>
                <w:color w:val="FFFFFF"/>
              </w:rPr>
              <w:t>Threshold</w:t>
            </w:r>
          </w:p>
        </w:tc>
        <w:tc>
          <w:tcPr>
            <w:tcW w:w="1080" w:type="dxa"/>
            <w:vAlign w:val="bottom"/>
            <w:tcBorders>
              <w:bottom w:val="single" w:sz="8" w:color="006880"/>
            </w:tcBorders>
            <w:shd w:val="clear" w:color="auto" w:fill="006880"/>
          </w:tcPr>
          <w:p>
            <w:pPr>
              <w:jc w:val="center"/>
              <w:spacing w:after="0"/>
              <w:rPr>
                <w:sz w:val="20"/>
                <w:szCs w:val="20"/>
                <w:color w:val="auto"/>
              </w:rPr>
            </w:pPr>
            <w:r>
              <w:rPr>
                <w:rFonts w:ascii="Arial" w:cs="Arial" w:eastAsia="Arial" w:hAnsi="Arial"/>
                <w:sz w:val="14"/>
                <w:szCs w:val="14"/>
                <w:b w:val="1"/>
                <w:bCs w:val="1"/>
                <w:color w:val="FFFFFF"/>
              </w:rPr>
              <w:t>Threshold</w:t>
            </w:r>
          </w:p>
        </w:tc>
        <w:tc>
          <w:tcPr>
            <w:tcW w:w="1080" w:type="dxa"/>
            <w:vAlign w:val="bottom"/>
            <w:tcBorders>
              <w:bottom w:val="single" w:sz="8" w:color="006880"/>
            </w:tcBorders>
            <w:shd w:val="clear" w:color="auto" w:fill="006880"/>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080" w:type="dxa"/>
            <w:vAlign w:val="bottom"/>
            <w:tcBorders>
              <w:bottom w:val="single" w:sz="8" w:color="006880"/>
            </w:tcBorders>
            <w:shd w:val="clear" w:color="auto" w:fill="006880"/>
          </w:tcPr>
          <w:p>
            <w:pPr>
              <w:jc w:val="center"/>
              <w:spacing w:after="0"/>
              <w:rPr>
                <w:sz w:val="20"/>
                <w:szCs w:val="20"/>
                <w:color w:val="auto"/>
              </w:rPr>
            </w:pPr>
            <w:r>
              <w:rPr>
                <w:rFonts w:ascii="Arial" w:cs="Arial" w:eastAsia="Arial" w:hAnsi="Arial"/>
                <w:sz w:val="14"/>
                <w:szCs w:val="14"/>
                <w:b w:val="1"/>
                <w:bCs w:val="1"/>
                <w:color w:val="FFFFFF"/>
              </w:rPr>
              <w:t>Maximum</w:t>
            </w:r>
          </w:p>
        </w:tc>
        <w:tc>
          <w:tcPr>
            <w:tcW w:w="1520" w:type="dxa"/>
            <w:vAlign w:val="bottom"/>
            <w:tcBorders>
              <w:bottom w:val="single" w:sz="8" w:color="004054"/>
            </w:tcBorders>
            <w:shd w:val="clear" w:color="auto" w:fill="004054"/>
          </w:tcPr>
          <w:p>
            <w:pPr>
              <w:jc w:val="center"/>
              <w:ind w:left="179"/>
              <w:spacing w:after="0"/>
              <w:rPr>
                <w:sz w:val="20"/>
                <w:szCs w:val="20"/>
                <w:color w:val="auto"/>
              </w:rPr>
            </w:pPr>
            <w:r>
              <w:rPr>
                <w:rFonts w:ascii="Arial" w:cs="Arial" w:eastAsia="Arial" w:hAnsi="Arial"/>
                <w:sz w:val="14"/>
                <w:szCs w:val="14"/>
                <w:b w:val="1"/>
                <w:bCs w:val="1"/>
                <w:color w:val="FFFFFF"/>
              </w:rPr>
              <w:t>Achievement</w:t>
            </w:r>
          </w:p>
        </w:tc>
        <w:tc>
          <w:tcPr>
            <w:tcW w:w="130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Earned</w:t>
            </w:r>
          </w:p>
        </w:tc>
        <w:tc>
          <w:tcPr>
            <w:tcW w:w="130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w w:val="96"/>
              </w:rPr>
              <w:t>%</w:t>
            </w:r>
          </w:p>
        </w:tc>
        <w:tc>
          <w:tcPr>
            <w:tcW w:w="20" w:type="dxa"/>
            <w:vAlign w:val="bottom"/>
            <w:tcBorders>
              <w:bottom w:val="single" w:sz="8" w:color="004054"/>
            </w:tcBorders>
            <w:shd w:val="clear" w:color="auto" w:fill="004054"/>
          </w:tcPr>
          <w:p>
            <w:pPr>
              <w:spacing w:after="0"/>
              <w:rPr>
                <w:sz w:val="17"/>
                <w:szCs w:val="17"/>
                <w:color w:val="auto"/>
              </w:rPr>
            </w:pPr>
          </w:p>
        </w:tc>
      </w:tr>
      <w:tr>
        <w:trPr>
          <w:trHeight w:val="304"/>
        </w:trPr>
        <w:tc>
          <w:tcPr>
            <w:tcW w:w="1240" w:type="dxa"/>
            <w:vAlign w:val="bottom"/>
            <w:tcBorders>
              <w:bottom w:val="single" w:sz="8" w:color="EBFBFF"/>
            </w:tcBorders>
            <w:shd w:val="clear" w:color="auto" w:fill="EBFBFF"/>
          </w:tcPr>
          <w:p>
            <w:pPr>
              <w:jc w:val="center"/>
              <w:spacing w:after="0"/>
              <w:rPr>
                <w:sz w:val="20"/>
                <w:szCs w:val="20"/>
                <w:color w:val="auto"/>
              </w:rPr>
            </w:pPr>
            <w:r>
              <w:rPr>
                <w:rFonts w:ascii="Arial" w:cs="Arial" w:eastAsia="Arial" w:hAnsi="Arial"/>
                <w:sz w:val="18"/>
                <w:szCs w:val="18"/>
                <w:color w:val="51555C"/>
                <w:w w:val="99"/>
              </w:rPr>
              <w:t>2024</w:t>
            </w:r>
          </w:p>
        </w:tc>
        <w:tc>
          <w:tcPr>
            <w:tcW w:w="1430" w:type="dxa"/>
            <w:vAlign w:val="bottom"/>
            <w:tcBorders>
              <w:bottom w:val="single" w:sz="8" w:color="EBFBFF"/>
            </w:tcBorders>
            <w:shd w:val="clear" w:color="auto" w:fill="EBFBFF"/>
          </w:tcPr>
          <w:p>
            <w:pPr>
              <w:jc w:val="center"/>
              <w:ind w:right="29"/>
              <w:spacing w:after="0"/>
              <w:rPr>
                <w:sz w:val="20"/>
                <w:szCs w:val="20"/>
                <w:color w:val="auto"/>
              </w:rPr>
            </w:pPr>
            <w:r>
              <w:rPr>
                <w:rFonts w:ascii="Arial" w:cs="Arial" w:eastAsia="Arial" w:hAnsi="Arial"/>
                <w:sz w:val="18"/>
                <w:szCs w:val="18"/>
                <w:color w:val="51555C"/>
                <w:w w:val="99"/>
              </w:rPr>
              <w:t>2025</w:t>
            </w:r>
          </w:p>
        </w:tc>
        <w:tc>
          <w:tcPr>
            <w:tcW w:w="1210" w:type="dxa"/>
            <w:vAlign w:val="bottom"/>
            <w:tcBorders>
              <w:bottom w:val="single" w:sz="8" w:color="EBFBFF"/>
            </w:tcBorders>
            <w:gridSpan w:val="2"/>
            <w:shd w:val="clear" w:color="auto" w:fill="EBFBFF"/>
          </w:tcPr>
          <w:p>
            <w:pPr>
              <w:jc w:val="center"/>
              <w:ind w:left="40"/>
              <w:spacing w:after="0"/>
              <w:rPr>
                <w:sz w:val="20"/>
                <w:szCs w:val="20"/>
                <w:color w:val="auto"/>
              </w:rPr>
            </w:pPr>
            <w:r>
              <w:rPr>
                <w:rFonts w:ascii="Arial" w:cs="Arial" w:eastAsia="Arial" w:hAnsi="Arial"/>
                <w:sz w:val="18"/>
                <w:szCs w:val="18"/>
                <w:color w:val="51555C"/>
              </w:rPr>
              <w:t>&lt; 36.5%</w:t>
            </w:r>
          </w:p>
        </w:tc>
        <w:tc>
          <w:tcPr>
            <w:tcW w:w="1080" w:type="dxa"/>
            <w:vAlign w:val="bottom"/>
            <w:tcBorders>
              <w:bottom w:val="single" w:sz="8" w:color="EBFBFF"/>
            </w:tcBorders>
            <w:shd w:val="clear" w:color="auto" w:fill="EBFBFF"/>
          </w:tcPr>
          <w:p>
            <w:pPr>
              <w:jc w:val="center"/>
              <w:spacing w:after="0"/>
              <w:rPr>
                <w:sz w:val="20"/>
                <w:szCs w:val="20"/>
                <w:color w:val="auto"/>
              </w:rPr>
            </w:pPr>
            <w:r>
              <w:rPr>
                <w:rFonts w:ascii="Arial" w:cs="Arial" w:eastAsia="Arial" w:hAnsi="Arial"/>
                <w:sz w:val="18"/>
                <w:szCs w:val="18"/>
                <w:color w:val="51555C"/>
              </w:rPr>
              <w:t>36.5%</w:t>
            </w:r>
          </w:p>
        </w:tc>
        <w:tc>
          <w:tcPr>
            <w:tcW w:w="1080" w:type="dxa"/>
            <w:vAlign w:val="bottom"/>
            <w:tcBorders>
              <w:bottom w:val="single" w:sz="8" w:color="EBFBFF"/>
            </w:tcBorders>
            <w:shd w:val="clear" w:color="auto" w:fill="EBFBFF"/>
          </w:tcPr>
          <w:p>
            <w:pPr>
              <w:jc w:val="center"/>
              <w:spacing w:after="0"/>
              <w:rPr>
                <w:sz w:val="20"/>
                <w:szCs w:val="20"/>
                <w:color w:val="auto"/>
              </w:rPr>
            </w:pPr>
            <w:r>
              <w:rPr>
                <w:rFonts w:ascii="Arial" w:cs="Arial" w:eastAsia="Arial" w:hAnsi="Arial"/>
                <w:sz w:val="18"/>
                <w:szCs w:val="18"/>
                <w:color w:val="51555C"/>
              </w:rPr>
              <w:t>40.5%</w:t>
            </w:r>
          </w:p>
        </w:tc>
        <w:tc>
          <w:tcPr>
            <w:tcW w:w="1080" w:type="dxa"/>
            <w:vAlign w:val="bottom"/>
            <w:tcBorders>
              <w:bottom w:val="single" w:sz="8" w:color="EBFBFF"/>
            </w:tcBorders>
            <w:shd w:val="clear" w:color="auto" w:fill="EBFBFF"/>
          </w:tcPr>
          <w:p>
            <w:pPr>
              <w:jc w:val="center"/>
              <w:spacing w:after="0"/>
              <w:rPr>
                <w:sz w:val="20"/>
                <w:szCs w:val="20"/>
                <w:color w:val="auto"/>
              </w:rPr>
            </w:pPr>
            <w:r>
              <w:rPr>
                <w:rFonts w:ascii="Arial" w:cs="Arial" w:eastAsia="Arial" w:hAnsi="Arial"/>
                <w:sz w:val="18"/>
                <w:szCs w:val="18"/>
                <w:color w:val="51555C"/>
              </w:rPr>
              <w:t>44.6%</w:t>
            </w:r>
          </w:p>
        </w:tc>
        <w:tc>
          <w:tcPr>
            <w:tcW w:w="1520" w:type="dxa"/>
            <w:vAlign w:val="bottom"/>
            <w:tcBorders>
              <w:bottom w:val="single" w:sz="8" w:color="EBFBFF"/>
            </w:tcBorders>
            <w:shd w:val="clear" w:color="auto" w:fill="EBFBFF"/>
          </w:tcPr>
          <w:p>
            <w:pPr>
              <w:jc w:val="center"/>
              <w:ind w:left="159"/>
              <w:spacing w:after="0"/>
              <w:rPr>
                <w:sz w:val="20"/>
                <w:szCs w:val="20"/>
                <w:color w:val="auto"/>
              </w:rPr>
            </w:pPr>
            <w:r>
              <w:rPr>
                <w:rFonts w:ascii="Arial" w:cs="Arial" w:eastAsia="Arial" w:hAnsi="Arial"/>
                <w:sz w:val="18"/>
                <w:szCs w:val="18"/>
                <w:color w:val="51555C"/>
              </w:rPr>
              <w:t>41.0%</w:t>
            </w:r>
          </w:p>
        </w:tc>
        <w:tc>
          <w:tcPr>
            <w:tcW w:w="1300" w:type="dxa"/>
            <w:vAlign w:val="bottom"/>
            <w:tcBorders>
              <w:bottom w:val="single" w:sz="8" w:color="EBFBFF"/>
            </w:tcBorders>
            <w:shd w:val="clear" w:color="auto" w:fill="EBFBFF"/>
          </w:tcPr>
          <w:p>
            <w:pPr>
              <w:jc w:val="center"/>
              <w:spacing w:after="0"/>
              <w:rPr>
                <w:sz w:val="20"/>
                <w:szCs w:val="20"/>
                <w:color w:val="auto"/>
              </w:rPr>
            </w:pPr>
            <w:r>
              <w:rPr>
                <w:rFonts w:ascii="Arial" w:cs="Arial" w:eastAsia="Arial" w:hAnsi="Arial"/>
                <w:sz w:val="18"/>
                <w:szCs w:val="18"/>
                <w:color w:val="51555C"/>
                <w:w w:val="98"/>
              </w:rPr>
              <w:t>101.2%</w:t>
            </w:r>
          </w:p>
        </w:tc>
        <w:tc>
          <w:tcPr>
            <w:tcW w:w="1300" w:type="dxa"/>
            <w:vAlign w:val="bottom"/>
            <w:tcBorders>
              <w:bottom w:val="single" w:sz="8" w:color="EBFBFF"/>
            </w:tcBorders>
            <w:shd w:val="clear" w:color="auto" w:fill="EBFBFF"/>
          </w:tcPr>
          <w:p>
            <w:pPr>
              <w:jc w:val="center"/>
              <w:spacing w:after="0"/>
              <w:rPr>
                <w:sz w:val="20"/>
                <w:szCs w:val="20"/>
                <w:color w:val="auto"/>
              </w:rPr>
            </w:pPr>
            <w:r>
              <w:rPr>
                <w:rFonts w:ascii="Arial" w:cs="Arial" w:eastAsia="Arial" w:hAnsi="Arial"/>
                <w:sz w:val="18"/>
                <w:szCs w:val="18"/>
                <w:color w:val="51555C"/>
                <w:w w:val="98"/>
              </w:rPr>
              <w:t>103.87%</w:t>
            </w:r>
          </w:p>
        </w:tc>
        <w:tc>
          <w:tcPr>
            <w:tcW w:w="20" w:type="dxa"/>
            <w:vAlign w:val="bottom"/>
          </w:tcPr>
          <w:p>
            <w:pPr>
              <w:spacing w:after="0"/>
              <w:rPr>
                <w:sz w:val="24"/>
                <w:szCs w:val="24"/>
                <w:color w:val="auto"/>
              </w:rPr>
            </w:pPr>
          </w:p>
        </w:tc>
      </w:tr>
      <w:tr>
        <w:trPr>
          <w:trHeight w:val="301"/>
        </w:trPr>
        <w:tc>
          <w:tcPr>
            <w:tcW w:w="1240" w:type="dxa"/>
            <w:vAlign w:val="bottom"/>
          </w:tcPr>
          <w:p>
            <w:pPr>
              <w:jc w:val="center"/>
              <w:spacing w:after="0"/>
              <w:rPr>
                <w:sz w:val="20"/>
                <w:szCs w:val="20"/>
                <w:color w:val="auto"/>
              </w:rPr>
            </w:pPr>
            <w:r>
              <w:rPr>
                <w:rFonts w:ascii="Arial" w:cs="Arial" w:eastAsia="Arial" w:hAnsi="Arial"/>
                <w:sz w:val="18"/>
                <w:szCs w:val="18"/>
                <w:color w:val="51555C"/>
                <w:w w:val="99"/>
              </w:rPr>
              <w:t>2023</w:t>
            </w:r>
          </w:p>
        </w:tc>
        <w:tc>
          <w:tcPr>
            <w:tcW w:w="1430" w:type="dxa"/>
            <w:vAlign w:val="bottom"/>
          </w:tcPr>
          <w:p>
            <w:pPr>
              <w:jc w:val="center"/>
              <w:ind w:right="29"/>
              <w:spacing w:after="0"/>
              <w:rPr>
                <w:sz w:val="20"/>
                <w:szCs w:val="20"/>
                <w:color w:val="auto"/>
              </w:rPr>
            </w:pPr>
            <w:r>
              <w:rPr>
                <w:rFonts w:ascii="Arial" w:cs="Arial" w:eastAsia="Arial" w:hAnsi="Arial"/>
                <w:sz w:val="18"/>
                <w:szCs w:val="18"/>
                <w:color w:val="51555C"/>
                <w:w w:val="99"/>
              </w:rPr>
              <w:t>2025</w:t>
            </w:r>
          </w:p>
        </w:tc>
        <w:tc>
          <w:tcPr>
            <w:tcW w:w="1210" w:type="dxa"/>
            <w:vAlign w:val="bottom"/>
            <w:gridSpan w:val="2"/>
          </w:tcPr>
          <w:p>
            <w:pPr>
              <w:jc w:val="center"/>
              <w:ind w:left="40"/>
              <w:spacing w:after="0"/>
              <w:rPr>
                <w:sz w:val="20"/>
                <w:szCs w:val="20"/>
                <w:color w:val="auto"/>
              </w:rPr>
            </w:pPr>
            <w:r>
              <w:rPr>
                <w:rFonts w:ascii="Arial" w:cs="Arial" w:eastAsia="Arial" w:hAnsi="Arial"/>
                <w:sz w:val="18"/>
                <w:szCs w:val="18"/>
                <w:color w:val="51555C"/>
              </w:rPr>
              <w:t>&lt; 34.0%</w:t>
            </w:r>
          </w:p>
        </w:tc>
        <w:tc>
          <w:tcPr>
            <w:tcW w:w="1080" w:type="dxa"/>
            <w:vAlign w:val="bottom"/>
          </w:tcPr>
          <w:p>
            <w:pPr>
              <w:jc w:val="center"/>
              <w:spacing w:after="0"/>
              <w:rPr>
                <w:sz w:val="20"/>
                <w:szCs w:val="20"/>
                <w:color w:val="auto"/>
              </w:rPr>
            </w:pPr>
            <w:r>
              <w:rPr>
                <w:rFonts w:ascii="Arial" w:cs="Arial" w:eastAsia="Arial" w:hAnsi="Arial"/>
                <w:sz w:val="18"/>
                <w:szCs w:val="18"/>
                <w:color w:val="51555C"/>
              </w:rPr>
              <w:t>34.0%</w:t>
            </w:r>
          </w:p>
        </w:tc>
        <w:tc>
          <w:tcPr>
            <w:tcW w:w="1080" w:type="dxa"/>
            <w:vAlign w:val="bottom"/>
          </w:tcPr>
          <w:p>
            <w:pPr>
              <w:jc w:val="center"/>
              <w:spacing w:after="0"/>
              <w:rPr>
                <w:sz w:val="20"/>
                <w:szCs w:val="20"/>
                <w:color w:val="auto"/>
              </w:rPr>
            </w:pPr>
            <w:r>
              <w:rPr>
                <w:rFonts w:ascii="Arial" w:cs="Arial" w:eastAsia="Arial" w:hAnsi="Arial"/>
                <w:sz w:val="18"/>
                <w:szCs w:val="18"/>
                <w:color w:val="51555C"/>
              </w:rPr>
              <w:t>38.0%</w:t>
            </w:r>
          </w:p>
        </w:tc>
        <w:tc>
          <w:tcPr>
            <w:tcW w:w="1080" w:type="dxa"/>
            <w:vAlign w:val="bottom"/>
          </w:tcPr>
          <w:p>
            <w:pPr>
              <w:jc w:val="center"/>
              <w:spacing w:after="0"/>
              <w:rPr>
                <w:sz w:val="20"/>
                <w:szCs w:val="20"/>
                <w:color w:val="auto"/>
              </w:rPr>
            </w:pPr>
            <w:r>
              <w:rPr>
                <w:rFonts w:ascii="Arial" w:cs="Arial" w:eastAsia="Arial" w:hAnsi="Arial"/>
                <w:sz w:val="18"/>
                <w:szCs w:val="18"/>
                <w:color w:val="51555C"/>
              </w:rPr>
              <w:t>42.0%</w:t>
            </w:r>
          </w:p>
        </w:tc>
        <w:tc>
          <w:tcPr>
            <w:tcW w:w="1520" w:type="dxa"/>
            <w:vAlign w:val="bottom"/>
          </w:tcPr>
          <w:p>
            <w:pPr>
              <w:jc w:val="center"/>
              <w:ind w:left="159"/>
              <w:spacing w:after="0"/>
              <w:rPr>
                <w:sz w:val="20"/>
                <w:szCs w:val="20"/>
                <w:color w:val="auto"/>
              </w:rPr>
            </w:pPr>
            <w:r>
              <w:rPr>
                <w:rFonts w:ascii="Arial" w:cs="Arial" w:eastAsia="Arial" w:hAnsi="Arial"/>
                <w:sz w:val="18"/>
                <w:szCs w:val="18"/>
                <w:color w:val="51555C"/>
              </w:rPr>
              <w:t>40.9%</w:t>
            </w:r>
          </w:p>
        </w:tc>
        <w:tc>
          <w:tcPr>
            <w:tcW w:w="1300" w:type="dxa"/>
            <w:vAlign w:val="bottom"/>
          </w:tcPr>
          <w:p>
            <w:pPr>
              <w:jc w:val="center"/>
              <w:spacing w:after="0"/>
              <w:rPr>
                <w:sz w:val="20"/>
                <w:szCs w:val="20"/>
                <w:color w:val="auto"/>
              </w:rPr>
            </w:pPr>
            <w:r>
              <w:rPr>
                <w:rFonts w:ascii="Arial" w:cs="Arial" w:eastAsia="Arial" w:hAnsi="Arial"/>
                <w:sz w:val="18"/>
                <w:szCs w:val="18"/>
                <w:color w:val="51555C"/>
                <w:w w:val="98"/>
              </w:rPr>
              <w:t>107.7%</w:t>
            </w:r>
          </w:p>
        </w:tc>
        <w:tc>
          <w:tcPr>
            <w:tcW w:w="1300" w:type="dxa"/>
            <w:vAlign w:val="bottom"/>
          </w:tcPr>
          <w:p>
            <w:pPr>
              <w:jc w:val="center"/>
              <w:spacing w:after="0"/>
              <w:rPr>
                <w:sz w:val="20"/>
                <w:szCs w:val="20"/>
                <w:color w:val="auto"/>
              </w:rPr>
            </w:pPr>
            <w:r>
              <w:rPr>
                <w:rFonts w:ascii="Arial" w:cs="Arial" w:eastAsia="Arial" w:hAnsi="Arial"/>
                <w:sz w:val="18"/>
                <w:szCs w:val="18"/>
                <w:color w:val="51555C"/>
                <w:w w:val="98"/>
              </w:rPr>
              <w:t>143.47%</w:t>
            </w:r>
          </w:p>
        </w:tc>
        <w:tc>
          <w:tcPr>
            <w:tcW w:w="20" w:type="dxa"/>
            <w:vAlign w:val="bottom"/>
          </w:tcPr>
          <w:p>
            <w:pPr>
              <w:spacing w:after="0"/>
              <w:rPr>
                <w:sz w:val="24"/>
                <w:szCs w:val="24"/>
                <w:color w:val="auto"/>
              </w:rPr>
            </w:pPr>
          </w:p>
        </w:tc>
      </w:tr>
      <w:tr>
        <w:trPr>
          <w:trHeight w:val="23"/>
        </w:trPr>
        <w:tc>
          <w:tcPr>
            <w:tcW w:w="1240" w:type="dxa"/>
            <w:vAlign w:val="bottom"/>
            <w:tcBorders>
              <w:bottom w:val="single" w:sz="8" w:color="0CD973"/>
            </w:tcBorders>
          </w:tcPr>
          <w:p>
            <w:pPr>
              <w:spacing w:after="0"/>
              <w:rPr>
                <w:sz w:val="2"/>
                <w:szCs w:val="2"/>
                <w:color w:val="auto"/>
              </w:rPr>
            </w:pPr>
          </w:p>
        </w:tc>
        <w:tc>
          <w:tcPr>
            <w:tcW w:w="1430" w:type="dxa"/>
            <w:vAlign w:val="bottom"/>
            <w:tcBorders>
              <w:bottom w:val="single" w:sz="8" w:color="0CD973"/>
            </w:tcBorders>
          </w:tcPr>
          <w:p>
            <w:pPr>
              <w:spacing w:after="0"/>
              <w:rPr>
                <w:sz w:val="2"/>
                <w:szCs w:val="2"/>
                <w:color w:val="auto"/>
              </w:rPr>
            </w:pPr>
          </w:p>
        </w:tc>
        <w:tc>
          <w:tcPr>
            <w:tcW w:w="150" w:type="dxa"/>
            <w:vAlign w:val="bottom"/>
            <w:tcBorders>
              <w:bottom w:val="single" w:sz="8" w:color="0CD973"/>
            </w:tcBorders>
          </w:tcPr>
          <w:p>
            <w:pPr>
              <w:spacing w:after="0"/>
              <w:rPr>
                <w:sz w:val="2"/>
                <w:szCs w:val="2"/>
                <w:color w:val="auto"/>
              </w:rPr>
            </w:pPr>
          </w:p>
        </w:tc>
        <w:tc>
          <w:tcPr>
            <w:tcW w:w="1060" w:type="dxa"/>
            <w:vAlign w:val="bottom"/>
            <w:tcBorders>
              <w:bottom w:val="single" w:sz="8" w:color="0CD973"/>
            </w:tcBorders>
          </w:tcPr>
          <w:p>
            <w:pPr>
              <w:spacing w:after="0"/>
              <w:rPr>
                <w:sz w:val="2"/>
                <w:szCs w:val="2"/>
                <w:color w:val="auto"/>
              </w:rPr>
            </w:pPr>
          </w:p>
        </w:tc>
        <w:tc>
          <w:tcPr>
            <w:tcW w:w="1080" w:type="dxa"/>
            <w:vAlign w:val="bottom"/>
            <w:tcBorders>
              <w:bottom w:val="single" w:sz="8" w:color="0CD973"/>
            </w:tcBorders>
          </w:tcPr>
          <w:p>
            <w:pPr>
              <w:spacing w:after="0"/>
              <w:rPr>
                <w:sz w:val="2"/>
                <w:szCs w:val="2"/>
                <w:color w:val="auto"/>
              </w:rPr>
            </w:pPr>
          </w:p>
        </w:tc>
        <w:tc>
          <w:tcPr>
            <w:tcW w:w="1080" w:type="dxa"/>
            <w:vAlign w:val="bottom"/>
            <w:tcBorders>
              <w:bottom w:val="single" w:sz="8" w:color="0CD973"/>
            </w:tcBorders>
          </w:tcPr>
          <w:p>
            <w:pPr>
              <w:spacing w:after="0"/>
              <w:rPr>
                <w:sz w:val="2"/>
                <w:szCs w:val="2"/>
                <w:color w:val="auto"/>
              </w:rPr>
            </w:pPr>
          </w:p>
        </w:tc>
        <w:tc>
          <w:tcPr>
            <w:tcW w:w="1080" w:type="dxa"/>
            <w:vAlign w:val="bottom"/>
            <w:tcBorders>
              <w:bottom w:val="single" w:sz="8" w:color="0CD973"/>
            </w:tcBorders>
          </w:tcPr>
          <w:p>
            <w:pPr>
              <w:spacing w:after="0"/>
              <w:rPr>
                <w:sz w:val="2"/>
                <w:szCs w:val="2"/>
                <w:color w:val="auto"/>
              </w:rPr>
            </w:pPr>
          </w:p>
        </w:tc>
        <w:tc>
          <w:tcPr>
            <w:tcW w:w="1520" w:type="dxa"/>
            <w:vAlign w:val="bottom"/>
            <w:tcBorders>
              <w:bottom w:val="single" w:sz="8" w:color="0CD973"/>
            </w:tcBorders>
          </w:tcPr>
          <w:p>
            <w:pPr>
              <w:spacing w:after="0"/>
              <w:rPr>
                <w:sz w:val="2"/>
                <w:szCs w:val="2"/>
                <w:color w:val="auto"/>
              </w:rPr>
            </w:pPr>
          </w:p>
        </w:tc>
        <w:tc>
          <w:tcPr>
            <w:tcW w:w="1300" w:type="dxa"/>
            <w:vAlign w:val="bottom"/>
            <w:tcBorders>
              <w:bottom w:val="single" w:sz="8" w:color="0CD973"/>
            </w:tcBorders>
          </w:tcPr>
          <w:p>
            <w:pPr>
              <w:spacing w:after="0"/>
              <w:rPr>
                <w:sz w:val="2"/>
                <w:szCs w:val="2"/>
                <w:color w:val="auto"/>
              </w:rPr>
            </w:pPr>
          </w:p>
        </w:tc>
        <w:tc>
          <w:tcPr>
            <w:tcW w:w="130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2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The following table provides information regarding the target number of PRSUs eligible to be earned and the number of PRSUs actually earned from Three-year PRSUs granted in prior years based on 2025 performance.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shd w:val="clear" w:color="auto" w:fill="004054"/>
          </w:tcPr>
          <w:p>
            <w:pPr>
              <w:spacing w:after="0"/>
              <w:rPr>
                <w:sz w:val="17"/>
                <w:szCs w:val="17"/>
                <w:color w:val="auto"/>
              </w:rPr>
            </w:pPr>
          </w:p>
        </w:tc>
        <w:tc>
          <w:tcPr>
            <w:tcW w:w="14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Fiscal Year</w:t>
            </w:r>
          </w:p>
        </w:tc>
        <w:tc>
          <w:tcPr>
            <w:tcW w:w="25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Target Number of PRSUs</w:t>
            </w:r>
          </w:p>
        </w:tc>
        <w:tc>
          <w:tcPr>
            <w:tcW w:w="25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 of PRSUs Earned</w:t>
            </w:r>
          </w:p>
        </w:tc>
        <w:tc>
          <w:tcPr>
            <w:tcW w:w="280" w:type="dxa"/>
            <w:vAlign w:val="bottom"/>
            <w:shd w:val="clear" w:color="auto" w:fill="004054"/>
          </w:tcPr>
          <w:p>
            <w:pPr>
              <w:spacing w:after="0"/>
              <w:rPr>
                <w:sz w:val="17"/>
                <w:szCs w:val="17"/>
                <w:color w:val="auto"/>
              </w:rPr>
            </w:pPr>
          </w:p>
        </w:tc>
        <w:tc>
          <w:tcPr>
            <w:tcW w:w="20" w:type="dxa"/>
            <w:vAlign w:val="bottom"/>
            <w:shd w:val="clear" w:color="auto" w:fill="004054"/>
          </w:tcPr>
          <w:p>
            <w:pPr>
              <w:spacing w:after="0"/>
              <w:rPr>
                <w:sz w:val="17"/>
                <w:szCs w:val="17"/>
                <w:color w:val="auto"/>
              </w:rPr>
            </w:pPr>
          </w:p>
        </w:tc>
      </w:tr>
      <w:tr>
        <w:trPr>
          <w:trHeight w:val="205"/>
        </w:trPr>
        <w:tc>
          <w:tcPr>
            <w:tcW w:w="43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Name</w:t>
            </w:r>
          </w:p>
        </w:tc>
        <w:tc>
          <w:tcPr>
            <w:tcW w:w="14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of Grant</w:t>
            </w:r>
          </w:p>
        </w:tc>
        <w:tc>
          <w:tcPr>
            <w:tcW w:w="25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Based on 2025 Performance</w:t>
            </w:r>
          </w:p>
        </w:tc>
        <w:tc>
          <w:tcPr>
            <w:tcW w:w="25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Based on 2025 Performance</w:t>
            </w:r>
          </w:p>
        </w:tc>
        <w:tc>
          <w:tcPr>
            <w:tcW w:w="280" w:type="dxa"/>
            <w:vAlign w:val="bottom"/>
            <w:tcBorders>
              <w:bottom w:val="single" w:sz="8" w:color="004054"/>
            </w:tcBorders>
            <w:shd w:val="clear" w:color="auto" w:fill="004054"/>
          </w:tcPr>
          <w:p>
            <w:pPr>
              <w:spacing w:after="0"/>
              <w:rPr>
                <w:sz w:val="17"/>
                <w:szCs w:val="17"/>
                <w:color w:val="auto"/>
              </w:rPr>
            </w:pPr>
          </w:p>
        </w:tc>
        <w:tc>
          <w:tcPr>
            <w:tcW w:w="20" w:type="dxa"/>
            <w:vAlign w:val="bottom"/>
            <w:tcBorders>
              <w:bottom w:val="single" w:sz="8" w:color="004054"/>
            </w:tcBorders>
            <w:shd w:val="clear" w:color="auto" w:fill="004054"/>
          </w:tcPr>
          <w:p>
            <w:pPr>
              <w:spacing w:after="0"/>
              <w:rPr>
                <w:sz w:val="17"/>
                <w:szCs w:val="17"/>
                <w:color w:val="auto"/>
              </w:rPr>
            </w:pPr>
          </w:p>
        </w:tc>
      </w:tr>
      <w:tr>
        <w:trPr>
          <w:trHeight w:val="309"/>
        </w:trPr>
        <w:tc>
          <w:tcPr>
            <w:tcW w:w="432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Mr. Gianoni</w:t>
            </w:r>
          </w:p>
        </w:tc>
        <w:tc>
          <w:tcPr>
            <w:tcW w:w="14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2024</w:t>
            </w:r>
          </w:p>
        </w:tc>
        <w:tc>
          <w:tcPr>
            <w:tcW w:w="25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10,753</w:t>
            </w:r>
          </w:p>
        </w:tc>
        <w:tc>
          <w:tcPr>
            <w:tcW w:w="25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11,170</w:t>
            </w:r>
          </w:p>
        </w:tc>
        <w:tc>
          <w:tcPr>
            <w:tcW w:w="280" w:type="dxa"/>
            <w:vAlign w:val="bottom"/>
            <w:shd w:val="clear" w:color="auto" w:fill="EBFBFF"/>
          </w:tcPr>
          <w:p>
            <w:pPr>
              <w:jc w:val="right"/>
              <w:ind w:right="66"/>
              <w:spacing w:after="0"/>
              <w:rPr>
                <w:sz w:val="20"/>
                <w:szCs w:val="20"/>
                <w:color w:val="auto"/>
              </w:rPr>
            </w:pPr>
            <w:r>
              <w:rPr>
                <w:rFonts w:ascii="Arial" w:cs="Arial" w:eastAsia="Arial" w:hAnsi="Arial"/>
                <w:sz w:val="11"/>
                <w:szCs w:val="11"/>
                <w:color w:val="51555C"/>
              </w:rPr>
              <w:t>(1)</w:t>
            </w:r>
          </w:p>
        </w:tc>
        <w:tc>
          <w:tcPr>
            <w:tcW w:w="20" w:type="dxa"/>
            <w:vAlign w:val="bottom"/>
          </w:tcPr>
          <w:p>
            <w:pPr>
              <w:spacing w:after="0"/>
              <w:rPr>
                <w:sz w:val="24"/>
                <w:szCs w:val="24"/>
                <w:color w:val="auto"/>
              </w:rPr>
            </w:pPr>
          </w:p>
        </w:tc>
      </w:tr>
      <w:tr>
        <w:trPr>
          <w:trHeight w:val="319"/>
        </w:trPr>
        <w:tc>
          <w:tcPr>
            <w:tcW w:w="4320" w:type="dxa"/>
            <w:vAlign w:val="bottom"/>
            <w:tcBorders>
              <w:bottom w:val="single" w:sz="8" w:color="EBFBFF"/>
            </w:tcBorders>
            <w:shd w:val="clear" w:color="auto" w:fill="EBFBFF"/>
          </w:tcPr>
          <w:p>
            <w:pPr>
              <w:spacing w:after="0"/>
              <w:rPr>
                <w:sz w:val="24"/>
                <w:szCs w:val="24"/>
                <w:color w:val="auto"/>
              </w:rPr>
            </w:pP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2023</w:t>
            </w:r>
          </w:p>
        </w:tc>
        <w:tc>
          <w:tcPr>
            <w:tcW w:w="25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10,893</w:t>
            </w:r>
          </w:p>
        </w:tc>
        <w:tc>
          <w:tcPr>
            <w:tcW w:w="25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15,629</w:t>
            </w:r>
          </w:p>
        </w:tc>
        <w:tc>
          <w:tcPr>
            <w:tcW w:w="280" w:type="dxa"/>
            <w:vAlign w:val="bottom"/>
            <w:tcBorders>
              <w:bottom w:val="single" w:sz="8" w:color="EBFBFF"/>
            </w:tcBorders>
            <w:shd w:val="clear" w:color="auto" w:fill="EBFBFF"/>
          </w:tcPr>
          <w:p>
            <w:pPr>
              <w:jc w:val="right"/>
              <w:ind w:right="66"/>
              <w:spacing w:after="0"/>
              <w:rPr>
                <w:sz w:val="20"/>
                <w:szCs w:val="20"/>
                <w:color w:val="auto"/>
              </w:rPr>
            </w:pPr>
            <w:r>
              <w:rPr>
                <w:rFonts w:ascii="Arial" w:cs="Arial" w:eastAsia="Arial" w:hAnsi="Arial"/>
                <w:sz w:val="11"/>
                <w:szCs w:val="11"/>
                <w:color w:val="51555C"/>
              </w:rPr>
              <w:t>(2)</w:t>
            </w:r>
          </w:p>
        </w:tc>
        <w:tc>
          <w:tcPr>
            <w:tcW w:w="20" w:type="dxa"/>
            <w:vAlign w:val="bottom"/>
          </w:tcPr>
          <w:p>
            <w:pPr>
              <w:spacing w:after="0"/>
              <w:rPr>
                <w:sz w:val="24"/>
                <w:szCs w:val="24"/>
                <w:color w:val="auto"/>
              </w:rPr>
            </w:pPr>
          </w:p>
        </w:tc>
      </w:tr>
      <w:tr>
        <w:trPr>
          <w:trHeight w:val="309"/>
        </w:trPr>
        <w:tc>
          <w:tcPr>
            <w:tcW w:w="4320" w:type="dxa"/>
            <w:vAlign w:val="bottom"/>
          </w:tcPr>
          <w:p>
            <w:pPr>
              <w:ind w:left="20"/>
              <w:spacing w:after="0"/>
              <w:rPr>
                <w:sz w:val="20"/>
                <w:szCs w:val="20"/>
                <w:color w:val="auto"/>
              </w:rPr>
            </w:pPr>
            <w:r>
              <w:rPr>
                <w:rFonts w:ascii="Arial" w:cs="Arial" w:eastAsia="Arial" w:hAnsi="Arial"/>
                <w:sz w:val="18"/>
                <w:szCs w:val="18"/>
                <w:b w:val="1"/>
                <w:bCs w:val="1"/>
                <w:color w:val="51555C"/>
              </w:rPr>
              <w:t>Mr. Anderson</w:t>
            </w:r>
          </w:p>
        </w:tc>
        <w:tc>
          <w:tcPr>
            <w:tcW w:w="1480" w:type="dxa"/>
            <w:vAlign w:val="bottom"/>
          </w:tcPr>
          <w:p>
            <w:pPr>
              <w:jc w:val="right"/>
              <w:spacing w:after="0"/>
              <w:rPr>
                <w:sz w:val="20"/>
                <w:szCs w:val="20"/>
                <w:color w:val="auto"/>
              </w:rPr>
            </w:pPr>
            <w:r>
              <w:rPr>
                <w:rFonts w:ascii="Arial" w:cs="Arial" w:eastAsia="Arial" w:hAnsi="Arial"/>
                <w:sz w:val="18"/>
                <w:szCs w:val="18"/>
                <w:color w:val="51555C"/>
              </w:rPr>
              <w:t>2024</w:t>
            </w:r>
          </w:p>
        </w:tc>
        <w:tc>
          <w:tcPr>
            <w:tcW w:w="2580" w:type="dxa"/>
            <w:vAlign w:val="bottom"/>
          </w:tcPr>
          <w:p>
            <w:pPr>
              <w:jc w:val="right"/>
              <w:spacing w:after="0"/>
              <w:rPr>
                <w:sz w:val="20"/>
                <w:szCs w:val="20"/>
                <w:color w:val="auto"/>
              </w:rPr>
            </w:pPr>
            <w:r>
              <w:rPr>
                <w:rFonts w:ascii="Arial" w:cs="Arial" w:eastAsia="Arial" w:hAnsi="Arial"/>
                <w:sz w:val="18"/>
                <w:szCs w:val="18"/>
                <w:color w:val="51555C"/>
              </w:rPr>
              <w:t>409</w:t>
            </w:r>
          </w:p>
        </w:tc>
        <w:tc>
          <w:tcPr>
            <w:tcW w:w="2580" w:type="dxa"/>
            <w:vAlign w:val="bottom"/>
          </w:tcPr>
          <w:p>
            <w:pPr>
              <w:jc w:val="right"/>
              <w:spacing w:after="0"/>
              <w:rPr>
                <w:sz w:val="20"/>
                <w:szCs w:val="20"/>
                <w:color w:val="auto"/>
              </w:rPr>
            </w:pPr>
            <w:r>
              <w:rPr>
                <w:rFonts w:ascii="Arial" w:cs="Arial" w:eastAsia="Arial" w:hAnsi="Arial"/>
                <w:sz w:val="18"/>
                <w:szCs w:val="18"/>
                <w:color w:val="51555C"/>
              </w:rPr>
              <w:t>425</w:t>
            </w:r>
          </w:p>
        </w:tc>
        <w:tc>
          <w:tcPr>
            <w:tcW w:w="280" w:type="dxa"/>
            <w:vAlign w:val="bottom"/>
          </w:tcPr>
          <w:p>
            <w:pPr>
              <w:jc w:val="right"/>
              <w:ind w:right="66"/>
              <w:spacing w:after="0"/>
              <w:rPr>
                <w:sz w:val="20"/>
                <w:szCs w:val="20"/>
                <w:color w:val="auto"/>
              </w:rPr>
            </w:pPr>
            <w:r>
              <w:rPr>
                <w:rFonts w:ascii="Arial" w:cs="Arial" w:eastAsia="Arial" w:hAnsi="Arial"/>
                <w:sz w:val="11"/>
                <w:szCs w:val="11"/>
                <w:color w:val="51555C"/>
              </w:rPr>
              <w:t>(1)</w:t>
            </w:r>
          </w:p>
        </w:tc>
        <w:tc>
          <w:tcPr>
            <w:tcW w:w="20" w:type="dxa"/>
            <w:vAlign w:val="bottom"/>
          </w:tcPr>
          <w:p>
            <w:pPr>
              <w:spacing w:after="0"/>
              <w:rPr>
                <w:sz w:val="24"/>
                <w:szCs w:val="24"/>
                <w:color w:val="auto"/>
              </w:rPr>
            </w:pPr>
          </w:p>
        </w:tc>
      </w:tr>
      <w:tr>
        <w:trPr>
          <w:trHeight w:val="316"/>
        </w:trPr>
        <w:tc>
          <w:tcPr>
            <w:tcW w:w="43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51555C"/>
              </w:rPr>
              <w:t>2023</w:t>
            </w:r>
          </w:p>
        </w:tc>
        <w:tc>
          <w:tcPr>
            <w:tcW w:w="2580" w:type="dxa"/>
            <w:vAlign w:val="bottom"/>
          </w:tcPr>
          <w:p>
            <w:pPr>
              <w:jc w:val="right"/>
              <w:spacing w:after="0"/>
              <w:rPr>
                <w:sz w:val="20"/>
                <w:szCs w:val="20"/>
                <w:color w:val="auto"/>
              </w:rPr>
            </w:pPr>
            <w:r>
              <w:rPr>
                <w:rFonts w:ascii="Arial" w:cs="Arial" w:eastAsia="Arial" w:hAnsi="Arial"/>
                <w:sz w:val="18"/>
                <w:szCs w:val="18"/>
                <w:color w:val="51555C"/>
              </w:rPr>
              <w:t>545</w:t>
            </w:r>
          </w:p>
        </w:tc>
        <w:tc>
          <w:tcPr>
            <w:tcW w:w="2580" w:type="dxa"/>
            <w:vAlign w:val="bottom"/>
          </w:tcPr>
          <w:p>
            <w:pPr>
              <w:jc w:val="right"/>
              <w:spacing w:after="0"/>
              <w:rPr>
                <w:sz w:val="20"/>
                <w:szCs w:val="20"/>
                <w:color w:val="auto"/>
              </w:rPr>
            </w:pPr>
            <w:r>
              <w:rPr>
                <w:rFonts w:ascii="Arial" w:cs="Arial" w:eastAsia="Arial" w:hAnsi="Arial"/>
                <w:sz w:val="18"/>
                <w:szCs w:val="18"/>
                <w:color w:val="51555C"/>
              </w:rPr>
              <w:t>782</w:t>
            </w:r>
          </w:p>
        </w:tc>
        <w:tc>
          <w:tcPr>
            <w:tcW w:w="280" w:type="dxa"/>
            <w:vAlign w:val="bottom"/>
          </w:tcPr>
          <w:p>
            <w:pPr>
              <w:jc w:val="right"/>
              <w:ind w:right="66"/>
              <w:spacing w:after="0"/>
              <w:rPr>
                <w:sz w:val="20"/>
                <w:szCs w:val="20"/>
                <w:color w:val="auto"/>
              </w:rPr>
            </w:pPr>
            <w:r>
              <w:rPr>
                <w:rFonts w:ascii="Arial" w:cs="Arial" w:eastAsia="Arial" w:hAnsi="Arial"/>
                <w:sz w:val="11"/>
                <w:szCs w:val="11"/>
                <w:color w:val="51555C"/>
              </w:rPr>
              <w:t>(2)</w:t>
            </w:r>
          </w:p>
        </w:tc>
        <w:tc>
          <w:tcPr>
            <w:tcW w:w="20" w:type="dxa"/>
            <w:vAlign w:val="bottom"/>
          </w:tcPr>
          <w:p>
            <w:pPr>
              <w:spacing w:after="0"/>
              <w:rPr>
                <w:sz w:val="24"/>
                <w:szCs w:val="24"/>
                <w:color w:val="auto"/>
              </w:rPr>
            </w:pPr>
          </w:p>
        </w:tc>
      </w:tr>
      <w:tr>
        <w:trPr>
          <w:trHeight w:val="23"/>
        </w:trPr>
        <w:tc>
          <w:tcPr>
            <w:tcW w:w="4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9"/>
        </w:trPr>
        <w:tc>
          <w:tcPr>
            <w:tcW w:w="432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Mr. Boor</w:t>
            </w:r>
          </w:p>
        </w:tc>
        <w:tc>
          <w:tcPr>
            <w:tcW w:w="14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2024</w:t>
            </w:r>
          </w:p>
        </w:tc>
        <w:tc>
          <w:tcPr>
            <w:tcW w:w="25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4,096</w:t>
            </w:r>
          </w:p>
        </w:tc>
        <w:tc>
          <w:tcPr>
            <w:tcW w:w="25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4,255</w:t>
            </w:r>
          </w:p>
        </w:tc>
        <w:tc>
          <w:tcPr>
            <w:tcW w:w="280" w:type="dxa"/>
            <w:vAlign w:val="bottom"/>
            <w:shd w:val="clear" w:color="auto" w:fill="EBFBFF"/>
          </w:tcPr>
          <w:p>
            <w:pPr>
              <w:jc w:val="right"/>
              <w:ind w:right="66"/>
              <w:spacing w:after="0"/>
              <w:rPr>
                <w:sz w:val="20"/>
                <w:szCs w:val="20"/>
                <w:color w:val="auto"/>
              </w:rPr>
            </w:pPr>
            <w:r>
              <w:rPr>
                <w:rFonts w:ascii="Arial" w:cs="Arial" w:eastAsia="Arial" w:hAnsi="Arial"/>
                <w:sz w:val="11"/>
                <w:szCs w:val="11"/>
                <w:color w:val="51555C"/>
              </w:rPr>
              <w:t>(1)</w:t>
            </w:r>
          </w:p>
        </w:tc>
        <w:tc>
          <w:tcPr>
            <w:tcW w:w="20" w:type="dxa"/>
            <w:vAlign w:val="bottom"/>
          </w:tcPr>
          <w:p>
            <w:pPr>
              <w:spacing w:after="0"/>
              <w:rPr>
                <w:sz w:val="24"/>
                <w:szCs w:val="24"/>
                <w:color w:val="auto"/>
              </w:rPr>
            </w:pPr>
          </w:p>
        </w:tc>
      </w:tr>
      <w:tr>
        <w:trPr>
          <w:trHeight w:val="319"/>
        </w:trPr>
        <w:tc>
          <w:tcPr>
            <w:tcW w:w="4320" w:type="dxa"/>
            <w:vAlign w:val="bottom"/>
            <w:tcBorders>
              <w:bottom w:val="single" w:sz="8" w:color="EBFBFF"/>
            </w:tcBorders>
            <w:shd w:val="clear" w:color="auto" w:fill="EBFBFF"/>
          </w:tcPr>
          <w:p>
            <w:pPr>
              <w:spacing w:after="0"/>
              <w:rPr>
                <w:sz w:val="24"/>
                <w:szCs w:val="24"/>
                <w:color w:val="auto"/>
              </w:rPr>
            </w:pP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2023</w:t>
            </w:r>
          </w:p>
        </w:tc>
        <w:tc>
          <w:tcPr>
            <w:tcW w:w="25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4,357</w:t>
            </w:r>
          </w:p>
        </w:tc>
        <w:tc>
          <w:tcPr>
            <w:tcW w:w="25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6,251</w:t>
            </w:r>
          </w:p>
        </w:tc>
        <w:tc>
          <w:tcPr>
            <w:tcW w:w="280" w:type="dxa"/>
            <w:vAlign w:val="bottom"/>
            <w:tcBorders>
              <w:bottom w:val="single" w:sz="8" w:color="EBFBFF"/>
            </w:tcBorders>
            <w:shd w:val="clear" w:color="auto" w:fill="EBFBFF"/>
          </w:tcPr>
          <w:p>
            <w:pPr>
              <w:jc w:val="right"/>
              <w:ind w:right="66"/>
              <w:spacing w:after="0"/>
              <w:rPr>
                <w:sz w:val="20"/>
                <w:szCs w:val="20"/>
                <w:color w:val="auto"/>
              </w:rPr>
            </w:pPr>
            <w:r>
              <w:rPr>
                <w:rFonts w:ascii="Arial" w:cs="Arial" w:eastAsia="Arial" w:hAnsi="Arial"/>
                <w:sz w:val="11"/>
                <w:szCs w:val="11"/>
                <w:color w:val="51555C"/>
              </w:rPr>
              <w:t>(2)</w:t>
            </w:r>
          </w:p>
        </w:tc>
        <w:tc>
          <w:tcPr>
            <w:tcW w:w="20" w:type="dxa"/>
            <w:vAlign w:val="bottom"/>
          </w:tcPr>
          <w:p>
            <w:pPr>
              <w:spacing w:after="0"/>
              <w:rPr>
                <w:sz w:val="24"/>
                <w:szCs w:val="24"/>
                <w:color w:val="auto"/>
              </w:rPr>
            </w:pPr>
          </w:p>
        </w:tc>
      </w:tr>
      <w:tr>
        <w:trPr>
          <w:trHeight w:val="309"/>
        </w:trPr>
        <w:tc>
          <w:tcPr>
            <w:tcW w:w="4320" w:type="dxa"/>
            <w:vAlign w:val="bottom"/>
          </w:tcPr>
          <w:p>
            <w:pPr>
              <w:ind w:left="20"/>
              <w:spacing w:after="0"/>
              <w:rPr>
                <w:sz w:val="20"/>
                <w:szCs w:val="20"/>
                <w:color w:val="auto"/>
              </w:rPr>
            </w:pPr>
            <w:r>
              <w:rPr>
                <w:rFonts w:ascii="Arial" w:cs="Arial" w:eastAsia="Arial" w:hAnsi="Arial"/>
                <w:sz w:val="18"/>
                <w:szCs w:val="18"/>
                <w:b w:val="1"/>
                <w:bCs w:val="1"/>
                <w:color w:val="51555C"/>
              </w:rPr>
              <w:t>Mr. Benjamin</w:t>
            </w:r>
          </w:p>
        </w:tc>
        <w:tc>
          <w:tcPr>
            <w:tcW w:w="1480" w:type="dxa"/>
            <w:vAlign w:val="bottom"/>
          </w:tcPr>
          <w:p>
            <w:pPr>
              <w:jc w:val="right"/>
              <w:spacing w:after="0"/>
              <w:rPr>
                <w:sz w:val="20"/>
                <w:szCs w:val="20"/>
                <w:color w:val="auto"/>
              </w:rPr>
            </w:pPr>
            <w:r>
              <w:rPr>
                <w:rFonts w:ascii="Arial" w:cs="Arial" w:eastAsia="Arial" w:hAnsi="Arial"/>
                <w:sz w:val="18"/>
                <w:szCs w:val="18"/>
                <w:color w:val="51555C"/>
              </w:rPr>
              <w:t>2024</w:t>
            </w:r>
          </w:p>
        </w:tc>
        <w:tc>
          <w:tcPr>
            <w:tcW w:w="2580" w:type="dxa"/>
            <w:vAlign w:val="bottom"/>
          </w:tcPr>
          <w:p>
            <w:pPr>
              <w:jc w:val="right"/>
              <w:spacing w:after="0"/>
              <w:rPr>
                <w:sz w:val="20"/>
                <w:szCs w:val="20"/>
                <w:color w:val="auto"/>
              </w:rPr>
            </w:pPr>
            <w:r>
              <w:rPr>
                <w:rFonts w:ascii="Arial" w:cs="Arial" w:eastAsia="Arial" w:hAnsi="Arial"/>
                <w:sz w:val="18"/>
                <w:szCs w:val="18"/>
                <w:color w:val="51555C"/>
              </w:rPr>
              <w:t>2,663</w:t>
            </w:r>
          </w:p>
        </w:tc>
        <w:tc>
          <w:tcPr>
            <w:tcW w:w="2580" w:type="dxa"/>
            <w:vAlign w:val="bottom"/>
          </w:tcPr>
          <w:p>
            <w:pPr>
              <w:jc w:val="right"/>
              <w:spacing w:after="0"/>
              <w:rPr>
                <w:sz w:val="20"/>
                <w:szCs w:val="20"/>
                <w:color w:val="auto"/>
              </w:rPr>
            </w:pPr>
            <w:r>
              <w:rPr>
                <w:rFonts w:ascii="Arial" w:cs="Arial" w:eastAsia="Arial" w:hAnsi="Arial"/>
                <w:sz w:val="18"/>
                <w:szCs w:val="18"/>
                <w:color w:val="51555C"/>
              </w:rPr>
              <w:t>2,767</w:t>
            </w:r>
          </w:p>
        </w:tc>
        <w:tc>
          <w:tcPr>
            <w:tcW w:w="280" w:type="dxa"/>
            <w:vAlign w:val="bottom"/>
          </w:tcPr>
          <w:p>
            <w:pPr>
              <w:jc w:val="right"/>
              <w:ind w:right="66"/>
              <w:spacing w:after="0"/>
              <w:rPr>
                <w:sz w:val="20"/>
                <w:szCs w:val="20"/>
                <w:color w:val="auto"/>
              </w:rPr>
            </w:pPr>
            <w:r>
              <w:rPr>
                <w:rFonts w:ascii="Arial" w:cs="Arial" w:eastAsia="Arial" w:hAnsi="Arial"/>
                <w:sz w:val="11"/>
                <w:szCs w:val="11"/>
                <w:color w:val="51555C"/>
              </w:rPr>
              <w:t>(1)</w:t>
            </w:r>
          </w:p>
        </w:tc>
        <w:tc>
          <w:tcPr>
            <w:tcW w:w="20" w:type="dxa"/>
            <w:vAlign w:val="bottom"/>
          </w:tcPr>
          <w:p>
            <w:pPr>
              <w:spacing w:after="0"/>
              <w:rPr>
                <w:sz w:val="24"/>
                <w:szCs w:val="24"/>
                <w:color w:val="auto"/>
              </w:rPr>
            </w:pPr>
          </w:p>
        </w:tc>
      </w:tr>
      <w:tr>
        <w:trPr>
          <w:trHeight w:val="316"/>
        </w:trPr>
        <w:tc>
          <w:tcPr>
            <w:tcW w:w="43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51555C"/>
              </w:rPr>
              <w:t>2023</w:t>
            </w:r>
          </w:p>
        </w:tc>
        <w:tc>
          <w:tcPr>
            <w:tcW w:w="2580" w:type="dxa"/>
            <w:vAlign w:val="bottom"/>
          </w:tcPr>
          <w:p>
            <w:pPr>
              <w:jc w:val="right"/>
              <w:spacing w:after="0"/>
              <w:rPr>
                <w:sz w:val="20"/>
                <w:szCs w:val="20"/>
                <w:color w:val="auto"/>
              </w:rPr>
            </w:pPr>
            <w:r>
              <w:rPr>
                <w:rFonts w:ascii="Arial" w:cs="Arial" w:eastAsia="Arial" w:hAnsi="Arial"/>
                <w:sz w:val="18"/>
                <w:szCs w:val="18"/>
                <w:color w:val="51555C"/>
              </w:rPr>
              <w:t>3,404</w:t>
            </w:r>
          </w:p>
        </w:tc>
        <w:tc>
          <w:tcPr>
            <w:tcW w:w="2580" w:type="dxa"/>
            <w:vAlign w:val="bottom"/>
          </w:tcPr>
          <w:p>
            <w:pPr>
              <w:jc w:val="right"/>
              <w:spacing w:after="0"/>
              <w:rPr>
                <w:sz w:val="20"/>
                <w:szCs w:val="20"/>
                <w:color w:val="auto"/>
              </w:rPr>
            </w:pPr>
            <w:r>
              <w:rPr>
                <w:rFonts w:ascii="Arial" w:cs="Arial" w:eastAsia="Arial" w:hAnsi="Arial"/>
                <w:sz w:val="18"/>
                <w:szCs w:val="18"/>
                <w:color w:val="51555C"/>
              </w:rPr>
              <w:t>4,884</w:t>
            </w:r>
          </w:p>
        </w:tc>
        <w:tc>
          <w:tcPr>
            <w:tcW w:w="280" w:type="dxa"/>
            <w:vAlign w:val="bottom"/>
          </w:tcPr>
          <w:p>
            <w:pPr>
              <w:jc w:val="right"/>
              <w:ind w:right="66"/>
              <w:spacing w:after="0"/>
              <w:rPr>
                <w:sz w:val="20"/>
                <w:szCs w:val="20"/>
                <w:color w:val="auto"/>
              </w:rPr>
            </w:pPr>
            <w:r>
              <w:rPr>
                <w:rFonts w:ascii="Arial" w:cs="Arial" w:eastAsia="Arial" w:hAnsi="Arial"/>
                <w:sz w:val="11"/>
                <w:szCs w:val="11"/>
                <w:color w:val="51555C"/>
              </w:rPr>
              <w:t>(2)</w:t>
            </w:r>
          </w:p>
        </w:tc>
        <w:tc>
          <w:tcPr>
            <w:tcW w:w="20" w:type="dxa"/>
            <w:vAlign w:val="bottom"/>
          </w:tcPr>
          <w:p>
            <w:pPr>
              <w:spacing w:after="0"/>
              <w:rPr>
                <w:sz w:val="24"/>
                <w:szCs w:val="24"/>
                <w:color w:val="auto"/>
              </w:rPr>
            </w:pPr>
          </w:p>
        </w:tc>
      </w:tr>
      <w:tr>
        <w:trPr>
          <w:trHeight w:val="23"/>
        </w:trPr>
        <w:tc>
          <w:tcPr>
            <w:tcW w:w="4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9"/>
        </w:trPr>
        <w:tc>
          <w:tcPr>
            <w:tcW w:w="432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Mr. Gregoire</w:t>
            </w:r>
          </w:p>
        </w:tc>
        <w:tc>
          <w:tcPr>
            <w:tcW w:w="14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2024</w:t>
            </w:r>
          </w:p>
        </w:tc>
        <w:tc>
          <w:tcPr>
            <w:tcW w:w="25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3,328</w:t>
            </w:r>
          </w:p>
        </w:tc>
        <w:tc>
          <w:tcPr>
            <w:tcW w:w="25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3,457</w:t>
            </w:r>
          </w:p>
        </w:tc>
        <w:tc>
          <w:tcPr>
            <w:tcW w:w="280" w:type="dxa"/>
            <w:vAlign w:val="bottom"/>
            <w:shd w:val="clear" w:color="auto" w:fill="EBFBFF"/>
          </w:tcPr>
          <w:p>
            <w:pPr>
              <w:jc w:val="right"/>
              <w:ind w:right="66"/>
              <w:spacing w:after="0"/>
              <w:rPr>
                <w:sz w:val="20"/>
                <w:szCs w:val="20"/>
                <w:color w:val="auto"/>
              </w:rPr>
            </w:pPr>
            <w:r>
              <w:rPr>
                <w:rFonts w:ascii="Arial" w:cs="Arial" w:eastAsia="Arial" w:hAnsi="Arial"/>
                <w:sz w:val="11"/>
                <w:szCs w:val="11"/>
                <w:color w:val="51555C"/>
              </w:rPr>
              <w:t>(1)</w:t>
            </w:r>
          </w:p>
        </w:tc>
        <w:tc>
          <w:tcPr>
            <w:tcW w:w="20" w:type="dxa"/>
            <w:vAlign w:val="bottom"/>
          </w:tcPr>
          <w:p>
            <w:pPr>
              <w:spacing w:after="0"/>
              <w:rPr>
                <w:sz w:val="24"/>
                <w:szCs w:val="24"/>
                <w:color w:val="auto"/>
              </w:rPr>
            </w:pPr>
          </w:p>
        </w:tc>
      </w:tr>
      <w:tr>
        <w:trPr>
          <w:trHeight w:val="319"/>
        </w:trPr>
        <w:tc>
          <w:tcPr>
            <w:tcW w:w="4320" w:type="dxa"/>
            <w:vAlign w:val="bottom"/>
            <w:tcBorders>
              <w:bottom w:val="single" w:sz="8" w:color="EBFBFF"/>
            </w:tcBorders>
            <w:shd w:val="clear" w:color="auto" w:fill="EBFBFF"/>
          </w:tcPr>
          <w:p>
            <w:pPr>
              <w:spacing w:after="0"/>
              <w:rPr>
                <w:sz w:val="24"/>
                <w:szCs w:val="24"/>
                <w:color w:val="auto"/>
              </w:rPr>
            </w:pP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2023</w:t>
            </w:r>
          </w:p>
        </w:tc>
        <w:tc>
          <w:tcPr>
            <w:tcW w:w="25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3,677</w:t>
            </w:r>
          </w:p>
        </w:tc>
        <w:tc>
          <w:tcPr>
            <w:tcW w:w="25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5,276</w:t>
            </w:r>
          </w:p>
        </w:tc>
        <w:tc>
          <w:tcPr>
            <w:tcW w:w="280" w:type="dxa"/>
            <w:vAlign w:val="bottom"/>
            <w:tcBorders>
              <w:bottom w:val="single" w:sz="8" w:color="EBFBFF"/>
            </w:tcBorders>
            <w:shd w:val="clear" w:color="auto" w:fill="EBFBFF"/>
          </w:tcPr>
          <w:p>
            <w:pPr>
              <w:jc w:val="right"/>
              <w:ind w:right="66"/>
              <w:spacing w:after="0"/>
              <w:rPr>
                <w:sz w:val="20"/>
                <w:szCs w:val="20"/>
                <w:color w:val="auto"/>
              </w:rPr>
            </w:pPr>
            <w:r>
              <w:rPr>
                <w:rFonts w:ascii="Arial" w:cs="Arial" w:eastAsia="Arial" w:hAnsi="Arial"/>
                <w:sz w:val="11"/>
                <w:szCs w:val="11"/>
                <w:color w:val="51555C"/>
              </w:rPr>
              <w:t>(2)</w:t>
            </w:r>
          </w:p>
        </w:tc>
        <w:tc>
          <w:tcPr>
            <w:tcW w:w="20" w:type="dxa"/>
            <w:vAlign w:val="bottom"/>
          </w:tcPr>
          <w:p>
            <w:pPr>
              <w:spacing w:after="0"/>
              <w:rPr>
                <w:sz w:val="24"/>
                <w:szCs w:val="24"/>
                <w:color w:val="auto"/>
              </w:rPr>
            </w:pPr>
          </w:p>
        </w:tc>
      </w:tr>
      <w:tr>
        <w:trPr>
          <w:trHeight w:val="309"/>
        </w:trPr>
        <w:tc>
          <w:tcPr>
            <w:tcW w:w="4320" w:type="dxa"/>
            <w:vAlign w:val="bottom"/>
          </w:tcPr>
          <w:p>
            <w:pPr>
              <w:ind w:left="20"/>
              <w:spacing w:after="0"/>
              <w:rPr>
                <w:sz w:val="20"/>
                <w:szCs w:val="20"/>
                <w:color w:val="auto"/>
              </w:rPr>
            </w:pPr>
            <w:r>
              <w:rPr>
                <w:rFonts w:ascii="Arial" w:cs="Arial" w:eastAsia="Arial" w:hAnsi="Arial"/>
                <w:sz w:val="18"/>
                <w:szCs w:val="18"/>
                <w:b w:val="1"/>
                <w:bCs w:val="1"/>
                <w:color w:val="51555C"/>
              </w:rPr>
              <w:t>Mr. McDearis</w:t>
            </w:r>
          </w:p>
        </w:tc>
        <w:tc>
          <w:tcPr>
            <w:tcW w:w="1480" w:type="dxa"/>
            <w:vAlign w:val="bottom"/>
          </w:tcPr>
          <w:p>
            <w:pPr>
              <w:jc w:val="right"/>
              <w:spacing w:after="0"/>
              <w:rPr>
                <w:sz w:val="20"/>
                <w:szCs w:val="20"/>
                <w:color w:val="auto"/>
              </w:rPr>
            </w:pPr>
            <w:r>
              <w:rPr>
                <w:rFonts w:ascii="Arial" w:cs="Arial" w:eastAsia="Arial" w:hAnsi="Arial"/>
                <w:sz w:val="18"/>
                <w:szCs w:val="18"/>
                <w:color w:val="51555C"/>
              </w:rPr>
              <w:t>2024</w:t>
            </w:r>
          </w:p>
        </w:tc>
        <w:tc>
          <w:tcPr>
            <w:tcW w:w="2580" w:type="dxa"/>
            <w:vAlign w:val="bottom"/>
          </w:tcPr>
          <w:p>
            <w:pPr>
              <w:jc w:val="right"/>
              <w:spacing w:after="0"/>
              <w:rPr>
                <w:sz w:val="20"/>
                <w:szCs w:val="20"/>
                <w:color w:val="auto"/>
              </w:rPr>
            </w:pPr>
            <w:r>
              <w:rPr>
                <w:rFonts w:ascii="Arial" w:cs="Arial" w:eastAsia="Arial" w:hAnsi="Arial"/>
                <w:sz w:val="18"/>
                <w:szCs w:val="18"/>
                <w:color w:val="51555C"/>
              </w:rPr>
              <w:t>2,458</w:t>
            </w:r>
          </w:p>
        </w:tc>
        <w:tc>
          <w:tcPr>
            <w:tcW w:w="2580" w:type="dxa"/>
            <w:vAlign w:val="bottom"/>
          </w:tcPr>
          <w:p>
            <w:pPr>
              <w:jc w:val="right"/>
              <w:spacing w:after="0"/>
              <w:rPr>
                <w:sz w:val="20"/>
                <w:szCs w:val="20"/>
                <w:color w:val="auto"/>
              </w:rPr>
            </w:pPr>
            <w:r>
              <w:rPr>
                <w:rFonts w:ascii="Arial" w:cs="Arial" w:eastAsia="Arial" w:hAnsi="Arial"/>
                <w:sz w:val="18"/>
                <w:szCs w:val="18"/>
                <w:color w:val="51555C"/>
              </w:rPr>
              <w:t>2,554</w:t>
            </w:r>
          </w:p>
        </w:tc>
        <w:tc>
          <w:tcPr>
            <w:tcW w:w="280" w:type="dxa"/>
            <w:vAlign w:val="bottom"/>
          </w:tcPr>
          <w:p>
            <w:pPr>
              <w:jc w:val="right"/>
              <w:ind w:right="66"/>
              <w:spacing w:after="0"/>
              <w:rPr>
                <w:sz w:val="20"/>
                <w:szCs w:val="20"/>
                <w:color w:val="auto"/>
              </w:rPr>
            </w:pPr>
            <w:r>
              <w:rPr>
                <w:rFonts w:ascii="Arial" w:cs="Arial" w:eastAsia="Arial" w:hAnsi="Arial"/>
                <w:sz w:val="11"/>
                <w:szCs w:val="11"/>
                <w:color w:val="51555C"/>
              </w:rPr>
              <w:t>(1)</w:t>
            </w:r>
          </w:p>
        </w:tc>
        <w:tc>
          <w:tcPr>
            <w:tcW w:w="20" w:type="dxa"/>
            <w:vAlign w:val="bottom"/>
          </w:tcPr>
          <w:p>
            <w:pPr>
              <w:spacing w:after="0"/>
              <w:rPr>
                <w:sz w:val="24"/>
                <w:szCs w:val="24"/>
                <w:color w:val="auto"/>
              </w:rPr>
            </w:pPr>
          </w:p>
        </w:tc>
      </w:tr>
      <w:tr>
        <w:trPr>
          <w:trHeight w:val="316"/>
        </w:trPr>
        <w:tc>
          <w:tcPr>
            <w:tcW w:w="43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51555C"/>
              </w:rPr>
              <w:t>2023</w:t>
            </w:r>
          </w:p>
        </w:tc>
        <w:tc>
          <w:tcPr>
            <w:tcW w:w="2580" w:type="dxa"/>
            <w:vAlign w:val="bottom"/>
          </w:tcPr>
          <w:p>
            <w:pPr>
              <w:jc w:val="right"/>
              <w:spacing w:after="0"/>
              <w:rPr>
                <w:sz w:val="20"/>
                <w:szCs w:val="20"/>
                <w:color w:val="auto"/>
              </w:rPr>
            </w:pPr>
            <w:r>
              <w:rPr>
                <w:rFonts w:ascii="Arial" w:cs="Arial" w:eastAsia="Arial" w:hAnsi="Arial"/>
                <w:sz w:val="18"/>
                <w:szCs w:val="18"/>
                <w:color w:val="51555C"/>
              </w:rPr>
              <w:t>2,996</w:t>
            </w:r>
          </w:p>
        </w:tc>
        <w:tc>
          <w:tcPr>
            <w:tcW w:w="2580" w:type="dxa"/>
            <w:vAlign w:val="bottom"/>
          </w:tcPr>
          <w:p>
            <w:pPr>
              <w:jc w:val="right"/>
              <w:spacing w:after="0"/>
              <w:rPr>
                <w:sz w:val="20"/>
                <w:szCs w:val="20"/>
                <w:color w:val="auto"/>
              </w:rPr>
            </w:pPr>
            <w:r>
              <w:rPr>
                <w:rFonts w:ascii="Arial" w:cs="Arial" w:eastAsia="Arial" w:hAnsi="Arial"/>
                <w:sz w:val="18"/>
                <w:szCs w:val="18"/>
                <w:color w:val="51555C"/>
              </w:rPr>
              <w:t>4,299</w:t>
            </w:r>
          </w:p>
        </w:tc>
        <w:tc>
          <w:tcPr>
            <w:tcW w:w="280" w:type="dxa"/>
            <w:vAlign w:val="bottom"/>
          </w:tcPr>
          <w:p>
            <w:pPr>
              <w:jc w:val="right"/>
              <w:ind w:right="66"/>
              <w:spacing w:after="0"/>
              <w:rPr>
                <w:sz w:val="20"/>
                <w:szCs w:val="20"/>
                <w:color w:val="auto"/>
              </w:rPr>
            </w:pPr>
            <w:r>
              <w:rPr>
                <w:rFonts w:ascii="Arial" w:cs="Arial" w:eastAsia="Arial" w:hAnsi="Arial"/>
                <w:sz w:val="11"/>
                <w:szCs w:val="11"/>
                <w:color w:val="51555C"/>
              </w:rPr>
              <w:t>(2)</w:t>
            </w:r>
          </w:p>
        </w:tc>
        <w:tc>
          <w:tcPr>
            <w:tcW w:w="20" w:type="dxa"/>
            <w:vAlign w:val="bottom"/>
          </w:tcPr>
          <w:p>
            <w:pPr>
              <w:spacing w:after="0"/>
              <w:rPr>
                <w:sz w:val="24"/>
                <w:szCs w:val="24"/>
                <w:color w:val="auto"/>
              </w:rPr>
            </w:pPr>
          </w:p>
        </w:tc>
      </w:tr>
      <w:tr>
        <w:trPr>
          <w:trHeight w:val="23"/>
        </w:trPr>
        <w:tc>
          <w:tcPr>
            <w:tcW w:w="4320" w:type="dxa"/>
            <w:vAlign w:val="bottom"/>
            <w:tcBorders>
              <w:bottom w:val="single" w:sz="8" w:color="0CD973"/>
            </w:tcBorders>
          </w:tcPr>
          <w:p>
            <w:pPr>
              <w:spacing w:after="0"/>
              <w:rPr>
                <w:sz w:val="2"/>
                <w:szCs w:val="2"/>
                <w:color w:val="auto"/>
              </w:rPr>
            </w:pPr>
          </w:p>
        </w:tc>
        <w:tc>
          <w:tcPr>
            <w:tcW w:w="1480" w:type="dxa"/>
            <w:vAlign w:val="bottom"/>
            <w:tcBorders>
              <w:bottom w:val="single" w:sz="8" w:color="0CD973"/>
            </w:tcBorders>
          </w:tcPr>
          <w:p>
            <w:pPr>
              <w:spacing w:after="0"/>
              <w:rPr>
                <w:sz w:val="2"/>
                <w:szCs w:val="2"/>
                <w:color w:val="auto"/>
              </w:rPr>
            </w:pPr>
          </w:p>
        </w:tc>
        <w:tc>
          <w:tcPr>
            <w:tcW w:w="2580" w:type="dxa"/>
            <w:vAlign w:val="bottom"/>
            <w:tcBorders>
              <w:bottom w:val="single" w:sz="8" w:color="0CD973"/>
            </w:tcBorders>
          </w:tcPr>
          <w:p>
            <w:pPr>
              <w:spacing w:after="0"/>
              <w:rPr>
                <w:sz w:val="2"/>
                <w:szCs w:val="2"/>
                <w:color w:val="auto"/>
              </w:rPr>
            </w:pPr>
          </w:p>
        </w:tc>
        <w:tc>
          <w:tcPr>
            <w:tcW w:w="2580" w:type="dxa"/>
            <w:vAlign w:val="bottom"/>
            <w:tcBorders>
              <w:bottom w:val="single" w:sz="8" w:color="0CD973"/>
            </w:tcBorders>
          </w:tcPr>
          <w:p>
            <w:pPr>
              <w:spacing w:after="0"/>
              <w:rPr>
                <w:sz w:val="2"/>
                <w:szCs w:val="2"/>
                <w:color w:val="auto"/>
              </w:rPr>
            </w:pPr>
          </w:p>
        </w:tc>
        <w:tc>
          <w:tcPr>
            <w:tcW w:w="28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85"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4"/>
          <w:szCs w:val="14"/>
          <w:color w:val="51555C"/>
        </w:rPr>
      </w:pPr>
      <w:r>
        <w:rPr>
          <w:rFonts w:ascii="Arial" w:cs="Arial" w:eastAsia="Arial" w:hAnsi="Arial"/>
          <w:sz w:val="14"/>
          <w:szCs w:val="14"/>
          <w:color w:val="51555C"/>
        </w:rPr>
        <w:t>Vested on February 21, 2026.</w:t>
      </w:r>
    </w:p>
    <w:p>
      <w:pPr>
        <w:spacing w:after="0" w:line="15" w:lineRule="exact"/>
        <w:rPr>
          <w:rFonts w:ascii="Arial" w:cs="Arial" w:eastAsia="Arial" w:hAnsi="Arial"/>
          <w:sz w:val="14"/>
          <w:szCs w:val="14"/>
          <w:color w:val="51555C"/>
        </w:rPr>
      </w:pPr>
    </w:p>
    <w:p>
      <w:pPr>
        <w:ind w:left="340" w:hanging="332"/>
        <w:spacing w:after="0"/>
        <w:tabs>
          <w:tab w:leader="none" w:pos="340" w:val="left"/>
        </w:tabs>
        <w:numPr>
          <w:ilvl w:val="0"/>
          <w:numId w:val="57"/>
        </w:numPr>
        <w:rPr>
          <w:rFonts w:ascii="Arial" w:cs="Arial" w:eastAsia="Arial" w:hAnsi="Arial"/>
          <w:sz w:val="14"/>
          <w:szCs w:val="14"/>
          <w:color w:val="51555C"/>
        </w:rPr>
      </w:pPr>
      <w:r>
        <w:rPr>
          <w:rFonts w:ascii="Arial" w:cs="Arial" w:eastAsia="Arial" w:hAnsi="Arial"/>
          <w:sz w:val="14"/>
          <w:szCs w:val="14"/>
          <w:color w:val="51555C"/>
        </w:rPr>
        <w:t>Vested on February 13, 2026.</w:t>
      </w:r>
    </w:p>
    <w:p>
      <w:pPr>
        <w:spacing w:after="0" w:line="377"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48</w:t>
      </w:r>
      <w:r>
        <w:rPr>
          <w:sz w:val="20"/>
          <w:szCs w:val="20"/>
          <w:color w:val="auto"/>
        </w:rPr>
        <w:tab/>
      </w:r>
      <w:r>
        <w:rPr>
          <w:sz w:val="1"/>
          <w:szCs w:val="1"/>
          <w:color w:val="auto"/>
        </w:rPr>
        <w:drawing>
          <wp:inline distT="0" distB="0" distL="0" distR="0">
            <wp:extent cx="702945" cy="11176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02945" cy="111760"/>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8" w:right="319" w:bottom="900" w:gutter="0" w:footer="0" w:header="0"/>
          <w:type w:val="continuous"/>
        </w:sectPr>
      </w:pPr>
    </w:p>
    <w:bookmarkStart w:id="50" w:name="page51"/>
    <w:bookmarkEnd w:id="50"/>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b w:val="1"/>
          <w:bCs w:val="1"/>
          <w:color w:val="5155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Post-Employment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Change In Control Payments and Benefits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We have entered into arrangements with our NEOs which provide for payments and benefits upon a termination of employment in connection with a change in control of the Company. These arrangements provide for a "double-trigger," that is, they generally only provide payments and benefits if a NEO's employment is terminated within 12 months following a change in control of the Company either by us without cause or by the NEO for good reason (or in limited circumstances for Mr. Gianoni, if a qualifying termination occurs shortly before such a change in control). Based on our assessment of the competitive market, we believe these arrangements are appropriate as they serve as a means for executive retention.</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For a detailed discussion of these arrangements and an estimate of the payments and benefits that our NEOs would be eligible to receive in certain circumstances pursuant to their agreements, see “Potential Payments Upon Termination or Change in Control - Employment Arrangements” beginning on page 62 of this Proxy Statement.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Retirement Benefit</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Our LTI program includes a retirement benefit, which allows employees who retire having met certain requirements to be eligible for continued vesting of qualifying RSUs and qualifying PRSUs. The Compensation Committee believes that the retirement benefit promotes the retention of our experienced employees and is a differentiating factor in our ability to attract new talent.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51555C"/>
        </w:rPr>
        <w:t>To be eligible, employees must meet the following requirements:</w:t>
      </w:r>
    </w:p>
    <w:p>
      <w:pPr>
        <w:spacing w:after="0" w:line="63" w:lineRule="exact"/>
        <w:rPr>
          <w:sz w:val="20"/>
          <w:szCs w:val="20"/>
          <w:color w:val="auto"/>
        </w:rPr>
      </w:pPr>
    </w:p>
    <w:p>
      <w:pPr>
        <w:ind w:left="460" w:hanging="128"/>
        <w:spacing w:after="0"/>
        <w:tabs>
          <w:tab w:leader="none" w:pos="460" w:val="left"/>
        </w:tabs>
        <w:numPr>
          <w:ilvl w:val="0"/>
          <w:numId w:val="58"/>
        </w:numPr>
        <w:rPr>
          <w:rFonts w:ascii="Arial" w:cs="Arial" w:eastAsia="Arial" w:hAnsi="Arial"/>
          <w:sz w:val="18"/>
          <w:szCs w:val="18"/>
          <w:color w:val="51555C"/>
        </w:rPr>
      </w:pPr>
      <w:r>
        <w:rPr>
          <w:rFonts w:ascii="Arial" w:cs="Arial" w:eastAsia="Arial" w:hAnsi="Arial"/>
          <w:sz w:val="18"/>
          <w:szCs w:val="18"/>
          <w:color w:val="51555C"/>
        </w:rPr>
        <w:t>At the time of grant, the employee's age plus years of continuous service with us must be at least 62;</w:t>
      </w:r>
    </w:p>
    <w:p>
      <w:pPr>
        <w:spacing w:after="0" w:line="63" w:lineRule="exact"/>
        <w:rPr>
          <w:rFonts w:ascii="Arial" w:cs="Arial" w:eastAsia="Arial" w:hAnsi="Arial"/>
          <w:sz w:val="18"/>
          <w:szCs w:val="18"/>
          <w:color w:val="51555C"/>
        </w:rPr>
      </w:pPr>
    </w:p>
    <w:p>
      <w:pPr>
        <w:ind w:left="460" w:hanging="128"/>
        <w:spacing w:after="0"/>
        <w:tabs>
          <w:tab w:leader="none" w:pos="460" w:val="left"/>
        </w:tabs>
        <w:numPr>
          <w:ilvl w:val="0"/>
          <w:numId w:val="58"/>
        </w:numPr>
        <w:rPr>
          <w:rFonts w:ascii="Arial" w:cs="Arial" w:eastAsia="Arial" w:hAnsi="Arial"/>
          <w:sz w:val="18"/>
          <w:szCs w:val="18"/>
          <w:color w:val="51555C"/>
        </w:rPr>
      </w:pPr>
      <w:r>
        <w:rPr>
          <w:rFonts w:ascii="Arial" w:cs="Arial" w:eastAsia="Arial" w:hAnsi="Arial"/>
          <w:sz w:val="18"/>
          <w:szCs w:val="18"/>
          <w:color w:val="51555C"/>
        </w:rPr>
        <w:t>A minimum of 5 years of continuous service with us at the time of grant regardless of age; and</w:t>
      </w:r>
    </w:p>
    <w:p>
      <w:pPr>
        <w:spacing w:after="0" w:line="63" w:lineRule="exact"/>
        <w:rPr>
          <w:rFonts w:ascii="Arial" w:cs="Arial" w:eastAsia="Arial" w:hAnsi="Arial"/>
          <w:sz w:val="18"/>
          <w:szCs w:val="18"/>
          <w:color w:val="51555C"/>
        </w:rPr>
      </w:pPr>
    </w:p>
    <w:p>
      <w:pPr>
        <w:ind w:left="500" w:hanging="168"/>
        <w:spacing w:after="0" w:line="287" w:lineRule="auto"/>
        <w:tabs>
          <w:tab w:leader="none" w:pos="468" w:val="left"/>
        </w:tabs>
        <w:numPr>
          <w:ilvl w:val="0"/>
          <w:numId w:val="58"/>
        </w:numPr>
        <w:rPr>
          <w:rFonts w:ascii="Arial" w:cs="Arial" w:eastAsia="Arial" w:hAnsi="Arial"/>
          <w:sz w:val="18"/>
          <w:szCs w:val="18"/>
          <w:color w:val="51555C"/>
        </w:rPr>
      </w:pPr>
      <w:r>
        <w:rPr>
          <w:rFonts w:ascii="Arial" w:cs="Arial" w:eastAsia="Arial" w:hAnsi="Arial"/>
          <w:sz w:val="18"/>
          <w:szCs w:val="18"/>
          <w:color w:val="51555C"/>
        </w:rPr>
        <w:t>Provide six months' notice of their intention to retire from the industry, successfully complete a transition plan and sign a release, all of which is approved by our Chief People &amp; Culture Officer and CEO.</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The retirement benefit allows qualifying time-based RSUs to continue to vest for eligible retired employees. For qualifying performance-based grants, the PRSUs continue to vest for those grants whose performance period has been completed and the results have been certified by our Compensation Committee.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The provisions of the LTI program allow us to cancel any unvested awards and recoup or "clawback" payments in certain circumstances if a retiree subsequently accepts employment within our industry or violates other restrictive covenants to which the retiree has agreed. In order to receive the LTI with retirement, the employee must sign a release provided by the Company.</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In December 2025, the Board of Directors approved updates to our LTI program for RSUs and PRSUs granted on or after January 1, 2026. The principal changes to the retirement program include (i) an increase in the minimum combined age and years of service required at the time of grant for an employee’s annual RSU or PRSU to be eligible under the retirement program from 62 to 65, (ii) a new minimum age of 60 on the eligible employee’s retirement date, and (iii) PRSUs with performance periods that end after retirement will also now be eligible under the retirement program (rather than only if the performance period and certification of achievement have been completed prior to retirement). Additional information regarding the updates to our LTI program is contained in the Company's Current Report on Form 8-K filed with the SEC on December 5, 2025.</w:t>
      </w: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Health and Welfare Benefits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Generally, the Compensation Committee seeks to offer our executive officers health and welfare benefits on the same basis as all of our full-time employees. These benefits include health, dental, and vision benefits, health and dependent care flexible spending accounts, short-term and long-term disability insurance, accidental death and dismemberment insurance and basic life insurance coverage.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We have established a Section 401(k) retirement plan for all employees who satisfy certain eligibility requirements, including requirements relating to age and length of service. We make matching contributions to each NEO's account under our Section 401(k) plan on the same terms and using the same formulas as other participating employees. We intend for the plan to qualify under Section 401(a) of the Code so that contributions by employees to the plan and income earned on plan contributions are not taxable to employees until withdrawn from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228600</wp:posOffset>
            </wp:positionV>
            <wp:extent cx="702945" cy="1111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49</w:t>
            </w:r>
          </w:p>
        </w:tc>
      </w:tr>
      <w:tr>
        <w:trPr>
          <w:trHeight w:val="271"/>
        </w:trPr>
        <w:tc>
          <w:tcPr>
            <w:tcW w:w="1020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51" w:name="page52"/>
    <w:bookmarkEnd w:id="51"/>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EXECUTIVE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We partner with a third party vendor for our NEOs to complete comprehensive risk factor analysis, advanced diagnostic screenings and extensive laboratory testing, on an annual basis. This enhanced medical review works in collaboration with our NEOs US health insurance plan and is aligned with our well-being strategy for the Company.</w:t>
      </w:r>
    </w:p>
    <w:p>
      <w:pPr>
        <w:spacing w:after="0" w:line="11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51555C"/>
        </w:rPr>
        <w:t>Our NEOs are entitled to enhanced long-term disability coverage for salary continuation in the amount of $25,000 per month, if deemed disabled by an independent third party.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Perquisites and Other Personal Benefits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Historically, we have not provided any material perquisites or other personal benefits to our executive officers. While we do not view perquisites or other personal benefits as a significant component of our executive compensation program, from time to time, the Compensation Committee may provide certain of the NEOs with perquisites or other personal benefits in amounts it deems to be reasonable where it believes that these benefits may be useful in attracting, motivating, and retaining the executive talent for which we compete, to assist our executive officers in performing their duties and to provide certain time efficiencies in appropriate circumstances.</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Other Compensation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Corporate Equity Compensation Policy and Practices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We do not have an established formal policy with respect to the timing of equity awards in coordination with the release of material nonpublic information. As a matter of practice, however, the Compensation Committee generally grants equity awards during periods considered to be our “open trading windows” (that is, the periods beginning two business days following our earnings release and ending one month prior to the end of the fiscal quarter). In addition, any options to purchase shares of our common stock are required to be granted with an exercise price at least equal to the fair market value of our common stock on the date of grant. During 2025, we did not grant any stock options, stock appreciation rights or similar option-like awards to any director, officer or employee and have no current plans to do so as an element of our equity compensation program. Also during 2025, we have not timed the disclosure of material nonpublic information for the purpose of affecting the value of executive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Compensation Recovery</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Mr. Gianoni's employment agreement includes a compensation recovery, or clawback, provision requiring that he return to us (and allow applicable deductions with respect to) all incentive-based compensation he receives from us to the extent required by any Company clawback or recoupment policy, Section 954 of the Dodd-Frank Wall Street Reform and Consumer Protection Act of 2010, Section 304 of the Sarbanes-Oxley Act of 2002 and/or any other applicable law or securities exchange listing standards. The Company’s retention agreements with the other NEOs include similar compensation clawback provisions. In addition, the Company's 2016 Equity and Incentive Compensation Plan, as amended and restated (the "2016 Plan"), contains a provision that all awards under the 2016 Plan are subject to all applicable Company policies and laws regarding clawbacks, forfeitures, or recoupments.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Executive Incentive Compensation Clawback Policy</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In October 2023, our Board of Directors adopted a Compensation Recovery Policy (the “Clawback Policy”) as required by Rule 10D-1 under the Exchange Act and the corresponding Nasdaq listing standards. The Clawback Policy applies to all incentive-based compensation, which is any compensation that is granted, earned, or vested based wholly or in part upon the attainment of a financial reporting measure, received by our executive officers, including our named executive officers.</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The Clawback Policy applies in the case of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Clawback Policy provides that promptly following such an accounting restatement, the Compensation Committee will determine the amount of the erroneously awarded compensation, which is the excess of the amount of incentive-based compensation received by current and former executive officers during the three completed fiscal years immediately preceding the required restatement date over the amount of incentive-based compensation that otherwise would have been received had it been determined based on the restated amounts. The Company will provide each such executive officer with a written notice of such amount and a demand for repayment or return. If such repayment or return is not made within a reasonable time, the Clawback Policy provides that the Company will recover the erroneously awarded compensation in a reasonable and prompt manner using any lawful method, subject to limited exceptions as permitted by Nasdaq listing standards.</w:t>
      </w:r>
    </w:p>
    <w:p>
      <w:pPr>
        <w:spacing w:after="0" w:line="339"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50</w:t>
      </w:r>
      <w:r>
        <w:rPr>
          <w:sz w:val="20"/>
          <w:szCs w:val="20"/>
          <w:color w:val="auto"/>
        </w:rPr>
        <w:tab/>
      </w:r>
      <w:r>
        <w:rPr>
          <w:sz w:val="1"/>
          <w:szCs w:val="1"/>
          <w:color w:val="auto"/>
        </w:rPr>
        <w:drawing>
          <wp:inline distT="0" distB="0" distL="0" distR="0">
            <wp:extent cx="702945" cy="111125"/>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52" w:name="page53"/>
    <w:bookmarkEnd w:id="52"/>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b w:val="1"/>
          <w:bCs w:val="1"/>
          <w:color w:val="5155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Executive Officer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51555C"/>
        </w:rPr>
        <w:t>Under our Executive Officer Stock Ownership Guidelines, our CEO and the CEO’s officer-level direct reports are expected to own shares of our common stock, in the following amounts:</w:t>
      </w:r>
    </w:p>
    <w:p>
      <w:pPr>
        <w:spacing w:after="0" w:line="1" w:lineRule="exact"/>
        <w:rPr>
          <w:sz w:val="20"/>
          <w:szCs w:val="20"/>
          <w:color w:val="auto"/>
        </w:rPr>
      </w:pPr>
    </w:p>
    <w:p>
      <w:pPr>
        <w:ind w:left="460" w:hanging="128"/>
        <w:spacing w:after="0"/>
        <w:tabs>
          <w:tab w:leader="none" w:pos="460" w:val="left"/>
        </w:tabs>
        <w:numPr>
          <w:ilvl w:val="0"/>
          <w:numId w:val="59"/>
        </w:numPr>
        <w:rPr>
          <w:rFonts w:ascii="Arial" w:cs="Arial" w:eastAsia="Arial" w:hAnsi="Arial"/>
          <w:sz w:val="18"/>
          <w:szCs w:val="18"/>
          <w:color w:val="51555C"/>
        </w:rPr>
      </w:pPr>
      <w:r>
        <w:rPr>
          <w:rFonts w:ascii="Arial" w:cs="Arial" w:eastAsia="Arial" w:hAnsi="Arial"/>
          <w:sz w:val="18"/>
          <w:szCs w:val="18"/>
          <w:color w:val="51555C"/>
        </w:rPr>
        <w:t>For the CEO, the lesser of (i) equity in an amount equal to four times base salary or (ii) 70,000 shares; and</w:t>
      </w:r>
    </w:p>
    <w:p>
      <w:pPr>
        <w:spacing w:after="0" w:line="63" w:lineRule="exact"/>
        <w:rPr>
          <w:rFonts w:ascii="Arial" w:cs="Arial" w:eastAsia="Arial" w:hAnsi="Arial"/>
          <w:sz w:val="18"/>
          <w:szCs w:val="18"/>
          <w:color w:val="51555C"/>
        </w:rPr>
      </w:pPr>
    </w:p>
    <w:p>
      <w:pPr>
        <w:ind w:left="460" w:hanging="128"/>
        <w:spacing w:after="0"/>
        <w:tabs>
          <w:tab w:leader="none" w:pos="460" w:val="left"/>
        </w:tabs>
        <w:numPr>
          <w:ilvl w:val="0"/>
          <w:numId w:val="59"/>
        </w:numPr>
        <w:rPr>
          <w:rFonts w:ascii="Arial" w:cs="Arial" w:eastAsia="Arial" w:hAnsi="Arial"/>
          <w:sz w:val="18"/>
          <w:szCs w:val="18"/>
          <w:color w:val="51555C"/>
        </w:rPr>
      </w:pPr>
      <w:r>
        <w:rPr>
          <w:rFonts w:ascii="Arial" w:cs="Arial" w:eastAsia="Arial" w:hAnsi="Arial"/>
          <w:sz w:val="18"/>
          <w:szCs w:val="18"/>
          <w:color w:val="51555C"/>
        </w:rPr>
        <w:t>For the CEO’s officer-level direct reports, the lesser of (i) equity in an amount equal to two times base salary, or (ii) 20,000 shares.</w:t>
      </w:r>
    </w:p>
    <w:p>
      <w:pPr>
        <w:spacing w:after="0" w:line="171" w:lineRule="exact"/>
        <w:rPr>
          <w:sz w:val="20"/>
          <w:szCs w:val="20"/>
          <w:color w:val="auto"/>
        </w:rPr>
      </w:pPr>
    </w:p>
    <w:p>
      <w:pPr>
        <w:jc w:val="both"/>
        <w:ind w:right="20"/>
        <w:spacing w:after="0" w:line="222" w:lineRule="exact"/>
        <w:rPr>
          <w:sz w:val="20"/>
          <w:szCs w:val="20"/>
          <w:color w:val="auto"/>
        </w:rPr>
      </w:pPr>
      <w:r>
        <w:rPr>
          <w:rFonts w:ascii="Arial" w:cs="Arial" w:eastAsia="Arial" w:hAnsi="Arial"/>
          <w:sz w:val="18"/>
          <w:szCs w:val="18"/>
          <w:color w:val="51555C"/>
        </w:rPr>
        <w:t>For purposes of these guidelines, vested, unexercised options and/or stock appreciation rights ("SARs") are also counted for purposes of the guidelines at 100% of their intrinsic value. We expect our CEO and the CEO’s officer-level direct reports to meet these guidelines within five years of receiving their first annual equity award after their hire date or, for individuals promoted to an executive officer</w:t>
      </w:r>
      <w:r>
        <w:rPr>
          <w:rFonts w:ascii="MS PGothic" w:cs="MS PGothic" w:eastAsia="MS PGothic" w:hAnsi="MS PGothic"/>
          <w:sz w:val="18"/>
          <w:szCs w:val="18"/>
          <w:color w:val="51555C"/>
        </w:rPr>
        <w:t>‑</w:t>
      </w:r>
      <w:r>
        <w:rPr>
          <w:rFonts w:ascii="Arial" w:cs="Arial" w:eastAsia="Arial" w:hAnsi="Arial"/>
          <w:sz w:val="18"/>
          <w:szCs w:val="18"/>
          <w:color w:val="51555C"/>
        </w:rPr>
        <w:t>level role after joining the Company, their promotion date. Each of our NEOs has satisfied the Executive Officer Stock Ownership Guidelines.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51555C"/>
        </w:rPr>
        <w:t>The table set forth below shows the ownership levels of our NEOs as of December 31,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480" w:type="dxa"/>
            <w:vAlign w:val="bottom"/>
            <w:shd w:val="clear" w:color="auto" w:fill="004054"/>
          </w:tcPr>
          <w:p>
            <w:pPr>
              <w:spacing w:after="0" w:line="20" w:lineRule="exact"/>
              <w:rPr>
                <w:sz w:val="1"/>
                <w:szCs w:val="1"/>
                <w:color w:val="auto"/>
              </w:rPr>
            </w:pPr>
          </w:p>
        </w:tc>
        <w:tc>
          <w:tcPr>
            <w:tcW w:w="2860" w:type="dxa"/>
            <w:vAlign w:val="bottom"/>
            <w:tcBorders>
              <w:right w:val="single" w:sz="8" w:color="006880"/>
            </w:tcBorders>
            <w:gridSpan w:val="4"/>
            <w:vMerge w:val="restart"/>
            <w:shd w:val="clear" w:color="auto" w:fill="006880"/>
          </w:tcPr>
          <w:p>
            <w:pPr>
              <w:jc w:val="center"/>
              <w:spacing w:after="0"/>
              <w:rPr>
                <w:sz w:val="20"/>
                <w:szCs w:val="20"/>
                <w:color w:val="auto"/>
              </w:rPr>
            </w:pPr>
            <w:r>
              <w:rPr>
                <w:rFonts w:ascii="Arial" w:cs="Arial" w:eastAsia="Arial" w:hAnsi="Arial"/>
                <w:sz w:val="14"/>
                <w:szCs w:val="14"/>
                <w:b w:val="1"/>
                <w:bCs w:val="1"/>
                <w:color w:val="FFFFFF"/>
              </w:rPr>
              <w:t>Stock Ownership Guideline</w:t>
            </w:r>
          </w:p>
        </w:tc>
        <w:tc>
          <w:tcPr>
            <w:tcW w:w="1430" w:type="dxa"/>
            <w:vAlign w:val="bottom"/>
            <w:shd w:val="clear" w:color="auto" w:fill="004054"/>
          </w:tcPr>
          <w:p>
            <w:pPr>
              <w:spacing w:after="0" w:line="20" w:lineRule="exact"/>
              <w:rPr>
                <w:sz w:val="1"/>
                <w:szCs w:val="1"/>
                <w:color w:val="auto"/>
              </w:rPr>
            </w:pPr>
          </w:p>
        </w:tc>
        <w:tc>
          <w:tcPr>
            <w:tcW w:w="1470" w:type="dxa"/>
            <w:vAlign w:val="bottom"/>
            <w:shd w:val="clear" w:color="auto" w:fill="004054"/>
          </w:tcPr>
          <w:p>
            <w:pPr>
              <w:spacing w:after="0" w:line="20" w:lineRule="exact"/>
              <w:rPr>
                <w:sz w:val="1"/>
                <w:szCs w:val="1"/>
                <w:color w:val="auto"/>
              </w:rPr>
            </w:pPr>
          </w:p>
        </w:tc>
        <w:tc>
          <w:tcPr>
            <w:tcW w:w="20" w:type="dxa"/>
            <w:vAlign w:val="bottom"/>
            <w:shd w:val="clear" w:color="auto" w:fill="0040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480" w:type="dxa"/>
            <w:vAlign w:val="bottom"/>
            <w:shd w:val="clear" w:color="auto" w:fill="004054"/>
          </w:tcPr>
          <w:p>
            <w:pPr>
              <w:spacing w:after="0"/>
              <w:rPr>
                <w:sz w:val="15"/>
                <w:szCs w:val="15"/>
                <w:color w:val="auto"/>
              </w:rPr>
            </w:pPr>
          </w:p>
        </w:tc>
        <w:tc>
          <w:tcPr>
            <w:tcW w:w="2860" w:type="dxa"/>
            <w:vAlign w:val="bottom"/>
            <w:tcBorders>
              <w:right w:val="single" w:sz="8" w:color="006880"/>
            </w:tcBorders>
            <w:gridSpan w:val="4"/>
            <w:vMerge w:val="continue"/>
            <w:shd w:val="clear" w:color="auto" w:fill="006880"/>
          </w:tcPr>
          <w:p>
            <w:pPr>
              <w:spacing w:after="0"/>
              <w:rPr>
                <w:sz w:val="15"/>
                <w:szCs w:val="15"/>
                <w:color w:val="auto"/>
              </w:rPr>
            </w:pPr>
          </w:p>
        </w:tc>
        <w:tc>
          <w:tcPr>
            <w:tcW w:w="1430" w:type="dxa"/>
            <w:vAlign w:val="bottom"/>
            <w:shd w:val="clear" w:color="auto" w:fill="004054"/>
          </w:tcPr>
          <w:p>
            <w:pPr>
              <w:spacing w:after="0"/>
              <w:rPr>
                <w:sz w:val="15"/>
                <w:szCs w:val="15"/>
                <w:color w:val="auto"/>
              </w:rPr>
            </w:pPr>
          </w:p>
        </w:tc>
        <w:tc>
          <w:tcPr>
            <w:tcW w:w="147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480" w:type="dxa"/>
            <w:vAlign w:val="bottom"/>
            <w:tcBorders>
              <w:bottom w:val="single" w:sz="8" w:color="004054"/>
            </w:tcBorders>
            <w:shd w:val="clear" w:color="auto" w:fill="004054"/>
          </w:tcPr>
          <w:p>
            <w:pPr>
              <w:spacing w:after="0"/>
              <w:rPr>
                <w:sz w:val="17"/>
                <w:szCs w:val="17"/>
                <w:color w:val="auto"/>
              </w:rPr>
            </w:pPr>
          </w:p>
        </w:tc>
        <w:tc>
          <w:tcPr>
            <w:tcW w:w="2000" w:type="dxa"/>
            <w:vAlign w:val="bottom"/>
            <w:tcBorders>
              <w:bottom w:val="single" w:sz="8" w:color="006880"/>
            </w:tcBorders>
            <w:gridSpan w:val="3"/>
            <w:shd w:val="clear" w:color="auto" w:fill="006880"/>
          </w:tcPr>
          <w:p>
            <w:pPr>
              <w:jc w:val="center"/>
              <w:ind w:left="818"/>
              <w:spacing w:after="0"/>
              <w:rPr>
                <w:sz w:val="20"/>
                <w:szCs w:val="20"/>
                <w:color w:val="auto"/>
              </w:rPr>
            </w:pPr>
            <w:r>
              <w:rPr>
                <w:rFonts w:ascii="Arial" w:cs="Arial" w:eastAsia="Arial" w:hAnsi="Arial"/>
                <w:sz w:val="14"/>
                <w:szCs w:val="14"/>
                <w:b w:val="1"/>
                <w:bCs w:val="1"/>
                <w:color w:val="FFFFFF"/>
              </w:rPr>
              <w:t>(Lesser of):</w:t>
            </w:r>
          </w:p>
        </w:tc>
        <w:tc>
          <w:tcPr>
            <w:tcW w:w="860" w:type="dxa"/>
            <w:vAlign w:val="bottom"/>
            <w:tcBorders>
              <w:bottom w:val="single" w:sz="8" w:color="006880"/>
              <w:right w:val="single" w:sz="8" w:color="006880"/>
            </w:tcBorders>
            <w:shd w:val="clear" w:color="auto" w:fill="006880"/>
          </w:tcPr>
          <w:p>
            <w:pPr>
              <w:spacing w:after="0"/>
              <w:rPr>
                <w:sz w:val="17"/>
                <w:szCs w:val="17"/>
                <w:color w:val="auto"/>
              </w:rPr>
            </w:pPr>
          </w:p>
        </w:tc>
        <w:tc>
          <w:tcPr>
            <w:tcW w:w="1430" w:type="dxa"/>
            <w:vAlign w:val="bottom"/>
            <w:tcBorders>
              <w:bottom w:val="single" w:sz="8" w:color="004054"/>
            </w:tcBorders>
            <w:shd w:val="clear" w:color="auto" w:fill="004054"/>
          </w:tcPr>
          <w:p>
            <w:pPr>
              <w:spacing w:after="0"/>
              <w:rPr>
                <w:sz w:val="17"/>
                <w:szCs w:val="17"/>
                <w:color w:val="auto"/>
              </w:rPr>
            </w:pPr>
          </w:p>
        </w:tc>
        <w:tc>
          <w:tcPr>
            <w:tcW w:w="1470" w:type="dxa"/>
            <w:vAlign w:val="bottom"/>
            <w:tcBorders>
              <w:bottom w:val="single" w:sz="8" w:color="004054"/>
            </w:tcBorders>
            <w:shd w:val="clear" w:color="auto" w:fill="004054"/>
          </w:tcPr>
          <w:p>
            <w:pPr>
              <w:spacing w:after="0"/>
              <w:rPr>
                <w:sz w:val="17"/>
                <w:szCs w:val="17"/>
                <w:color w:val="auto"/>
              </w:rPr>
            </w:pPr>
          </w:p>
        </w:tc>
        <w:tc>
          <w:tcPr>
            <w:tcW w:w="20" w:type="dxa"/>
            <w:vAlign w:val="bottom"/>
            <w:tcBorders>
              <w:bottom w:val="single" w:sz="8" w:color="004054"/>
            </w:tcBorders>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480" w:type="dxa"/>
            <w:vAlign w:val="bottom"/>
            <w:shd w:val="clear" w:color="auto" w:fill="004054"/>
          </w:tcPr>
          <w:p>
            <w:pPr>
              <w:spacing w:after="0"/>
              <w:rPr>
                <w:sz w:val="16"/>
                <w:szCs w:val="16"/>
                <w:color w:val="auto"/>
              </w:rPr>
            </w:pPr>
          </w:p>
        </w:tc>
        <w:tc>
          <w:tcPr>
            <w:tcW w:w="11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Multiple of</w:t>
            </w:r>
          </w:p>
        </w:tc>
        <w:tc>
          <w:tcPr>
            <w:tcW w:w="670" w:type="dxa"/>
            <w:vAlign w:val="bottom"/>
            <w:shd w:val="clear" w:color="auto" w:fill="004054"/>
          </w:tcPr>
          <w:p>
            <w:pPr>
              <w:spacing w:after="0"/>
              <w:rPr>
                <w:sz w:val="16"/>
                <w:szCs w:val="16"/>
                <w:color w:val="auto"/>
              </w:rPr>
            </w:pPr>
          </w:p>
        </w:tc>
        <w:tc>
          <w:tcPr>
            <w:tcW w:w="170" w:type="dxa"/>
            <w:vAlign w:val="bottom"/>
            <w:shd w:val="clear" w:color="auto" w:fill="004054"/>
          </w:tcPr>
          <w:p>
            <w:pPr>
              <w:spacing w:after="0"/>
              <w:rPr>
                <w:sz w:val="16"/>
                <w:szCs w:val="16"/>
                <w:color w:val="auto"/>
              </w:rPr>
            </w:pPr>
          </w:p>
        </w:tc>
        <w:tc>
          <w:tcPr>
            <w:tcW w:w="860" w:type="dxa"/>
            <w:vAlign w:val="bottom"/>
            <w:tcBorders>
              <w:right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Minimum</w:t>
            </w:r>
          </w:p>
        </w:tc>
        <w:tc>
          <w:tcPr>
            <w:tcW w:w="143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w:t>
            </w:r>
          </w:p>
        </w:tc>
        <w:tc>
          <w:tcPr>
            <w:tcW w:w="147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480" w:type="dxa"/>
            <w:vAlign w:val="bottom"/>
            <w:shd w:val="clear" w:color="auto" w:fill="004054"/>
          </w:tcPr>
          <w:p>
            <w:pPr>
              <w:spacing w:after="0"/>
              <w:rPr>
                <w:sz w:val="14"/>
                <w:szCs w:val="14"/>
                <w:color w:val="auto"/>
              </w:rPr>
            </w:pPr>
          </w:p>
        </w:tc>
        <w:tc>
          <w:tcPr>
            <w:tcW w:w="11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Base Salary</w:t>
            </w:r>
          </w:p>
        </w:tc>
        <w:tc>
          <w:tcPr>
            <w:tcW w:w="670" w:type="dxa"/>
            <w:vAlign w:val="bottom"/>
            <w:vMerge w:val="restart"/>
            <w:shd w:val="clear" w:color="auto" w:fill="004054"/>
          </w:tcPr>
          <w:p>
            <w:pPr>
              <w:ind w:left="200"/>
              <w:spacing w:after="0"/>
              <w:rPr>
                <w:sz w:val="20"/>
                <w:szCs w:val="20"/>
                <w:color w:val="auto"/>
              </w:rPr>
            </w:pPr>
            <w:r>
              <w:rPr>
                <w:rFonts w:ascii="Arial" w:cs="Arial" w:eastAsia="Arial" w:hAnsi="Arial"/>
                <w:sz w:val="18"/>
                <w:szCs w:val="18"/>
                <w:b w:val="1"/>
                <w:bCs w:val="1"/>
                <w:color w:val="FFFFFF"/>
              </w:rPr>
              <w:t>OR</w:t>
            </w:r>
          </w:p>
        </w:tc>
        <w:tc>
          <w:tcPr>
            <w:tcW w:w="170" w:type="dxa"/>
            <w:vAlign w:val="bottom"/>
            <w:shd w:val="clear" w:color="auto" w:fill="004054"/>
          </w:tcPr>
          <w:p>
            <w:pPr>
              <w:spacing w:after="0"/>
              <w:rPr>
                <w:sz w:val="14"/>
                <w:szCs w:val="14"/>
                <w:color w:val="auto"/>
              </w:rPr>
            </w:pPr>
          </w:p>
        </w:tc>
        <w:tc>
          <w:tcPr>
            <w:tcW w:w="86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Number</w:t>
            </w:r>
          </w:p>
        </w:tc>
        <w:tc>
          <w:tcPr>
            <w:tcW w:w="143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of Shares</w:t>
            </w:r>
          </w:p>
        </w:tc>
        <w:tc>
          <w:tcPr>
            <w:tcW w:w="147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Multiple of Guideline</w:t>
            </w:r>
          </w:p>
        </w:tc>
        <w:tc>
          <w:tcPr>
            <w:tcW w:w="2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4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Name</w:t>
            </w:r>
          </w:p>
        </w:tc>
        <w:tc>
          <w:tcPr>
            <w:tcW w:w="11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(in shares)</w:t>
            </w:r>
            <w:r>
              <w:rPr>
                <w:rFonts w:ascii="Arial" w:cs="Arial" w:eastAsia="Arial" w:hAnsi="Arial"/>
                <w:sz w:val="9"/>
                <w:szCs w:val="9"/>
                <w:b w:val="1"/>
                <w:bCs w:val="1"/>
                <w:color w:val="FFFFFF"/>
              </w:rPr>
              <w:t>(1)</w:t>
            </w:r>
          </w:p>
        </w:tc>
        <w:tc>
          <w:tcPr>
            <w:tcW w:w="670" w:type="dxa"/>
            <w:vAlign w:val="bottom"/>
            <w:tcBorders>
              <w:bottom w:val="single" w:sz="8" w:color="004054"/>
            </w:tcBorders>
            <w:vMerge w:val="continue"/>
            <w:shd w:val="clear" w:color="auto" w:fill="004054"/>
          </w:tcPr>
          <w:p>
            <w:pPr>
              <w:spacing w:after="0"/>
              <w:rPr>
                <w:sz w:val="19"/>
                <w:szCs w:val="19"/>
                <w:color w:val="auto"/>
              </w:rPr>
            </w:pPr>
          </w:p>
        </w:tc>
        <w:tc>
          <w:tcPr>
            <w:tcW w:w="170" w:type="dxa"/>
            <w:vAlign w:val="bottom"/>
            <w:tcBorders>
              <w:bottom w:val="single" w:sz="8" w:color="004054"/>
            </w:tcBorders>
            <w:shd w:val="clear" w:color="auto" w:fill="004054"/>
          </w:tcPr>
          <w:p>
            <w:pPr>
              <w:spacing w:after="0"/>
              <w:rPr>
                <w:sz w:val="19"/>
                <w:szCs w:val="19"/>
                <w:color w:val="auto"/>
              </w:rPr>
            </w:pPr>
          </w:p>
        </w:tc>
        <w:tc>
          <w:tcPr>
            <w:tcW w:w="860" w:type="dxa"/>
            <w:vAlign w:val="bottom"/>
            <w:tcBorders>
              <w:bottom w:val="single" w:sz="8" w:color="004054"/>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of Shares</w:t>
            </w:r>
          </w:p>
        </w:tc>
        <w:tc>
          <w:tcPr>
            <w:tcW w:w="143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Owned</w:t>
            </w:r>
          </w:p>
        </w:tc>
        <w:tc>
          <w:tcPr>
            <w:tcW w:w="147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Achieved</w:t>
            </w:r>
          </w:p>
        </w:tc>
        <w:tc>
          <w:tcPr>
            <w:tcW w:w="20" w:type="dxa"/>
            <w:vAlign w:val="bottom"/>
            <w:tcBorders>
              <w:bottom w:val="single" w:sz="8" w:color="004054"/>
            </w:tcBorders>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48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Mr. Gianoni</w:t>
            </w:r>
          </w:p>
        </w:tc>
        <w:tc>
          <w:tcPr>
            <w:tcW w:w="11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50,537</w:t>
            </w:r>
          </w:p>
        </w:tc>
        <w:tc>
          <w:tcPr>
            <w:tcW w:w="670" w:type="dxa"/>
            <w:vAlign w:val="bottom"/>
            <w:shd w:val="clear" w:color="auto" w:fill="EBFBFF"/>
          </w:tcPr>
          <w:p>
            <w:pPr>
              <w:spacing w:after="0"/>
              <w:rPr>
                <w:sz w:val="24"/>
                <w:szCs w:val="24"/>
                <w:color w:val="auto"/>
              </w:rPr>
            </w:pPr>
          </w:p>
        </w:tc>
        <w:tc>
          <w:tcPr>
            <w:tcW w:w="170" w:type="dxa"/>
            <w:vAlign w:val="bottom"/>
            <w:shd w:val="clear" w:color="auto" w:fill="EBFBFF"/>
          </w:tcPr>
          <w:p>
            <w:pPr>
              <w:spacing w:after="0"/>
              <w:rPr>
                <w:sz w:val="24"/>
                <w:szCs w:val="24"/>
                <w:color w:val="auto"/>
              </w:rPr>
            </w:pPr>
          </w:p>
        </w:tc>
        <w:tc>
          <w:tcPr>
            <w:tcW w:w="860" w:type="dxa"/>
            <w:vAlign w:val="bottom"/>
            <w:tcBorders>
              <w:right w:val="single" w:sz="8" w:color="EBFBFF"/>
            </w:tcBorders>
            <w:shd w:val="clear" w:color="auto" w:fill="EBFBFF"/>
          </w:tcPr>
          <w:p>
            <w:pPr>
              <w:jc w:val="center"/>
              <w:ind w:left="36"/>
              <w:spacing w:after="0"/>
              <w:rPr>
                <w:sz w:val="20"/>
                <w:szCs w:val="20"/>
                <w:color w:val="auto"/>
              </w:rPr>
            </w:pPr>
            <w:r>
              <w:rPr>
                <w:rFonts w:ascii="Arial" w:cs="Arial" w:eastAsia="Arial" w:hAnsi="Arial"/>
                <w:sz w:val="18"/>
                <w:szCs w:val="18"/>
                <w:color w:val="51555C"/>
                <w:w w:val="98"/>
              </w:rPr>
              <w:t>70,000</w:t>
            </w:r>
          </w:p>
        </w:tc>
        <w:tc>
          <w:tcPr>
            <w:tcW w:w="143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372,985</w:t>
            </w:r>
          </w:p>
        </w:tc>
        <w:tc>
          <w:tcPr>
            <w:tcW w:w="1470" w:type="dxa"/>
            <w:vAlign w:val="bottom"/>
            <w:shd w:val="clear" w:color="auto" w:fill="EBFBFF"/>
          </w:tcPr>
          <w:p>
            <w:pPr>
              <w:jc w:val="right"/>
              <w:spacing w:after="0"/>
              <w:rPr>
                <w:sz w:val="20"/>
                <w:szCs w:val="20"/>
                <w:color w:val="auto"/>
              </w:rPr>
            </w:pPr>
            <w:r>
              <w:rPr>
                <w:rFonts w:ascii="Arial" w:cs="Arial" w:eastAsia="Arial" w:hAnsi="Arial"/>
                <w:sz w:val="18"/>
                <w:szCs w:val="18"/>
                <w:b w:val="1"/>
                <w:bCs w:val="1"/>
                <w:color w:val="51555C"/>
              </w:rPr>
              <w:t>7x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480" w:type="dxa"/>
            <w:vAlign w:val="bottom"/>
          </w:tcPr>
          <w:p>
            <w:pPr>
              <w:ind w:left="20"/>
              <w:spacing w:after="0"/>
              <w:rPr>
                <w:sz w:val="20"/>
                <w:szCs w:val="20"/>
                <w:color w:val="auto"/>
              </w:rPr>
            </w:pPr>
            <w:r>
              <w:rPr>
                <w:rFonts w:ascii="Arial" w:cs="Arial" w:eastAsia="Arial" w:hAnsi="Arial"/>
                <w:sz w:val="18"/>
                <w:szCs w:val="18"/>
                <w:b w:val="1"/>
                <w:bCs w:val="1"/>
                <w:color w:val="51555C"/>
              </w:rPr>
              <w:t>Mr. Anderson</w:t>
            </w:r>
          </w:p>
        </w:tc>
        <w:tc>
          <w:tcPr>
            <w:tcW w:w="1160" w:type="dxa"/>
            <w:vAlign w:val="bottom"/>
          </w:tcPr>
          <w:p>
            <w:pPr>
              <w:jc w:val="right"/>
              <w:spacing w:after="0"/>
              <w:rPr>
                <w:sz w:val="20"/>
                <w:szCs w:val="20"/>
                <w:color w:val="auto"/>
              </w:rPr>
            </w:pPr>
            <w:r>
              <w:rPr>
                <w:rFonts w:ascii="Arial" w:cs="Arial" w:eastAsia="Arial" w:hAnsi="Arial"/>
                <w:sz w:val="18"/>
                <w:szCs w:val="18"/>
                <w:color w:val="51555C"/>
              </w:rPr>
              <w:t>13,424</w:t>
            </w:r>
          </w:p>
        </w:tc>
        <w:tc>
          <w:tcPr>
            <w:tcW w:w="67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860" w:type="dxa"/>
            <w:vAlign w:val="bottom"/>
          </w:tcPr>
          <w:p>
            <w:pPr>
              <w:jc w:val="center"/>
              <w:ind w:left="36"/>
              <w:spacing w:after="0"/>
              <w:rPr>
                <w:sz w:val="20"/>
                <w:szCs w:val="20"/>
                <w:color w:val="auto"/>
              </w:rPr>
            </w:pPr>
            <w:r>
              <w:rPr>
                <w:rFonts w:ascii="Arial" w:cs="Arial" w:eastAsia="Arial" w:hAnsi="Arial"/>
                <w:sz w:val="18"/>
                <w:szCs w:val="18"/>
                <w:color w:val="51555C"/>
                <w:w w:val="98"/>
              </w:rPr>
              <w:t>20,000</w:t>
            </w:r>
          </w:p>
        </w:tc>
        <w:tc>
          <w:tcPr>
            <w:tcW w:w="1430" w:type="dxa"/>
            <w:vAlign w:val="bottom"/>
          </w:tcPr>
          <w:p>
            <w:pPr>
              <w:jc w:val="right"/>
              <w:spacing w:after="0"/>
              <w:rPr>
                <w:sz w:val="20"/>
                <w:szCs w:val="20"/>
                <w:color w:val="auto"/>
              </w:rPr>
            </w:pPr>
            <w:r>
              <w:rPr>
                <w:rFonts w:ascii="Arial" w:cs="Arial" w:eastAsia="Arial" w:hAnsi="Arial"/>
                <w:sz w:val="18"/>
                <w:szCs w:val="18"/>
                <w:color w:val="51555C"/>
              </w:rPr>
              <w:t>35,976</w:t>
            </w:r>
          </w:p>
        </w:tc>
        <w:tc>
          <w:tcPr>
            <w:tcW w:w="1470" w:type="dxa"/>
            <w:vAlign w:val="bottom"/>
          </w:tcPr>
          <w:p>
            <w:pPr>
              <w:jc w:val="right"/>
              <w:spacing w:after="0"/>
              <w:rPr>
                <w:sz w:val="20"/>
                <w:szCs w:val="20"/>
                <w:color w:val="auto"/>
              </w:rPr>
            </w:pPr>
            <w:r>
              <w:rPr>
                <w:rFonts w:ascii="Arial" w:cs="Arial" w:eastAsia="Arial" w:hAnsi="Arial"/>
                <w:sz w:val="18"/>
                <w:szCs w:val="18"/>
                <w:b w:val="1"/>
                <w:bCs w:val="1"/>
                <w:color w:val="51555C"/>
              </w:rPr>
              <w:t>3x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48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Mr. Boor</w:t>
            </w:r>
          </w:p>
        </w:tc>
        <w:tc>
          <w:tcPr>
            <w:tcW w:w="11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16,380</w:t>
            </w:r>
          </w:p>
        </w:tc>
        <w:tc>
          <w:tcPr>
            <w:tcW w:w="670" w:type="dxa"/>
            <w:vAlign w:val="bottom"/>
            <w:shd w:val="clear" w:color="auto" w:fill="EBFBFF"/>
          </w:tcPr>
          <w:p>
            <w:pPr>
              <w:spacing w:after="0"/>
              <w:rPr>
                <w:sz w:val="24"/>
                <w:szCs w:val="24"/>
                <w:color w:val="auto"/>
              </w:rPr>
            </w:pPr>
          </w:p>
        </w:tc>
        <w:tc>
          <w:tcPr>
            <w:tcW w:w="170" w:type="dxa"/>
            <w:vAlign w:val="bottom"/>
            <w:shd w:val="clear" w:color="auto" w:fill="EBFBFF"/>
          </w:tcPr>
          <w:p>
            <w:pPr>
              <w:spacing w:after="0"/>
              <w:rPr>
                <w:sz w:val="24"/>
                <w:szCs w:val="24"/>
                <w:color w:val="auto"/>
              </w:rPr>
            </w:pPr>
          </w:p>
        </w:tc>
        <w:tc>
          <w:tcPr>
            <w:tcW w:w="860" w:type="dxa"/>
            <w:vAlign w:val="bottom"/>
            <w:tcBorders>
              <w:right w:val="single" w:sz="8" w:color="EBFBFF"/>
            </w:tcBorders>
            <w:shd w:val="clear" w:color="auto" w:fill="EBFBFF"/>
          </w:tcPr>
          <w:p>
            <w:pPr>
              <w:jc w:val="center"/>
              <w:ind w:left="36"/>
              <w:spacing w:after="0"/>
              <w:rPr>
                <w:sz w:val="20"/>
                <w:szCs w:val="20"/>
                <w:color w:val="auto"/>
              </w:rPr>
            </w:pPr>
            <w:r>
              <w:rPr>
                <w:rFonts w:ascii="Arial" w:cs="Arial" w:eastAsia="Arial" w:hAnsi="Arial"/>
                <w:sz w:val="18"/>
                <w:szCs w:val="18"/>
                <w:color w:val="51555C"/>
                <w:w w:val="98"/>
              </w:rPr>
              <w:t>20,000</w:t>
            </w:r>
          </w:p>
        </w:tc>
        <w:tc>
          <w:tcPr>
            <w:tcW w:w="143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166,266</w:t>
            </w:r>
          </w:p>
        </w:tc>
        <w:tc>
          <w:tcPr>
            <w:tcW w:w="1470" w:type="dxa"/>
            <w:vAlign w:val="bottom"/>
            <w:shd w:val="clear" w:color="auto" w:fill="EBFBFF"/>
          </w:tcPr>
          <w:p>
            <w:pPr>
              <w:jc w:val="right"/>
              <w:spacing w:after="0"/>
              <w:rPr>
                <w:sz w:val="20"/>
                <w:szCs w:val="20"/>
                <w:color w:val="auto"/>
              </w:rPr>
            </w:pPr>
            <w:r>
              <w:rPr>
                <w:rFonts w:ascii="Arial" w:cs="Arial" w:eastAsia="Arial" w:hAnsi="Arial"/>
                <w:sz w:val="18"/>
                <w:szCs w:val="18"/>
                <w:b w:val="1"/>
                <w:bCs w:val="1"/>
                <w:color w:val="51555C"/>
              </w:rPr>
              <w:t>10x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480" w:type="dxa"/>
            <w:vAlign w:val="bottom"/>
          </w:tcPr>
          <w:p>
            <w:pPr>
              <w:ind w:left="20"/>
              <w:spacing w:after="0"/>
              <w:rPr>
                <w:sz w:val="20"/>
                <w:szCs w:val="20"/>
                <w:color w:val="auto"/>
              </w:rPr>
            </w:pPr>
            <w:r>
              <w:rPr>
                <w:rFonts w:ascii="Arial" w:cs="Arial" w:eastAsia="Arial" w:hAnsi="Arial"/>
                <w:sz w:val="18"/>
                <w:szCs w:val="18"/>
                <w:b w:val="1"/>
                <w:bCs w:val="1"/>
                <w:color w:val="51555C"/>
              </w:rPr>
              <w:t>Mr. Benjamin</w:t>
            </w:r>
          </w:p>
        </w:tc>
        <w:tc>
          <w:tcPr>
            <w:tcW w:w="1160" w:type="dxa"/>
            <w:vAlign w:val="bottom"/>
          </w:tcPr>
          <w:p>
            <w:pPr>
              <w:jc w:val="right"/>
              <w:spacing w:after="0"/>
              <w:rPr>
                <w:sz w:val="20"/>
                <w:szCs w:val="20"/>
                <w:color w:val="auto"/>
              </w:rPr>
            </w:pPr>
            <w:r>
              <w:rPr>
                <w:rFonts w:ascii="Arial" w:cs="Arial" w:eastAsia="Arial" w:hAnsi="Arial"/>
                <w:sz w:val="18"/>
                <w:szCs w:val="18"/>
                <w:color w:val="51555C"/>
              </w:rPr>
              <w:t>14,656</w:t>
            </w:r>
          </w:p>
        </w:tc>
        <w:tc>
          <w:tcPr>
            <w:tcW w:w="67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860" w:type="dxa"/>
            <w:vAlign w:val="bottom"/>
          </w:tcPr>
          <w:p>
            <w:pPr>
              <w:jc w:val="center"/>
              <w:ind w:left="36"/>
              <w:spacing w:after="0"/>
              <w:rPr>
                <w:sz w:val="20"/>
                <w:szCs w:val="20"/>
                <w:color w:val="auto"/>
              </w:rPr>
            </w:pPr>
            <w:r>
              <w:rPr>
                <w:rFonts w:ascii="Arial" w:cs="Arial" w:eastAsia="Arial" w:hAnsi="Arial"/>
                <w:sz w:val="18"/>
                <w:szCs w:val="18"/>
                <w:color w:val="51555C"/>
                <w:w w:val="98"/>
              </w:rPr>
              <w:t>20,000</w:t>
            </w:r>
          </w:p>
        </w:tc>
        <w:tc>
          <w:tcPr>
            <w:tcW w:w="1430" w:type="dxa"/>
            <w:vAlign w:val="bottom"/>
          </w:tcPr>
          <w:p>
            <w:pPr>
              <w:jc w:val="right"/>
              <w:spacing w:after="0"/>
              <w:rPr>
                <w:sz w:val="20"/>
                <w:szCs w:val="20"/>
                <w:color w:val="auto"/>
              </w:rPr>
            </w:pPr>
            <w:r>
              <w:rPr>
                <w:rFonts w:ascii="Arial" w:cs="Arial" w:eastAsia="Arial" w:hAnsi="Arial"/>
                <w:sz w:val="18"/>
                <w:szCs w:val="18"/>
                <w:color w:val="51555C"/>
              </w:rPr>
              <w:t>69,242</w:t>
            </w:r>
          </w:p>
        </w:tc>
        <w:tc>
          <w:tcPr>
            <w:tcW w:w="1470" w:type="dxa"/>
            <w:vAlign w:val="bottom"/>
          </w:tcPr>
          <w:p>
            <w:pPr>
              <w:jc w:val="right"/>
              <w:spacing w:after="0"/>
              <w:rPr>
                <w:sz w:val="20"/>
                <w:szCs w:val="20"/>
                <w:color w:val="auto"/>
              </w:rPr>
            </w:pPr>
            <w:r>
              <w:rPr>
                <w:rFonts w:ascii="Arial" w:cs="Arial" w:eastAsia="Arial" w:hAnsi="Arial"/>
                <w:sz w:val="18"/>
                <w:szCs w:val="18"/>
                <w:b w:val="1"/>
                <w:bCs w:val="1"/>
                <w:color w:val="51555C"/>
              </w:rPr>
              <w:t>5x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48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Mr. Gregoire</w:t>
            </w:r>
          </w:p>
        </w:tc>
        <w:tc>
          <w:tcPr>
            <w:tcW w:w="11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15,477</w:t>
            </w:r>
          </w:p>
        </w:tc>
        <w:tc>
          <w:tcPr>
            <w:tcW w:w="670" w:type="dxa"/>
            <w:vAlign w:val="bottom"/>
            <w:shd w:val="clear" w:color="auto" w:fill="EBFBFF"/>
          </w:tcPr>
          <w:p>
            <w:pPr>
              <w:spacing w:after="0"/>
              <w:rPr>
                <w:sz w:val="24"/>
                <w:szCs w:val="24"/>
                <w:color w:val="auto"/>
              </w:rPr>
            </w:pPr>
          </w:p>
        </w:tc>
        <w:tc>
          <w:tcPr>
            <w:tcW w:w="170" w:type="dxa"/>
            <w:vAlign w:val="bottom"/>
            <w:shd w:val="clear" w:color="auto" w:fill="EBFBFF"/>
          </w:tcPr>
          <w:p>
            <w:pPr>
              <w:spacing w:after="0"/>
              <w:rPr>
                <w:sz w:val="24"/>
                <w:szCs w:val="24"/>
                <w:color w:val="auto"/>
              </w:rPr>
            </w:pPr>
          </w:p>
        </w:tc>
        <w:tc>
          <w:tcPr>
            <w:tcW w:w="860" w:type="dxa"/>
            <w:vAlign w:val="bottom"/>
            <w:tcBorders>
              <w:right w:val="single" w:sz="8" w:color="EBFBFF"/>
            </w:tcBorders>
            <w:shd w:val="clear" w:color="auto" w:fill="EBFBFF"/>
          </w:tcPr>
          <w:p>
            <w:pPr>
              <w:jc w:val="center"/>
              <w:ind w:left="36"/>
              <w:spacing w:after="0"/>
              <w:rPr>
                <w:sz w:val="20"/>
                <w:szCs w:val="20"/>
                <w:color w:val="auto"/>
              </w:rPr>
            </w:pPr>
            <w:r>
              <w:rPr>
                <w:rFonts w:ascii="Arial" w:cs="Arial" w:eastAsia="Arial" w:hAnsi="Arial"/>
                <w:sz w:val="18"/>
                <w:szCs w:val="18"/>
                <w:color w:val="51555C"/>
                <w:w w:val="98"/>
              </w:rPr>
              <w:t>20,000</w:t>
            </w:r>
          </w:p>
        </w:tc>
        <w:tc>
          <w:tcPr>
            <w:tcW w:w="143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109,985</w:t>
            </w:r>
          </w:p>
        </w:tc>
        <w:tc>
          <w:tcPr>
            <w:tcW w:w="1470" w:type="dxa"/>
            <w:vAlign w:val="bottom"/>
            <w:shd w:val="clear" w:color="auto" w:fill="EBFBFF"/>
          </w:tcPr>
          <w:p>
            <w:pPr>
              <w:jc w:val="right"/>
              <w:spacing w:after="0"/>
              <w:rPr>
                <w:sz w:val="20"/>
                <w:szCs w:val="20"/>
                <w:color w:val="auto"/>
              </w:rPr>
            </w:pPr>
            <w:r>
              <w:rPr>
                <w:rFonts w:ascii="Arial" w:cs="Arial" w:eastAsia="Arial" w:hAnsi="Arial"/>
                <w:sz w:val="18"/>
                <w:szCs w:val="18"/>
                <w:b w:val="1"/>
                <w:bCs w:val="1"/>
                <w:color w:val="51555C"/>
              </w:rPr>
              <w:t>7x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48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51555C"/>
              </w:rPr>
              <w:t>Mr. McDearis</w:t>
            </w:r>
          </w:p>
        </w:tc>
        <w:tc>
          <w:tcPr>
            <w:tcW w:w="1160" w:type="dxa"/>
            <w:vAlign w:val="bottom"/>
            <w:tcBorders>
              <w:bottom w:val="single" w:sz="8" w:color="0CD973"/>
            </w:tcBorders>
          </w:tcPr>
          <w:p>
            <w:pPr>
              <w:jc w:val="right"/>
              <w:spacing w:after="0"/>
              <w:rPr>
                <w:sz w:val="20"/>
                <w:szCs w:val="20"/>
                <w:color w:val="auto"/>
              </w:rPr>
            </w:pPr>
            <w:r>
              <w:rPr>
                <w:rFonts w:ascii="Arial" w:cs="Arial" w:eastAsia="Arial" w:hAnsi="Arial"/>
                <w:sz w:val="18"/>
                <w:szCs w:val="18"/>
                <w:color w:val="51555C"/>
              </w:rPr>
              <w:t>15,003</w:t>
            </w:r>
          </w:p>
        </w:tc>
        <w:tc>
          <w:tcPr>
            <w:tcW w:w="670" w:type="dxa"/>
            <w:vAlign w:val="bottom"/>
            <w:tcBorders>
              <w:bottom w:val="single" w:sz="8" w:color="0CD973"/>
            </w:tcBorders>
          </w:tcPr>
          <w:p>
            <w:pPr>
              <w:spacing w:after="0"/>
              <w:rPr>
                <w:sz w:val="24"/>
                <w:szCs w:val="24"/>
                <w:color w:val="auto"/>
              </w:rPr>
            </w:pPr>
          </w:p>
        </w:tc>
        <w:tc>
          <w:tcPr>
            <w:tcW w:w="170" w:type="dxa"/>
            <w:vAlign w:val="bottom"/>
            <w:tcBorders>
              <w:bottom w:val="single" w:sz="8" w:color="0CD973"/>
            </w:tcBorders>
          </w:tcPr>
          <w:p>
            <w:pPr>
              <w:spacing w:after="0"/>
              <w:rPr>
                <w:sz w:val="24"/>
                <w:szCs w:val="24"/>
                <w:color w:val="auto"/>
              </w:rPr>
            </w:pPr>
          </w:p>
        </w:tc>
        <w:tc>
          <w:tcPr>
            <w:tcW w:w="860" w:type="dxa"/>
            <w:vAlign w:val="bottom"/>
            <w:tcBorders>
              <w:bottom w:val="single" w:sz="8" w:color="0CD973"/>
            </w:tcBorders>
          </w:tcPr>
          <w:p>
            <w:pPr>
              <w:jc w:val="center"/>
              <w:ind w:left="36"/>
              <w:spacing w:after="0"/>
              <w:rPr>
                <w:sz w:val="20"/>
                <w:szCs w:val="20"/>
                <w:color w:val="auto"/>
              </w:rPr>
            </w:pPr>
            <w:r>
              <w:rPr>
                <w:rFonts w:ascii="Arial" w:cs="Arial" w:eastAsia="Arial" w:hAnsi="Arial"/>
                <w:sz w:val="18"/>
                <w:szCs w:val="18"/>
                <w:color w:val="51555C"/>
                <w:w w:val="98"/>
              </w:rPr>
              <w:t>20,000</w:t>
            </w:r>
          </w:p>
        </w:tc>
        <w:tc>
          <w:tcPr>
            <w:tcW w:w="1430" w:type="dxa"/>
            <w:vAlign w:val="bottom"/>
            <w:tcBorders>
              <w:bottom w:val="single" w:sz="8" w:color="0CD973"/>
            </w:tcBorders>
          </w:tcPr>
          <w:p>
            <w:pPr>
              <w:jc w:val="right"/>
              <w:spacing w:after="0"/>
              <w:rPr>
                <w:sz w:val="20"/>
                <w:szCs w:val="20"/>
                <w:color w:val="auto"/>
              </w:rPr>
            </w:pPr>
            <w:r>
              <w:rPr>
                <w:rFonts w:ascii="Arial" w:cs="Arial" w:eastAsia="Arial" w:hAnsi="Arial"/>
                <w:sz w:val="18"/>
                <w:szCs w:val="18"/>
                <w:color w:val="51555C"/>
              </w:rPr>
              <w:t>74,805</w:t>
            </w:r>
          </w:p>
        </w:tc>
        <w:tc>
          <w:tcPr>
            <w:tcW w:w="1470" w:type="dxa"/>
            <w:vAlign w:val="bottom"/>
            <w:tcBorders>
              <w:bottom w:val="single" w:sz="8" w:color="0CD973"/>
            </w:tcBorders>
          </w:tcPr>
          <w:p>
            <w:pPr>
              <w:jc w:val="right"/>
              <w:spacing w:after="0"/>
              <w:rPr>
                <w:sz w:val="20"/>
                <w:szCs w:val="20"/>
                <w:color w:val="auto"/>
              </w:rPr>
            </w:pPr>
            <w:r>
              <w:rPr>
                <w:rFonts w:ascii="Arial" w:cs="Arial" w:eastAsia="Arial" w:hAnsi="Arial"/>
                <w:sz w:val="18"/>
                <w:szCs w:val="18"/>
                <w:b w:val="1"/>
                <w:bCs w:val="1"/>
                <w:color w:val="51555C"/>
              </w:rPr>
              <w:t>5x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-1619250</wp:posOffset>
            </wp:positionV>
            <wp:extent cx="181737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52" w:lineRule="exact"/>
        <w:rPr>
          <w:sz w:val="20"/>
          <w:szCs w:val="20"/>
          <w:color w:val="auto"/>
        </w:rPr>
      </w:pPr>
    </w:p>
    <w:p>
      <w:pPr>
        <w:ind w:left="340" w:right="40" w:hanging="332"/>
        <w:spacing w:after="0" w:line="305" w:lineRule="auto"/>
        <w:tabs>
          <w:tab w:leader="none" w:pos="354" w:val="left"/>
        </w:tabs>
        <w:numPr>
          <w:ilvl w:val="0"/>
          <w:numId w:val="60"/>
        </w:numPr>
        <w:rPr>
          <w:rFonts w:ascii="Arial" w:cs="Arial" w:eastAsia="Arial" w:hAnsi="Arial"/>
          <w:sz w:val="14"/>
          <w:szCs w:val="14"/>
          <w:color w:val="51555C"/>
        </w:rPr>
      </w:pPr>
      <w:r>
        <w:rPr>
          <w:rFonts w:ascii="Arial" w:cs="Arial" w:eastAsia="Arial" w:hAnsi="Arial"/>
          <w:sz w:val="14"/>
          <w:szCs w:val="14"/>
          <w:color w:val="51555C"/>
        </w:rPr>
        <w:t>Number of shares required under the guideline for multiple of base salary calculated using $63.32 per share which was the closing price of our common stock on the Nasdaq Global Select Market on December 31, 2025.</w:t>
      </w:r>
    </w:p>
    <w:p>
      <w:pPr>
        <w:spacing w:after="0" w:line="36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Other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Tax Deductibility of Executive Compensation</w:t>
      </w:r>
    </w:p>
    <w:p>
      <w:pPr>
        <w:spacing w:after="0" w:line="16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51555C"/>
        </w:rPr>
        <w:t>The Compensation Committee considers the potential effect of Section 162(m) of the Code, along with other factors, in designing and administering our executive compensation program. Section 162(m) of the Code generally imposes a limitation on the deductibility of annual individual compensation in excess of $ 1.0 million paid to certain covered employees (generally, the CEO, the CFO, certain other executive officers and certain former officers). In addition, effective for taxable years beginning after December 31, 2026, the deductibility of annual individual compensation for the next five most highly compensated employees for the taxable year (regardless of whether they are officers) also will be subject to the same $1.0 million limitation.</w:t>
      </w:r>
    </w:p>
    <w:p>
      <w:pPr>
        <w:spacing w:after="0" w:line="12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While tax deductibility may be a consideration for the Company's executive compensation program, the Compensation Committee also intends to continue to approach and manage our executive compensation program in a manner that it believes will attract, motivate and retain key personnel and to evaluate performance and compensate the NEOs as the Compensation Committee deems appropriate in its judgment, even if it may result in compensation that will not be deductible under Section 162(m) of the Code. The Compensation Committee believes that the discretion and flexibility to award such compensation, even if it is not deductible because of the limitations of Section 162(m) of the Code, serves the best interests of the Company and our stockholders by allowing the Compensation Committee to compensate executive officers appropriately in its discretion as circumstances warrant and in furtherance of its compensation philosophy and objectives.</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Changes in applicable tax laws and regulations, and interpretations of such laws and regulations, as well as other factors beyond our control also may affect the deductibility of executive compensation.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Accounting for Stock-based Compensation</w:t>
      </w:r>
    </w:p>
    <w:p>
      <w:pPr>
        <w:spacing w:after="0" w:line="16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We account for stock-based compensation awards in accordance with the requirements of FASB ASC Topic 718. Under FASB ASC Topic 718, stock-based compensation cost is measured at the grant date based on the fair value of the award and is recognized as expense over the requisite service period, which is the vesting period. The assumptions used to determine the fair value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214630</wp:posOffset>
            </wp:positionV>
            <wp:extent cx="702945" cy="1111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51</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00" w:right="319" w:bottom="1068" w:gutter="0" w:footer="0" w:header="0"/>
        </w:sectPr>
      </w:pPr>
    </w:p>
    <w:bookmarkStart w:id="53" w:name="page54"/>
    <w:bookmarkEnd w:id="53"/>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EXECUTIVE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the awards granted in 2025 are included in Note 13 of the financial statements included in our Company's Annual Report on Form 10-K for the fiscal year ended December 31, 2025, filed with the SEC on February 18, 2026.</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We recognize the effect of awards for which the requisite service period is not rendered when the award is forfeited (that is, we recognize the effect of forfeitures in compensation cost when they occur). Previously recognized compensation cost for an award is reversed in the period that the award is forfeited. Income tax benefits resulting from the vesting and exercise of stock-based compensation awards are recognized in the period the unit or award is vested or option or right is exercised.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Assessment of Compensation</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The Compensation Committee continually assesses our compensation programs in an effort to ensure that they do not create risks that are reasonably likely to have a material adverse effect on the Company and are in the best interest of our stockholders. We believe that the combination of different types and amounts of compensation, together with our internal controls and oversight by the Board of Directors, mitigates potential compensation-related risks to both our Company and our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COMPENSATION COMMITTEE REPORT</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The Compensation Committee has reviewed and discussed the CD&amp;A with our Company’s management. Based on this review and discussion, the Compensation Committee recommended to the Board of Directors that the CD&amp;A be included in this Proxy Statement and incorporated by reference into our Annual Report on Form 10-K for the fiscal year ended December 31, 2025, which was filed with the SEC on February 18, 2026.</w:t>
      </w:r>
    </w:p>
    <w:p>
      <w:pPr>
        <w:spacing w:after="0" w:line="122" w:lineRule="exact"/>
        <w:rPr>
          <w:sz w:val="20"/>
          <w:szCs w:val="20"/>
          <w:color w:val="auto"/>
        </w:rPr>
      </w:pPr>
    </w:p>
    <w:p>
      <w:pPr>
        <w:ind w:left="5840"/>
        <w:spacing w:after="0"/>
        <w:rPr>
          <w:sz w:val="20"/>
          <w:szCs w:val="20"/>
          <w:color w:val="auto"/>
        </w:rPr>
      </w:pPr>
      <w:r>
        <w:rPr>
          <w:rFonts w:ascii="Arial" w:cs="Arial" w:eastAsia="Arial" w:hAnsi="Arial"/>
          <w:sz w:val="18"/>
          <w:szCs w:val="18"/>
          <w:color w:val="51555C"/>
        </w:rPr>
        <w:t>THE COMPENSATION COMMITTEE OF</w:t>
      </w:r>
    </w:p>
    <w:p>
      <w:pPr>
        <w:spacing w:after="0" w:line="27" w:lineRule="exact"/>
        <w:rPr>
          <w:sz w:val="20"/>
          <w:szCs w:val="20"/>
          <w:color w:val="auto"/>
        </w:rPr>
      </w:pPr>
    </w:p>
    <w:p>
      <w:pPr>
        <w:ind w:left="5840"/>
        <w:spacing w:after="0"/>
        <w:rPr>
          <w:sz w:val="20"/>
          <w:szCs w:val="20"/>
          <w:color w:val="auto"/>
        </w:rPr>
      </w:pPr>
      <w:r>
        <w:rPr>
          <w:rFonts w:ascii="Arial" w:cs="Arial" w:eastAsia="Arial" w:hAnsi="Arial"/>
          <w:sz w:val="18"/>
          <w:szCs w:val="18"/>
          <w:color w:val="51555C"/>
        </w:rPr>
        <w:t>THE BOARD OF DIRECTORS</w:t>
      </w:r>
    </w:p>
    <w:p>
      <w:pPr>
        <w:spacing w:after="0" w:line="45" w:lineRule="exact"/>
        <w:rPr>
          <w:sz w:val="20"/>
          <w:szCs w:val="20"/>
          <w:color w:val="auto"/>
        </w:rPr>
      </w:pPr>
    </w:p>
    <w:p>
      <w:pPr>
        <w:ind w:left="5840"/>
        <w:spacing w:after="0"/>
        <w:rPr>
          <w:sz w:val="20"/>
          <w:szCs w:val="20"/>
          <w:color w:val="auto"/>
        </w:rPr>
      </w:pPr>
      <w:r>
        <w:rPr>
          <w:rFonts w:ascii="Arial" w:cs="Arial" w:eastAsia="Arial" w:hAnsi="Arial"/>
          <w:sz w:val="18"/>
          <w:szCs w:val="18"/>
          <w:color w:val="51555C"/>
        </w:rPr>
        <w:t>Kristian P. Talvitie, Chair</w:t>
      </w:r>
    </w:p>
    <w:p>
      <w:pPr>
        <w:spacing w:after="0" w:line="27" w:lineRule="exact"/>
        <w:rPr>
          <w:sz w:val="20"/>
          <w:szCs w:val="20"/>
          <w:color w:val="auto"/>
        </w:rPr>
      </w:pPr>
    </w:p>
    <w:p>
      <w:pPr>
        <w:ind w:left="5840"/>
        <w:spacing w:after="0"/>
        <w:rPr>
          <w:sz w:val="20"/>
          <w:szCs w:val="20"/>
          <w:color w:val="auto"/>
        </w:rPr>
      </w:pPr>
      <w:r>
        <w:rPr>
          <w:rFonts w:ascii="Arial" w:cs="Arial" w:eastAsia="Arial" w:hAnsi="Arial"/>
          <w:sz w:val="18"/>
          <w:szCs w:val="18"/>
          <w:color w:val="51555C"/>
        </w:rPr>
        <w:t>Andrew M. Leitch</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51555C"/>
        </w:rPr>
        <w:t>Bradley L. Pyburn</w:t>
      </w: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COMPENSATION COMMITTEE INTERLOCKS AND INSIDER PARTICIPATION</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51555C"/>
        </w:rPr>
        <w:t>The members of the Board of Directors who served on the Compensation Committee in 2025 were Chair Kristian P. Talvitie, Andrew M. Leitch and Bradley L. Pyburn. None of the members of the Compensation Committee serves or in the past has served as one of our executive officers or has been employed by us and none of our executive officers have served on the compensation committee or board of any company that employed any member of our Compensation Committee or Board. Mr. Gianoni participated in discussions regarding base salary, STI and LTI compensation for our executive officers, except for discussions regarding his own base salary, STI and LTI compensation.</w:t>
      </w:r>
    </w:p>
    <w:p>
      <w:pPr>
        <w:spacing w:after="0" w:line="334"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52</w:t>
      </w:r>
      <w:r>
        <w:rPr>
          <w:sz w:val="20"/>
          <w:szCs w:val="20"/>
          <w:color w:val="auto"/>
        </w:rPr>
        <w:tab/>
      </w:r>
      <w:r>
        <w:rPr>
          <w:sz w:val="1"/>
          <w:szCs w:val="1"/>
          <w:color w:val="auto"/>
        </w:rPr>
        <w:drawing>
          <wp:inline distT="0" distB="0" distL="0" distR="0">
            <wp:extent cx="702945" cy="111125"/>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155575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54" w:name="page55"/>
    <w:bookmarkEnd w:id="54"/>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b w:val="1"/>
          <w:bCs w:val="1"/>
          <w:color w:val="5155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COMPENSATION TABLES</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2025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51555C"/>
        </w:rPr>
        <w:t>The following table sets forth information concerning the compensation paid to and earned by our NEOs for services rendered to us in all capacities in 2025, 2024 and 2023. The Company did not grant option awards during any of the years shown in the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70" w:type="dxa"/>
            <w:vAlign w:val="bottom"/>
            <w:vMerge w:val="restart"/>
            <w:shd w:val="clear" w:color="auto" w:fill="004054"/>
          </w:tcPr>
          <w:p>
            <w:pPr>
              <w:ind w:left="40"/>
              <w:spacing w:after="0"/>
              <w:rPr>
                <w:sz w:val="20"/>
                <w:szCs w:val="20"/>
                <w:color w:val="auto"/>
              </w:rPr>
            </w:pPr>
            <w:r>
              <w:rPr>
                <w:rFonts w:ascii="Arial" w:cs="Arial" w:eastAsia="Arial" w:hAnsi="Arial"/>
                <w:sz w:val="14"/>
                <w:szCs w:val="14"/>
                <w:b w:val="1"/>
                <w:bCs w:val="1"/>
                <w:color w:val="FFFFFF"/>
              </w:rPr>
              <w:t>Name and Principal</w:t>
            </w:r>
          </w:p>
        </w:tc>
        <w:tc>
          <w:tcPr>
            <w:tcW w:w="640" w:type="dxa"/>
            <w:vAlign w:val="bottom"/>
            <w:shd w:val="clear" w:color="auto" w:fill="004054"/>
          </w:tcPr>
          <w:p>
            <w:pPr>
              <w:spacing w:after="0"/>
              <w:rPr>
                <w:sz w:val="17"/>
                <w:szCs w:val="17"/>
                <w:color w:val="auto"/>
              </w:rPr>
            </w:pPr>
          </w:p>
        </w:tc>
        <w:tc>
          <w:tcPr>
            <w:tcW w:w="152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Salary</w:t>
            </w:r>
            <w:r>
              <w:rPr>
                <w:rFonts w:ascii="Arial" w:cs="Arial" w:eastAsia="Arial" w:hAnsi="Arial"/>
                <w:sz w:val="9"/>
                <w:szCs w:val="9"/>
                <w:b w:val="1"/>
                <w:bCs w:val="1"/>
                <w:color w:val="FFFFFF"/>
              </w:rPr>
              <w:t>(1)</w:t>
            </w:r>
          </w:p>
        </w:tc>
        <w:tc>
          <w:tcPr>
            <w:tcW w:w="15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Stock</w:t>
            </w:r>
          </w:p>
        </w:tc>
        <w:tc>
          <w:tcPr>
            <w:tcW w:w="155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All Other</w:t>
            </w:r>
          </w:p>
        </w:tc>
        <w:tc>
          <w:tcPr>
            <w:tcW w:w="1540" w:type="dxa"/>
            <w:vAlign w:val="bottom"/>
            <w:vMerge w:val="restart"/>
            <w:shd w:val="clear" w:color="auto" w:fill="006880"/>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4"/>
        </w:trPr>
        <w:tc>
          <w:tcPr>
            <w:tcW w:w="4470" w:type="dxa"/>
            <w:vAlign w:val="bottom"/>
            <w:vMerge w:val="continue"/>
            <w:shd w:val="clear" w:color="auto" w:fill="004054"/>
          </w:tcPr>
          <w:p>
            <w:pPr>
              <w:spacing w:after="0"/>
              <w:rPr>
                <w:sz w:val="14"/>
                <w:szCs w:val="14"/>
                <w:color w:val="auto"/>
              </w:rPr>
            </w:pPr>
          </w:p>
        </w:tc>
        <w:tc>
          <w:tcPr>
            <w:tcW w:w="640" w:type="dxa"/>
            <w:vAlign w:val="bottom"/>
            <w:shd w:val="clear" w:color="auto" w:fill="004054"/>
          </w:tcPr>
          <w:p>
            <w:pPr>
              <w:spacing w:after="0"/>
              <w:rPr>
                <w:sz w:val="14"/>
                <w:szCs w:val="14"/>
                <w:color w:val="auto"/>
              </w:rPr>
            </w:pPr>
          </w:p>
        </w:tc>
        <w:tc>
          <w:tcPr>
            <w:tcW w:w="1520" w:type="dxa"/>
            <w:vAlign w:val="bottom"/>
            <w:vMerge w:val="continue"/>
            <w:shd w:val="clear" w:color="auto" w:fill="004054"/>
          </w:tcPr>
          <w:p>
            <w:pPr>
              <w:spacing w:after="0"/>
              <w:rPr>
                <w:sz w:val="14"/>
                <w:szCs w:val="14"/>
                <w:color w:val="auto"/>
              </w:rPr>
            </w:pPr>
          </w:p>
        </w:tc>
        <w:tc>
          <w:tcPr>
            <w:tcW w:w="1540" w:type="dxa"/>
            <w:vAlign w:val="bottom"/>
            <w:shd w:val="clear" w:color="auto" w:fill="004054"/>
          </w:tcPr>
          <w:p>
            <w:pPr>
              <w:jc w:val="right"/>
              <w:spacing w:after="0" w:line="164"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18"/>
                <w:szCs w:val="18"/>
                <w:b w:val="1"/>
                <w:bCs w:val="1"/>
                <w:color w:val="FFFFFF"/>
                <w:vertAlign w:val="superscript"/>
              </w:rPr>
              <w:t>(2)</w:t>
            </w:r>
          </w:p>
        </w:tc>
        <w:tc>
          <w:tcPr>
            <w:tcW w:w="1550" w:type="dxa"/>
            <w:vAlign w:val="bottom"/>
            <w:shd w:val="clear" w:color="auto" w:fill="004054"/>
          </w:tcPr>
          <w:p>
            <w:pPr>
              <w:jc w:val="right"/>
              <w:spacing w:after="0" w:line="164" w:lineRule="exact"/>
              <w:rPr>
                <w:sz w:val="20"/>
                <w:szCs w:val="20"/>
                <w:color w:val="auto"/>
              </w:rPr>
            </w:pPr>
            <w:r>
              <w:rPr>
                <w:rFonts w:ascii="Arial" w:cs="Arial" w:eastAsia="Arial" w:hAnsi="Arial"/>
                <w:sz w:val="14"/>
                <w:szCs w:val="14"/>
                <w:b w:val="1"/>
                <w:bCs w:val="1"/>
                <w:color w:val="FFFFFF"/>
              </w:rPr>
              <w:t>Compensation</w:t>
            </w:r>
            <w:r>
              <w:rPr>
                <w:rFonts w:ascii="Arial" w:cs="Arial" w:eastAsia="Arial" w:hAnsi="Arial"/>
                <w:sz w:val="18"/>
                <w:szCs w:val="18"/>
                <w:b w:val="1"/>
                <w:bCs w:val="1"/>
                <w:color w:val="FFFFFF"/>
                <w:vertAlign w:val="superscript"/>
              </w:rPr>
              <w:t>(3)</w:t>
            </w:r>
          </w:p>
        </w:tc>
        <w:tc>
          <w:tcPr>
            <w:tcW w:w="1540" w:type="dxa"/>
            <w:vAlign w:val="bottom"/>
            <w:vMerge w:val="continue"/>
            <w:shd w:val="clear" w:color="auto" w:fill="006880"/>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47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Position</w:t>
            </w:r>
          </w:p>
        </w:tc>
        <w:tc>
          <w:tcPr>
            <w:tcW w:w="640" w:type="dxa"/>
            <w:vAlign w:val="bottom"/>
            <w:shd w:val="clear" w:color="auto" w:fill="004054"/>
          </w:tcPr>
          <w:p>
            <w:pPr>
              <w:ind w:left="310"/>
              <w:spacing w:after="0"/>
              <w:rPr>
                <w:sz w:val="20"/>
                <w:szCs w:val="20"/>
                <w:color w:val="auto"/>
              </w:rPr>
            </w:pPr>
            <w:r>
              <w:rPr>
                <w:rFonts w:ascii="Arial" w:cs="Arial" w:eastAsia="Arial" w:hAnsi="Arial"/>
                <w:sz w:val="14"/>
                <w:szCs w:val="14"/>
                <w:b w:val="1"/>
                <w:bCs w:val="1"/>
                <w:color w:val="FFFFFF"/>
              </w:rPr>
              <w:t>Year</w:t>
            </w:r>
          </w:p>
        </w:tc>
        <w:tc>
          <w:tcPr>
            <w:tcW w:w="15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w:t>
            </w:r>
          </w:p>
        </w:tc>
        <w:tc>
          <w:tcPr>
            <w:tcW w:w="15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w:t>
            </w:r>
          </w:p>
        </w:tc>
        <w:tc>
          <w:tcPr>
            <w:tcW w:w="155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w:t>
            </w:r>
          </w:p>
        </w:tc>
        <w:tc>
          <w:tcPr>
            <w:tcW w:w="1540" w:type="dxa"/>
            <w:vAlign w:val="bottom"/>
            <w:shd w:val="clear" w:color="auto" w:fill="006880"/>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4718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460" w:type="dxa"/>
            <w:vAlign w:val="bottom"/>
          </w:tcPr>
          <w:p>
            <w:pPr>
              <w:ind w:left="20"/>
              <w:spacing w:after="0"/>
              <w:rPr>
                <w:sz w:val="20"/>
                <w:szCs w:val="20"/>
                <w:color w:val="auto"/>
              </w:rPr>
            </w:pPr>
            <w:r>
              <w:rPr>
                <w:rFonts w:ascii="Arial" w:cs="Arial" w:eastAsia="Arial" w:hAnsi="Arial"/>
                <w:sz w:val="18"/>
                <w:szCs w:val="18"/>
                <w:b w:val="1"/>
                <w:bCs w:val="1"/>
                <w:color w:val="51555C"/>
              </w:rPr>
              <w:t>Michael P. Gianoni</w:t>
            </w:r>
          </w:p>
        </w:tc>
        <w:tc>
          <w:tcPr>
            <w:tcW w:w="640" w:type="dxa"/>
            <w:vAlign w:val="bottom"/>
          </w:tcPr>
          <w:p>
            <w:pPr>
              <w:jc w:val="right"/>
              <w:spacing w:after="0"/>
              <w:rPr>
                <w:sz w:val="20"/>
                <w:szCs w:val="20"/>
                <w:color w:val="auto"/>
              </w:rPr>
            </w:pPr>
            <w:r>
              <w:rPr>
                <w:rFonts w:ascii="Arial" w:cs="Arial" w:eastAsia="Arial" w:hAnsi="Arial"/>
                <w:sz w:val="16"/>
                <w:szCs w:val="16"/>
                <w:color w:val="51555C"/>
              </w:rPr>
              <w:t>2025</w:t>
            </w:r>
          </w:p>
        </w:tc>
        <w:tc>
          <w:tcPr>
            <w:tcW w:w="480" w:type="dxa"/>
            <w:vAlign w:val="bottom"/>
          </w:tcPr>
          <w:p>
            <w:pPr>
              <w:jc w:val="right"/>
              <w:ind w:right="299"/>
              <w:spacing w:after="0"/>
              <w:rPr>
                <w:sz w:val="20"/>
                <w:szCs w:val="20"/>
                <w:color w:val="auto"/>
              </w:rPr>
            </w:pPr>
            <w:r>
              <w:rPr>
                <w:rFonts w:ascii="Arial" w:cs="Arial" w:eastAsia="Arial" w:hAnsi="Arial"/>
                <w:sz w:val="16"/>
                <w:szCs w:val="16"/>
                <w:color w:val="51555C"/>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51555C"/>
              </w:rPr>
              <w:t>800,031</w:t>
            </w:r>
          </w:p>
        </w:tc>
        <w:tc>
          <w:tcPr>
            <w:tcW w:w="460" w:type="dxa"/>
            <w:vAlign w:val="bottom"/>
          </w:tcPr>
          <w:p>
            <w:pPr>
              <w:jc w:val="right"/>
              <w:ind w:right="239"/>
              <w:spacing w:after="0"/>
              <w:rPr>
                <w:sz w:val="20"/>
                <w:szCs w:val="20"/>
                <w:color w:val="auto"/>
              </w:rPr>
            </w:pPr>
            <w:r>
              <w:rPr>
                <w:rFonts w:ascii="Arial" w:cs="Arial" w:eastAsia="Arial" w:hAnsi="Arial"/>
                <w:sz w:val="16"/>
                <w:szCs w:val="16"/>
                <w:color w:val="51555C"/>
              </w:rPr>
              <w:t>$</w:t>
            </w:r>
          </w:p>
        </w:tc>
        <w:tc>
          <w:tcPr>
            <w:tcW w:w="1080" w:type="dxa"/>
            <w:vAlign w:val="bottom"/>
          </w:tcPr>
          <w:p>
            <w:pPr>
              <w:jc w:val="right"/>
              <w:spacing w:after="0"/>
              <w:rPr>
                <w:sz w:val="20"/>
                <w:szCs w:val="20"/>
                <w:color w:val="auto"/>
              </w:rPr>
            </w:pPr>
            <w:r>
              <w:rPr>
                <w:rFonts w:ascii="Arial" w:cs="Arial" w:eastAsia="Arial" w:hAnsi="Arial"/>
                <w:sz w:val="16"/>
                <w:szCs w:val="16"/>
                <w:color w:val="51555C"/>
              </w:rPr>
              <w:t>5,206,285</w:t>
            </w:r>
          </w:p>
        </w:tc>
        <w:tc>
          <w:tcPr>
            <w:tcW w:w="520" w:type="dxa"/>
            <w:vAlign w:val="bottom"/>
          </w:tcPr>
          <w:p>
            <w:pPr>
              <w:jc w:val="right"/>
              <w:ind w:right="299"/>
              <w:spacing w:after="0"/>
              <w:rPr>
                <w:sz w:val="20"/>
                <w:szCs w:val="20"/>
                <w:color w:val="auto"/>
              </w:rPr>
            </w:pPr>
            <w:r>
              <w:rPr>
                <w:rFonts w:ascii="Arial" w:cs="Arial" w:eastAsia="Arial" w:hAnsi="Arial"/>
                <w:sz w:val="16"/>
                <w:szCs w:val="16"/>
                <w:color w:val="51555C"/>
              </w:rPr>
              <w:t>$</w:t>
            </w:r>
          </w:p>
        </w:tc>
        <w:tc>
          <w:tcPr>
            <w:tcW w:w="1020" w:type="dxa"/>
            <w:vAlign w:val="bottom"/>
          </w:tcPr>
          <w:p>
            <w:pPr>
              <w:jc w:val="right"/>
              <w:spacing w:after="0"/>
              <w:rPr>
                <w:sz w:val="20"/>
                <w:szCs w:val="20"/>
                <w:color w:val="auto"/>
              </w:rPr>
            </w:pPr>
            <w:r>
              <w:rPr>
                <w:rFonts w:ascii="Arial" w:cs="Arial" w:eastAsia="Arial" w:hAnsi="Arial"/>
                <w:sz w:val="16"/>
                <w:szCs w:val="16"/>
                <w:color w:val="51555C"/>
              </w:rPr>
              <w:t>15,934</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51555C"/>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51555C"/>
              </w:rPr>
              <w:t>6,022,250</w:t>
            </w:r>
          </w:p>
        </w:tc>
      </w:tr>
      <w:tr>
        <w:trPr>
          <w:trHeight w:val="236"/>
        </w:trPr>
        <w:tc>
          <w:tcPr>
            <w:tcW w:w="4460" w:type="dxa"/>
            <w:vAlign w:val="bottom"/>
          </w:tcPr>
          <w:p>
            <w:pPr>
              <w:ind w:left="20"/>
              <w:spacing w:after="0"/>
              <w:rPr>
                <w:sz w:val="20"/>
                <w:szCs w:val="20"/>
                <w:color w:val="auto"/>
              </w:rPr>
            </w:pPr>
            <w:r>
              <w:rPr>
                <w:rFonts w:ascii="Arial" w:cs="Arial" w:eastAsia="Arial" w:hAnsi="Arial"/>
                <w:sz w:val="14"/>
                <w:szCs w:val="14"/>
                <w:color w:val="51555C"/>
              </w:rPr>
              <w:t>CEO, President and Vice Chairman of the Board</w:t>
            </w:r>
          </w:p>
        </w:tc>
        <w:tc>
          <w:tcPr>
            <w:tcW w:w="640" w:type="dxa"/>
            <w:vAlign w:val="bottom"/>
          </w:tcPr>
          <w:p>
            <w:pPr>
              <w:jc w:val="right"/>
              <w:spacing w:after="0"/>
              <w:rPr>
                <w:sz w:val="20"/>
                <w:szCs w:val="20"/>
                <w:color w:val="auto"/>
              </w:rPr>
            </w:pPr>
            <w:r>
              <w:rPr>
                <w:rFonts w:ascii="Arial" w:cs="Arial" w:eastAsia="Arial" w:hAnsi="Arial"/>
                <w:sz w:val="16"/>
                <w:szCs w:val="16"/>
                <w:color w:val="51555C"/>
              </w:rPr>
              <w:t>2024</w:t>
            </w:r>
          </w:p>
        </w:tc>
        <w:tc>
          <w:tcPr>
            <w:tcW w:w="480" w:type="dxa"/>
            <w:vAlign w:val="bottom"/>
            <w:shd w:val="clear" w:color="auto" w:fill="EBFBFF"/>
          </w:tcPr>
          <w:p>
            <w:pPr>
              <w:spacing w:after="0"/>
              <w:rPr>
                <w:sz w:val="20"/>
                <w:szCs w:val="20"/>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800,031</w:t>
            </w:r>
          </w:p>
        </w:tc>
        <w:tc>
          <w:tcPr>
            <w:tcW w:w="460" w:type="dxa"/>
            <w:vAlign w:val="bottom"/>
            <w:shd w:val="clear" w:color="auto" w:fill="EBFBFF"/>
          </w:tcPr>
          <w:p>
            <w:pPr>
              <w:spacing w:after="0"/>
              <w:rPr>
                <w:sz w:val="20"/>
                <w:szCs w:val="20"/>
                <w:color w:val="auto"/>
              </w:rPr>
            </w:pPr>
          </w:p>
        </w:tc>
        <w:tc>
          <w:tcPr>
            <w:tcW w:w="10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9,408,693</w:t>
            </w:r>
          </w:p>
        </w:tc>
        <w:tc>
          <w:tcPr>
            <w:tcW w:w="520" w:type="dxa"/>
            <w:vAlign w:val="bottom"/>
            <w:shd w:val="clear" w:color="auto" w:fill="EBFBFF"/>
          </w:tcPr>
          <w:p>
            <w:pPr>
              <w:spacing w:after="0"/>
              <w:rPr>
                <w:sz w:val="20"/>
                <w:szCs w:val="20"/>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17,116</w:t>
            </w:r>
          </w:p>
        </w:tc>
        <w:tc>
          <w:tcPr>
            <w:tcW w:w="400" w:type="dxa"/>
            <w:vAlign w:val="bottom"/>
            <w:shd w:val="clear" w:color="auto" w:fill="EBFBFF"/>
          </w:tcPr>
          <w:p>
            <w:pPr>
              <w:spacing w:after="0"/>
              <w:rPr>
                <w:sz w:val="20"/>
                <w:szCs w:val="20"/>
                <w:color w:val="auto"/>
              </w:rPr>
            </w:pPr>
          </w:p>
        </w:tc>
        <w:tc>
          <w:tcPr>
            <w:tcW w:w="1160" w:type="dxa"/>
            <w:vAlign w:val="bottom"/>
            <w:shd w:val="clear" w:color="auto" w:fill="EBFBFF"/>
          </w:tcPr>
          <w:p>
            <w:pPr>
              <w:jc w:val="right"/>
              <w:spacing w:after="0"/>
              <w:rPr>
                <w:sz w:val="20"/>
                <w:szCs w:val="20"/>
                <w:color w:val="auto"/>
              </w:rPr>
            </w:pPr>
            <w:r>
              <w:rPr>
                <w:rFonts w:ascii="Arial" w:cs="Arial" w:eastAsia="Arial" w:hAnsi="Arial"/>
                <w:sz w:val="16"/>
                <w:szCs w:val="16"/>
                <w:b w:val="1"/>
                <w:bCs w:val="1"/>
                <w:color w:val="51555C"/>
              </w:rPr>
              <w:t>10,225,840</w:t>
            </w:r>
          </w:p>
        </w:tc>
      </w:tr>
      <w:tr>
        <w:trPr>
          <w:trHeight w:val="250"/>
        </w:trPr>
        <w:tc>
          <w:tcPr>
            <w:tcW w:w="44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51555C"/>
              </w:rPr>
              <w:t>2023</w:t>
            </w:r>
          </w:p>
        </w:tc>
        <w:tc>
          <w:tcPr>
            <w:tcW w:w="480" w:type="dxa"/>
            <w:vAlign w:val="bottom"/>
            <w:shd w:val="clear" w:color="auto" w:fill="EBFBFF"/>
          </w:tcPr>
          <w:p>
            <w:pPr>
              <w:spacing w:after="0"/>
              <w:rPr>
                <w:sz w:val="21"/>
                <w:szCs w:val="21"/>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800,031</w:t>
            </w:r>
          </w:p>
        </w:tc>
        <w:tc>
          <w:tcPr>
            <w:tcW w:w="460" w:type="dxa"/>
            <w:vAlign w:val="bottom"/>
            <w:shd w:val="clear" w:color="auto" w:fill="EBFBFF"/>
          </w:tcPr>
          <w:p>
            <w:pPr>
              <w:spacing w:after="0"/>
              <w:rPr>
                <w:sz w:val="21"/>
                <w:szCs w:val="21"/>
                <w:color w:val="auto"/>
              </w:rPr>
            </w:pPr>
          </w:p>
        </w:tc>
        <w:tc>
          <w:tcPr>
            <w:tcW w:w="10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8,778,735</w:t>
            </w:r>
          </w:p>
        </w:tc>
        <w:tc>
          <w:tcPr>
            <w:tcW w:w="520" w:type="dxa"/>
            <w:vAlign w:val="bottom"/>
            <w:shd w:val="clear" w:color="auto" w:fill="EBFBFF"/>
          </w:tcPr>
          <w:p>
            <w:pPr>
              <w:spacing w:after="0"/>
              <w:rPr>
                <w:sz w:val="21"/>
                <w:szCs w:val="21"/>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17,957</w:t>
            </w:r>
          </w:p>
        </w:tc>
        <w:tc>
          <w:tcPr>
            <w:tcW w:w="400" w:type="dxa"/>
            <w:vAlign w:val="bottom"/>
            <w:shd w:val="clear" w:color="auto" w:fill="EBFBFF"/>
          </w:tcPr>
          <w:p>
            <w:pPr>
              <w:spacing w:after="0"/>
              <w:rPr>
                <w:sz w:val="21"/>
                <w:szCs w:val="21"/>
                <w:color w:val="auto"/>
              </w:rPr>
            </w:pPr>
          </w:p>
        </w:tc>
        <w:tc>
          <w:tcPr>
            <w:tcW w:w="1160" w:type="dxa"/>
            <w:vAlign w:val="bottom"/>
            <w:shd w:val="clear" w:color="auto" w:fill="EBFBFF"/>
          </w:tcPr>
          <w:p>
            <w:pPr>
              <w:jc w:val="right"/>
              <w:spacing w:after="0"/>
              <w:rPr>
                <w:sz w:val="20"/>
                <w:szCs w:val="20"/>
                <w:color w:val="auto"/>
              </w:rPr>
            </w:pPr>
            <w:r>
              <w:rPr>
                <w:rFonts w:ascii="Arial" w:cs="Arial" w:eastAsia="Arial" w:hAnsi="Arial"/>
                <w:sz w:val="16"/>
                <w:szCs w:val="16"/>
                <w:b w:val="1"/>
                <w:bCs w:val="1"/>
                <w:color w:val="51555C"/>
              </w:rPr>
              <w:t>9,596,722</w:t>
            </w:r>
          </w:p>
        </w:tc>
      </w:tr>
      <w:tr>
        <w:trPr>
          <w:trHeight w:val="288"/>
        </w:trPr>
        <w:tc>
          <w:tcPr>
            <w:tcW w:w="4460" w:type="dxa"/>
            <w:vAlign w:val="bottom"/>
          </w:tcPr>
          <w:p>
            <w:pPr>
              <w:ind w:left="20"/>
              <w:spacing w:after="0"/>
              <w:rPr>
                <w:sz w:val="20"/>
                <w:szCs w:val="20"/>
                <w:color w:val="auto"/>
              </w:rPr>
            </w:pPr>
            <w:r>
              <w:rPr>
                <w:rFonts w:ascii="Arial" w:cs="Arial" w:eastAsia="Arial" w:hAnsi="Arial"/>
                <w:sz w:val="18"/>
                <w:szCs w:val="18"/>
                <w:b w:val="1"/>
                <w:bCs w:val="1"/>
                <w:color w:val="51555C"/>
              </w:rPr>
              <w:t>Chad M. Anderson</w:t>
            </w:r>
            <w:r>
              <w:rPr>
                <w:rFonts w:ascii="Arial" w:cs="Arial" w:eastAsia="Arial" w:hAnsi="Arial"/>
                <w:sz w:val="23"/>
                <w:szCs w:val="23"/>
                <w:b w:val="1"/>
                <w:bCs w:val="1"/>
                <w:color w:val="51555C"/>
                <w:vertAlign w:val="superscript"/>
              </w:rPr>
              <w:t>(4)</w:t>
            </w:r>
          </w:p>
        </w:tc>
        <w:tc>
          <w:tcPr>
            <w:tcW w:w="640" w:type="dxa"/>
            <w:vAlign w:val="bottom"/>
          </w:tcPr>
          <w:p>
            <w:pPr>
              <w:jc w:val="right"/>
              <w:spacing w:after="0"/>
              <w:rPr>
                <w:sz w:val="20"/>
                <w:szCs w:val="20"/>
                <w:color w:val="auto"/>
              </w:rPr>
            </w:pPr>
            <w:r>
              <w:rPr>
                <w:rFonts w:ascii="Arial" w:cs="Arial" w:eastAsia="Arial" w:hAnsi="Arial"/>
                <w:sz w:val="16"/>
                <w:szCs w:val="16"/>
                <w:color w:val="51555C"/>
              </w:rPr>
              <w:t>2025</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51555C"/>
              </w:rPr>
              <w:t>400,016</w:t>
            </w: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51555C"/>
              </w:rPr>
              <w:t>1,917,084</w:t>
            </w: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51555C"/>
              </w:rPr>
              <w:t>16,439</w:t>
            </w: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51555C"/>
              </w:rPr>
              <w:t>2,333,538</w:t>
            </w:r>
          </w:p>
        </w:tc>
      </w:tr>
      <w:tr>
        <w:trPr>
          <w:trHeight w:val="190"/>
        </w:trPr>
        <w:tc>
          <w:tcPr>
            <w:tcW w:w="4460" w:type="dxa"/>
            <w:vAlign w:val="bottom"/>
          </w:tcPr>
          <w:p>
            <w:pPr>
              <w:ind w:left="20"/>
              <w:spacing w:after="0"/>
              <w:rPr>
                <w:sz w:val="20"/>
                <w:szCs w:val="20"/>
                <w:color w:val="auto"/>
              </w:rPr>
            </w:pPr>
            <w:r>
              <w:rPr>
                <w:rFonts w:ascii="Arial" w:cs="Arial" w:eastAsia="Arial" w:hAnsi="Arial"/>
                <w:sz w:val="14"/>
                <w:szCs w:val="14"/>
                <w:color w:val="51555C"/>
              </w:rPr>
              <w:t>Executive Vice President and CFO</w:t>
            </w: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
        </w:trPr>
        <w:tc>
          <w:tcPr>
            <w:tcW w:w="4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6"/>
        </w:trPr>
        <w:tc>
          <w:tcPr>
            <w:tcW w:w="446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Anthony W. Boor</w:t>
            </w:r>
          </w:p>
        </w:tc>
        <w:tc>
          <w:tcPr>
            <w:tcW w:w="6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2025</w:t>
            </w:r>
          </w:p>
        </w:tc>
        <w:tc>
          <w:tcPr>
            <w:tcW w:w="480" w:type="dxa"/>
            <w:vAlign w:val="bottom"/>
            <w:shd w:val="clear" w:color="auto" w:fill="EBFBFF"/>
          </w:tcPr>
          <w:p>
            <w:pPr>
              <w:spacing w:after="0"/>
              <w:rPr>
                <w:sz w:val="22"/>
                <w:szCs w:val="22"/>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518,598</w:t>
            </w:r>
          </w:p>
        </w:tc>
        <w:tc>
          <w:tcPr>
            <w:tcW w:w="460" w:type="dxa"/>
            <w:vAlign w:val="bottom"/>
            <w:shd w:val="clear" w:color="auto" w:fill="EBFBFF"/>
          </w:tcPr>
          <w:p>
            <w:pPr>
              <w:spacing w:after="0"/>
              <w:rPr>
                <w:sz w:val="22"/>
                <w:szCs w:val="22"/>
                <w:color w:val="auto"/>
              </w:rPr>
            </w:pPr>
          </w:p>
        </w:tc>
        <w:tc>
          <w:tcPr>
            <w:tcW w:w="10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3,039,538</w:t>
            </w:r>
          </w:p>
        </w:tc>
        <w:tc>
          <w:tcPr>
            <w:tcW w:w="520" w:type="dxa"/>
            <w:vAlign w:val="bottom"/>
            <w:shd w:val="clear" w:color="auto" w:fill="EBFBFF"/>
          </w:tcPr>
          <w:p>
            <w:pPr>
              <w:spacing w:after="0"/>
              <w:rPr>
                <w:sz w:val="22"/>
                <w:szCs w:val="22"/>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18,499</w:t>
            </w:r>
          </w:p>
        </w:tc>
        <w:tc>
          <w:tcPr>
            <w:tcW w:w="400" w:type="dxa"/>
            <w:vAlign w:val="bottom"/>
            <w:shd w:val="clear" w:color="auto" w:fill="EBFBFF"/>
          </w:tcPr>
          <w:p>
            <w:pPr>
              <w:spacing w:after="0"/>
              <w:rPr>
                <w:sz w:val="22"/>
                <w:szCs w:val="22"/>
                <w:color w:val="auto"/>
              </w:rPr>
            </w:pPr>
          </w:p>
        </w:tc>
        <w:tc>
          <w:tcPr>
            <w:tcW w:w="1160" w:type="dxa"/>
            <w:vAlign w:val="bottom"/>
            <w:shd w:val="clear" w:color="auto" w:fill="EBFBFF"/>
          </w:tcPr>
          <w:p>
            <w:pPr>
              <w:jc w:val="right"/>
              <w:spacing w:after="0"/>
              <w:rPr>
                <w:sz w:val="20"/>
                <w:szCs w:val="20"/>
                <w:color w:val="auto"/>
              </w:rPr>
            </w:pPr>
            <w:r>
              <w:rPr>
                <w:rFonts w:ascii="Arial" w:cs="Arial" w:eastAsia="Arial" w:hAnsi="Arial"/>
                <w:sz w:val="16"/>
                <w:szCs w:val="16"/>
                <w:b w:val="1"/>
                <w:bCs w:val="1"/>
                <w:color w:val="51555C"/>
              </w:rPr>
              <w:t>3,576,635</w:t>
            </w:r>
          </w:p>
        </w:tc>
      </w:tr>
      <w:tr>
        <w:trPr>
          <w:trHeight w:val="223"/>
        </w:trPr>
        <w:tc>
          <w:tcPr>
            <w:tcW w:w="44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Executive Vice President of Corporate Development and Strategy</w:t>
            </w:r>
          </w:p>
        </w:tc>
        <w:tc>
          <w:tcPr>
            <w:tcW w:w="6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2024</w:t>
            </w:r>
          </w:p>
        </w:tc>
        <w:tc>
          <w:tcPr>
            <w:tcW w:w="480" w:type="dxa"/>
            <w:vAlign w:val="bottom"/>
            <w:shd w:val="clear" w:color="auto" w:fill="EBFBFF"/>
          </w:tcPr>
          <w:p>
            <w:pPr>
              <w:spacing w:after="0"/>
              <w:rPr>
                <w:sz w:val="19"/>
                <w:szCs w:val="19"/>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518,598</w:t>
            </w:r>
          </w:p>
        </w:tc>
        <w:tc>
          <w:tcPr>
            <w:tcW w:w="460" w:type="dxa"/>
            <w:vAlign w:val="bottom"/>
            <w:shd w:val="clear" w:color="auto" w:fill="EBFBFF"/>
          </w:tcPr>
          <w:p>
            <w:pPr>
              <w:spacing w:after="0"/>
              <w:rPr>
                <w:sz w:val="19"/>
                <w:szCs w:val="19"/>
                <w:color w:val="auto"/>
              </w:rPr>
            </w:pPr>
          </w:p>
        </w:tc>
        <w:tc>
          <w:tcPr>
            <w:tcW w:w="10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3,654,674</w:t>
            </w:r>
          </w:p>
        </w:tc>
        <w:tc>
          <w:tcPr>
            <w:tcW w:w="520" w:type="dxa"/>
            <w:vAlign w:val="bottom"/>
            <w:shd w:val="clear" w:color="auto" w:fill="EBFBFF"/>
          </w:tcPr>
          <w:p>
            <w:pPr>
              <w:spacing w:after="0"/>
              <w:rPr>
                <w:sz w:val="19"/>
                <w:szCs w:val="19"/>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18,703</w:t>
            </w:r>
          </w:p>
        </w:tc>
        <w:tc>
          <w:tcPr>
            <w:tcW w:w="400" w:type="dxa"/>
            <w:vAlign w:val="bottom"/>
            <w:shd w:val="clear" w:color="auto" w:fill="EBFBFF"/>
          </w:tcPr>
          <w:p>
            <w:pPr>
              <w:spacing w:after="0"/>
              <w:rPr>
                <w:sz w:val="19"/>
                <w:szCs w:val="19"/>
                <w:color w:val="auto"/>
              </w:rPr>
            </w:pPr>
          </w:p>
        </w:tc>
        <w:tc>
          <w:tcPr>
            <w:tcW w:w="1160" w:type="dxa"/>
            <w:vAlign w:val="bottom"/>
            <w:shd w:val="clear" w:color="auto" w:fill="EBFBFF"/>
          </w:tcPr>
          <w:p>
            <w:pPr>
              <w:jc w:val="right"/>
              <w:spacing w:after="0"/>
              <w:rPr>
                <w:sz w:val="20"/>
                <w:szCs w:val="20"/>
                <w:color w:val="auto"/>
              </w:rPr>
            </w:pPr>
            <w:r>
              <w:rPr>
                <w:rFonts w:ascii="Arial" w:cs="Arial" w:eastAsia="Arial" w:hAnsi="Arial"/>
                <w:sz w:val="16"/>
                <w:szCs w:val="16"/>
                <w:b w:val="1"/>
                <w:bCs w:val="1"/>
                <w:color w:val="51555C"/>
              </w:rPr>
              <w:t>4,191,975</w:t>
            </w:r>
          </w:p>
        </w:tc>
      </w:tr>
      <w:tr>
        <w:trPr>
          <w:trHeight w:val="250"/>
        </w:trPr>
        <w:tc>
          <w:tcPr>
            <w:tcW w:w="4460" w:type="dxa"/>
            <w:vAlign w:val="bottom"/>
            <w:shd w:val="clear" w:color="auto" w:fill="EBFBFF"/>
          </w:tcPr>
          <w:p>
            <w:pPr>
              <w:spacing w:after="0"/>
              <w:rPr>
                <w:sz w:val="21"/>
                <w:szCs w:val="21"/>
                <w:color w:val="auto"/>
              </w:rPr>
            </w:pPr>
          </w:p>
        </w:tc>
        <w:tc>
          <w:tcPr>
            <w:tcW w:w="6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2023</w:t>
            </w:r>
          </w:p>
        </w:tc>
        <w:tc>
          <w:tcPr>
            <w:tcW w:w="480" w:type="dxa"/>
            <w:vAlign w:val="bottom"/>
            <w:shd w:val="clear" w:color="auto" w:fill="EBFBFF"/>
          </w:tcPr>
          <w:p>
            <w:pPr>
              <w:spacing w:after="0"/>
              <w:rPr>
                <w:sz w:val="21"/>
                <w:szCs w:val="21"/>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518,598</w:t>
            </w:r>
          </w:p>
        </w:tc>
        <w:tc>
          <w:tcPr>
            <w:tcW w:w="460" w:type="dxa"/>
            <w:vAlign w:val="bottom"/>
            <w:shd w:val="clear" w:color="auto" w:fill="EBFBFF"/>
          </w:tcPr>
          <w:p>
            <w:pPr>
              <w:spacing w:after="0"/>
              <w:rPr>
                <w:sz w:val="21"/>
                <w:szCs w:val="21"/>
                <w:color w:val="auto"/>
              </w:rPr>
            </w:pPr>
          </w:p>
        </w:tc>
        <w:tc>
          <w:tcPr>
            <w:tcW w:w="10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3,552,224</w:t>
            </w:r>
          </w:p>
        </w:tc>
        <w:tc>
          <w:tcPr>
            <w:tcW w:w="520" w:type="dxa"/>
            <w:vAlign w:val="bottom"/>
            <w:shd w:val="clear" w:color="auto" w:fill="EBFBFF"/>
          </w:tcPr>
          <w:p>
            <w:pPr>
              <w:spacing w:after="0"/>
              <w:rPr>
                <w:sz w:val="21"/>
                <w:szCs w:val="21"/>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18,707</w:t>
            </w:r>
          </w:p>
        </w:tc>
        <w:tc>
          <w:tcPr>
            <w:tcW w:w="400" w:type="dxa"/>
            <w:vAlign w:val="bottom"/>
            <w:shd w:val="clear" w:color="auto" w:fill="EBFBFF"/>
          </w:tcPr>
          <w:p>
            <w:pPr>
              <w:spacing w:after="0"/>
              <w:rPr>
                <w:sz w:val="21"/>
                <w:szCs w:val="21"/>
                <w:color w:val="auto"/>
              </w:rPr>
            </w:pPr>
          </w:p>
        </w:tc>
        <w:tc>
          <w:tcPr>
            <w:tcW w:w="1160" w:type="dxa"/>
            <w:vAlign w:val="bottom"/>
            <w:shd w:val="clear" w:color="auto" w:fill="EBFBFF"/>
          </w:tcPr>
          <w:p>
            <w:pPr>
              <w:jc w:val="right"/>
              <w:spacing w:after="0"/>
              <w:rPr>
                <w:sz w:val="20"/>
                <w:szCs w:val="20"/>
                <w:color w:val="auto"/>
              </w:rPr>
            </w:pPr>
            <w:r>
              <w:rPr>
                <w:rFonts w:ascii="Arial" w:cs="Arial" w:eastAsia="Arial" w:hAnsi="Arial"/>
                <w:sz w:val="16"/>
                <w:szCs w:val="16"/>
                <w:b w:val="1"/>
                <w:bCs w:val="1"/>
                <w:color w:val="51555C"/>
              </w:rPr>
              <w:t>4,089,530</w:t>
            </w:r>
          </w:p>
        </w:tc>
      </w:tr>
      <w:tr>
        <w:trPr>
          <w:trHeight w:val="256"/>
        </w:trPr>
        <w:tc>
          <w:tcPr>
            <w:tcW w:w="4460" w:type="dxa"/>
            <w:vAlign w:val="bottom"/>
          </w:tcPr>
          <w:p>
            <w:pPr>
              <w:ind w:left="20"/>
              <w:spacing w:after="0"/>
              <w:rPr>
                <w:sz w:val="20"/>
                <w:szCs w:val="20"/>
                <w:color w:val="auto"/>
              </w:rPr>
            </w:pPr>
            <w:r>
              <w:rPr>
                <w:rFonts w:ascii="Arial" w:cs="Arial" w:eastAsia="Arial" w:hAnsi="Arial"/>
                <w:sz w:val="18"/>
                <w:szCs w:val="18"/>
                <w:b w:val="1"/>
                <w:bCs w:val="1"/>
                <w:color w:val="51555C"/>
              </w:rPr>
              <w:t>David J. Benjamin</w:t>
            </w:r>
          </w:p>
        </w:tc>
        <w:tc>
          <w:tcPr>
            <w:tcW w:w="640" w:type="dxa"/>
            <w:vAlign w:val="bottom"/>
          </w:tcPr>
          <w:p>
            <w:pPr>
              <w:jc w:val="right"/>
              <w:spacing w:after="0"/>
              <w:rPr>
                <w:sz w:val="20"/>
                <w:szCs w:val="20"/>
                <w:color w:val="auto"/>
              </w:rPr>
            </w:pPr>
            <w:r>
              <w:rPr>
                <w:rFonts w:ascii="Arial" w:cs="Arial" w:eastAsia="Arial" w:hAnsi="Arial"/>
                <w:sz w:val="16"/>
                <w:szCs w:val="16"/>
                <w:color w:val="51555C"/>
              </w:rPr>
              <w:t>2025</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51555C"/>
              </w:rPr>
              <w:t>464,018</w:t>
            </w:r>
          </w:p>
        </w:tc>
        <w:tc>
          <w:tcPr>
            <w:tcW w:w="4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51555C"/>
              </w:rPr>
              <w:t>2,644,379</w:t>
            </w:r>
          </w:p>
        </w:tc>
        <w:tc>
          <w:tcPr>
            <w:tcW w:w="5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51555C"/>
              </w:rPr>
              <w:t>19,223</w:t>
            </w:r>
          </w:p>
        </w:tc>
        <w:tc>
          <w:tcPr>
            <w:tcW w:w="4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51555C"/>
              </w:rPr>
              <w:t>3,127,620</w:t>
            </w:r>
          </w:p>
        </w:tc>
      </w:tr>
      <w:tr>
        <w:trPr>
          <w:trHeight w:val="223"/>
        </w:trPr>
        <w:tc>
          <w:tcPr>
            <w:tcW w:w="4460" w:type="dxa"/>
            <w:vAlign w:val="bottom"/>
          </w:tcPr>
          <w:p>
            <w:pPr>
              <w:ind w:left="20"/>
              <w:spacing w:after="0"/>
              <w:rPr>
                <w:sz w:val="20"/>
                <w:szCs w:val="20"/>
                <w:color w:val="auto"/>
              </w:rPr>
            </w:pPr>
            <w:r>
              <w:rPr>
                <w:rFonts w:ascii="Arial" w:cs="Arial" w:eastAsia="Arial" w:hAnsi="Arial"/>
                <w:sz w:val="14"/>
                <w:szCs w:val="14"/>
                <w:color w:val="51555C"/>
              </w:rPr>
              <w:t>Executive Vice President and CCO</w:t>
            </w:r>
          </w:p>
        </w:tc>
        <w:tc>
          <w:tcPr>
            <w:tcW w:w="640" w:type="dxa"/>
            <w:vAlign w:val="bottom"/>
          </w:tcPr>
          <w:p>
            <w:pPr>
              <w:jc w:val="right"/>
              <w:spacing w:after="0"/>
              <w:rPr>
                <w:sz w:val="20"/>
                <w:szCs w:val="20"/>
                <w:color w:val="auto"/>
              </w:rPr>
            </w:pPr>
            <w:r>
              <w:rPr>
                <w:rFonts w:ascii="Arial" w:cs="Arial" w:eastAsia="Arial" w:hAnsi="Arial"/>
                <w:sz w:val="16"/>
                <w:szCs w:val="16"/>
                <w:color w:val="51555C"/>
              </w:rPr>
              <w:t>2024</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51555C"/>
              </w:rPr>
              <w:t>457,018</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51555C"/>
              </w:rPr>
              <w:t>2,446,402</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51555C"/>
              </w:rPr>
              <w:t>18,087</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51555C"/>
              </w:rPr>
              <w:t>2,921,507</w:t>
            </w:r>
          </w:p>
        </w:tc>
      </w:tr>
      <w:tr>
        <w:trPr>
          <w:trHeight w:val="247"/>
        </w:trPr>
        <w:tc>
          <w:tcPr>
            <w:tcW w:w="44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51555C"/>
              </w:rPr>
              <w:t>2023</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51555C"/>
              </w:rPr>
              <w:t>413,312</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51555C"/>
              </w:rPr>
              <w:t>2,759,338</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51555C"/>
              </w:rPr>
              <w:t>735,804</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51555C"/>
              </w:rPr>
              <w:t>3,908,454</w:t>
            </w:r>
          </w:p>
        </w:tc>
      </w:tr>
      <w:tr>
        <w:trPr>
          <w:trHeight w:val="260"/>
        </w:trPr>
        <w:tc>
          <w:tcPr>
            <w:tcW w:w="446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Kevin P. Gregoire</w:t>
            </w:r>
          </w:p>
        </w:tc>
        <w:tc>
          <w:tcPr>
            <w:tcW w:w="6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2025</w:t>
            </w:r>
          </w:p>
        </w:tc>
        <w:tc>
          <w:tcPr>
            <w:tcW w:w="480" w:type="dxa"/>
            <w:vAlign w:val="bottom"/>
            <w:shd w:val="clear" w:color="auto" w:fill="EBFBFF"/>
          </w:tcPr>
          <w:p>
            <w:pPr>
              <w:spacing w:after="0"/>
              <w:rPr>
                <w:sz w:val="22"/>
                <w:szCs w:val="22"/>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490,019</w:t>
            </w:r>
          </w:p>
        </w:tc>
        <w:tc>
          <w:tcPr>
            <w:tcW w:w="460" w:type="dxa"/>
            <w:vAlign w:val="bottom"/>
            <w:shd w:val="clear" w:color="auto" w:fill="EBFBFF"/>
          </w:tcPr>
          <w:p>
            <w:pPr>
              <w:spacing w:after="0"/>
              <w:rPr>
                <w:sz w:val="22"/>
                <w:szCs w:val="22"/>
                <w:color w:val="auto"/>
              </w:rPr>
            </w:pPr>
          </w:p>
        </w:tc>
        <w:tc>
          <w:tcPr>
            <w:tcW w:w="10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3,242,976</w:t>
            </w:r>
          </w:p>
        </w:tc>
        <w:tc>
          <w:tcPr>
            <w:tcW w:w="520" w:type="dxa"/>
            <w:vAlign w:val="bottom"/>
            <w:shd w:val="clear" w:color="auto" w:fill="EBFBFF"/>
          </w:tcPr>
          <w:p>
            <w:pPr>
              <w:spacing w:after="0"/>
              <w:rPr>
                <w:sz w:val="22"/>
                <w:szCs w:val="22"/>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17,673</w:t>
            </w:r>
          </w:p>
        </w:tc>
        <w:tc>
          <w:tcPr>
            <w:tcW w:w="400" w:type="dxa"/>
            <w:vAlign w:val="bottom"/>
            <w:shd w:val="clear" w:color="auto" w:fill="EBFBFF"/>
          </w:tcPr>
          <w:p>
            <w:pPr>
              <w:spacing w:after="0"/>
              <w:rPr>
                <w:sz w:val="22"/>
                <w:szCs w:val="22"/>
                <w:color w:val="auto"/>
              </w:rPr>
            </w:pPr>
          </w:p>
        </w:tc>
        <w:tc>
          <w:tcPr>
            <w:tcW w:w="1160" w:type="dxa"/>
            <w:vAlign w:val="bottom"/>
            <w:shd w:val="clear" w:color="auto" w:fill="EBFBFF"/>
          </w:tcPr>
          <w:p>
            <w:pPr>
              <w:jc w:val="right"/>
              <w:spacing w:after="0"/>
              <w:rPr>
                <w:sz w:val="20"/>
                <w:szCs w:val="20"/>
                <w:color w:val="auto"/>
              </w:rPr>
            </w:pPr>
            <w:r>
              <w:rPr>
                <w:rFonts w:ascii="Arial" w:cs="Arial" w:eastAsia="Arial" w:hAnsi="Arial"/>
                <w:sz w:val="16"/>
                <w:szCs w:val="16"/>
                <w:b w:val="1"/>
                <w:bCs w:val="1"/>
                <w:color w:val="51555C"/>
              </w:rPr>
              <w:t>3,750,668</w:t>
            </w:r>
          </w:p>
        </w:tc>
      </w:tr>
      <w:tr>
        <w:trPr>
          <w:trHeight w:val="223"/>
        </w:trPr>
        <w:tc>
          <w:tcPr>
            <w:tcW w:w="44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Executive Vice President and COO</w:t>
            </w:r>
          </w:p>
        </w:tc>
        <w:tc>
          <w:tcPr>
            <w:tcW w:w="6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2024</w:t>
            </w:r>
          </w:p>
        </w:tc>
        <w:tc>
          <w:tcPr>
            <w:tcW w:w="480" w:type="dxa"/>
            <w:vAlign w:val="bottom"/>
            <w:shd w:val="clear" w:color="auto" w:fill="EBFBFF"/>
          </w:tcPr>
          <w:p>
            <w:pPr>
              <w:spacing w:after="0"/>
              <w:rPr>
                <w:sz w:val="19"/>
                <w:szCs w:val="19"/>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490,019</w:t>
            </w:r>
          </w:p>
        </w:tc>
        <w:tc>
          <w:tcPr>
            <w:tcW w:w="460" w:type="dxa"/>
            <w:vAlign w:val="bottom"/>
            <w:shd w:val="clear" w:color="auto" w:fill="EBFBFF"/>
          </w:tcPr>
          <w:p>
            <w:pPr>
              <w:spacing w:after="0"/>
              <w:rPr>
                <w:sz w:val="19"/>
                <w:szCs w:val="19"/>
                <w:color w:val="auto"/>
              </w:rPr>
            </w:pPr>
          </w:p>
        </w:tc>
        <w:tc>
          <w:tcPr>
            <w:tcW w:w="10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3,012,539</w:t>
            </w:r>
          </w:p>
        </w:tc>
        <w:tc>
          <w:tcPr>
            <w:tcW w:w="520" w:type="dxa"/>
            <w:vAlign w:val="bottom"/>
            <w:shd w:val="clear" w:color="auto" w:fill="EBFBFF"/>
          </w:tcPr>
          <w:p>
            <w:pPr>
              <w:spacing w:after="0"/>
              <w:rPr>
                <w:sz w:val="19"/>
                <w:szCs w:val="19"/>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17,786</w:t>
            </w:r>
          </w:p>
        </w:tc>
        <w:tc>
          <w:tcPr>
            <w:tcW w:w="400" w:type="dxa"/>
            <w:vAlign w:val="bottom"/>
            <w:shd w:val="clear" w:color="auto" w:fill="EBFBFF"/>
          </w:tcPr>
          <w:p>
            <w:pPr>
              <w:spacing w:after="0"/>
              <w:rPr>
                <w:sz w:val="19"/>
                <w:szCs w:val="19"/>
                <w:color w:val="auto"/>
              </w:rPr>
            </w:pPr>
          </w:p>
        </w:tc>
        <w:tc>
          <w:tcPr>
            <w:tcW w:w="1160" w:type="dxa"/>
            <w:vAlign w:val="bottom"/>
            <w:shd w:val="clear" w:color="auto" w:fill="EBFBFF"/>
          </w:tcPr>
          <w:p>
            <w:pPr>
              <w:jc w:val="right"/>
              <w:spacing w:after="0"/>
              <w:rPr>
                <w:sz w:val="20"/>
                <w:szCs w:val="20"/>
                <w:color w:val="auto"/>
              </w:rPr>
            </w:pPr>
            <w:r>
              <w:rPr>
                <w:rFonts w:ascii="Arial" w:cs="Arial" w:eastAsia="Arial" w:hAnsi="Arial"/>
                <w:sz w:val="16"/>
                <w:szCs w:val="16"/>
                <w:b w:val="1"/>
                <w:bCs w:val="1"/>
                <w:color w:val="51555C"/>
              </w:rPr>
              <w:t>3,520,344</w:t>
            </w:r>
          </w:p>
        </w:tc>
      </w:tr>
      <w:tr>
        <w:trPr>
          <w:trHeight w:val="250"/>
        </w:trPr>
        <w:tc>
          <w:tcPr>
            <w:tcW w:w="4460" w:type="dxa"/>
            <w:vAlign w:val="bottom"/>
            <w:shd w:val="clear" w:color="auto" w:fill="EBFBFF"/>
          </w:tcPr>
          <w:p>
            <w:pPr>
              <w:spacing w:after="0"/>
              <w:rPr>
                <w:sz w:val="21"/>
                <w:szCs w:val="21"/>
                <w:color w:val="auto"/>
              </w:rPr>
            </w:pPr>
          </w:p>
        </w:tc>
        <w:tc>
          <w:tcPr>
            <w:tcW w:w="6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2023</w:t>
            </w:r>
          </w:p>
        </w:tc>
        <w:tc>
          <w:tcPr>
            <w:tcW w:w="480" w:type="dxa"/>
            <w:vAlign w:val="bottom"/>
            <w:shd w:val="clear" w:color="auto" w:fill="EBFBFF"/>
          </w:tcPr>
          <w:p>
            <w:pPr>
              <w:spacing w:after="0"/>
              <w:rPr>
                <w:sz w:val="21"/>
                <w:szCs w:val="21"/>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482,307</w:t>
            </w:r>
          </w:p>
        </w:tc>
        <w:tc>
          <w:tcPr>
            <w:tcW w:w="460" w:type="dxa"/>
            <w:vAlign w:val="bottom"/>
            <w:shd w:val="clear" w:color="auto" w:fill="EBFBFF"/>
          </w:tcPr>
          <w:p>
            <w:pPr>
              <w:spacing w:after="0"/>
              <w:rPr>
                <w:sz w:val="21"/>
                <w:szCs w:val="21"/>
                <w:color w:val="auto"/>
              </w:rPr>
            </w:pPr>
          </w:p>
        </w:tc>
        <w:tc>
          <w:tcPr>
            <w:tcW w:w="10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3,021,823</w:t>
            </w:r>
          </w:p>
        </w:tc>
        <w:tc>
          <w:tcPr>
            <w:tcW w:w="520" w:type="dxa"/>
            <w:vAlign w:val="bottom"/>
            <w:shd w:val="clear" w:color="auto" w:fill="EBFBFF"/>
          </w:tcPr>
          <w:p>
            <w:pPr>
              <w:spacing w:after="0"/>
              <w:rPr>
                <w:sz w:val="21"/>
                <w:szCs w:val="21"/>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12,383</w:t>
            </w:r>
          </w:p>
        </w:tc>
        <w:tc>
          <w:tcPr>
            <w:tcW w:w="400" w:type="dxa"/>
            <w:vAlign w:val="bottom"/>
            <w:shd w:val="clear" w:color="auto" w:fill="EBFBFF"/>
          </w:tcPr>
          <w:p>
            <w:pPr>
              <w:spacing w:after="0"/>
              <w:rPr>
                <w:sz w:val="21"/>
                <w:szCs w:val="21"/>
                <w:color w:val="auto"/>
              </w:rPr>
            </w:pPr>
          </w:p>
        </w:tc>
        <w:tc>
          <w:tcPr>
            <w:tcW w:w="1160" w:type="dxa"/>
            <w:vAlign w:val="bottom"/>
            <w:shd w:val="clear" w:color="auto" w:fill="EBFBFF"/>
          </w:tcPr>
          <w:p>
            <w:pPr>
              <w:jc w:val="right"/>
              <w:spacing w:after="0"/>
              <w:rPr>
                <w:sz w:val="20"/>
                <w:szCs w:val="20"/>
                <w:color w:val="auto"/>
              </w:rPr>
            </w:pPr>
            <w:r>
              <w:rPr>
                <w:rFonts w:ascii="Arial" w:cs="Arial" w:eastAsia="Arial" w:hAnsi="Arial"/>
                <w:sz w:val="16"/>
                <w:szCs w:val="16"/>
                <w:b w:val="1"/>
                <w:bCs w:val="1"/>
                <w:color w:val="51555C"/>
              </w:rPr>
              <w:t>3,516,512</w:t>
            </w:r>
          </w:p>
        </w:tc>
      </w:tr>
      <w:tr>
        <w:trPr>
          <w:trHeight w:val="256"/>
        </w:trPr>
        <w:tc>
          <w:tcPr>
            <w:tcW w:w="4460" w:type="dxa"/>
            <w:vAlign w:val="bottom"/>
          </w:tcPr>
          <w:p>
            <w:pPr>
              <w:ind w:left="20"/>
              <w:spacing w:after="0"/>
              <w:rPr>
                <w:sz w:val="20"/>
                <w:szCs w:val="20"/>
                <w:color w:val="auto"/>
              </w:rPr>
            </w:pPr>
            <w:r>
              <w:rPr>
                <w:rFonts w:ascii="Arial" w:cs="Arial" w:eastAsia="Arial" w:hAnsi="Arial"/>
                <w:sz w:val="18"/>
                <w:szCs w:val="18"/>
                <w:b w:val="1"/>
                <w:bCs w:val="1"/>
                <w:color w:val="51555C"/>
              </w:rPr>
              <w:t>Kevin R. McDearis</w:t>
            </w:r>
          </w:p>
        </w:tc>
        <w:tc>
          <w:tcPr>
            <w:tcW w:w="640" w:type="dxa"/>
            <w:vAlign w:val="bottom"/>
          </w:tcPr>
          <w:p>
            <w:pPr>
              <w:jc w:val="right"/>
              <w:spacing w:after="0"/>
              <w:rPr>
                <w:sz w:val="20"/>
                <w:szCs w:val="20"/>
                <w:color w:val="auto"/>
              </w:rPr>
            </w:pPr>
            <w:r>
              <w:rPr>
                <w:rFonts w:ascii="Arial" w:cs="Arial" w:eastAsia="Arial" w:hAnsi="Arial"/>
                <w:sz w:val="16"/>
                <w:szCs w:val="16"/>
                <w:color w:val="51555C"/>
              </w:rPr>
              <w:t>2025</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51555C"/>
              </w:rPr>
              <w:t>475,018</w:t>
            </w:r>
          </w:p>
        </w:tc>
        <w:tc>
          <w:tcPr>
            <w:tcW w:w="4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51555C"/>
              </w:rPr>
              <w:t>2,473,412</w:t>
            </w:r>
          </w:p>
        </w:tc>
        <w:tc>
          <w:tcPr>
            <w:tcW w:w="5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51555C"/>
              </w:rPr>
              <w:t>14,624</w:t>
            </w:r>
          </w:p>
        </w:tc>
        <w:tc>
          <w:tcPr>
            <w:tcW w:w="4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51555C"/>
              </w:rPr>
              <w:t>2,963,054</w:t>
            </w:r>
          </w:p>
        </w:tc>
      </w:tr>
      <w:tr>
        <w:trPr>
          <w:trHeight w:val="223"/>
        </w:trPr>
        <w:tc>
          <w:tcPr>
            <w:tcW w:w="4460" w:type="dxa"/>
            <w:vAlign w:val="bottom"/>
          </w:tcPr>
          <w:p>
            <w:pPr>
              <w:ind w:left="20"/>
              <w:spacing w:after="0"/>
              <w:rPr>
                <w:sz w:val="20"/>
                <w:szCs w:val="20"/>
                <w:color w:val="auto"/>
              </w:rPr>
            </w:pPr>
            <w:r>
              <w:rPr>
                <w:rFonts w:ascii="Arial" w:cs="Arial" w:eastAsia="Arial" w:hAnsi="Arial"/>
                <w:sz w:val="14"/>
                <w:szCs w:val="14"/>
                <w:color w:val="51555C"/>
              </w:rPr>
              <w:t>Executive Vice President and CTO</w:t>
            </w:r>
          </w:p>
        </w:tc>
        <w:tc>
          <w:tcPr>
            <w:tcW w:w="640" w:type="dxa"/>
            <w:vAlign w:val="bottom"/>
          </w:tcPr>
          <w:p>
            <w:pPr>
              <w:jc w:val="right"/>
              <w:spacing w:after="0"/>
              <w:rPr>
                <w:sz w:val="20"/>
                <w:szCs w:val="20"/>
                <w:color w:val="auto"/>
              </w:rPr>
            </w:pPr>
            <w:r>
              <w:rPr>
                <w:rFonts w:ascii="Arial" w:cs="Arial" w:eastAsia="Arial" w:hAnsi="Arial"/>
                <w:sz w:val="16"/>
                <w:szCs w:val="16"/>
                <w:color w:val="51555C"/>
              </w:rPr>
              <w:t>2024</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51555C"/>
              </w:rPr>
              <w:t>475,018</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51555C"/>
              </w:rPr>
              <w:t>2,295,556</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51555C"/>
              </w:rPr>
              <w:t>15,137</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51555C"/>
              </w:rPr>
              <w:t>2,785,711</w:t>
            </w:r>
          </w:p>
        </w:tc>
      </w:tr>
      <w:tr>
        <w:trPr>
          <w:trHeight w:val="247"/>
        </w:trPr>
        <w:tc>
          <w:tcPr>
            <w:tcW w:w="4460" w:type="dxa"/>
            <w:vAlign w:val="bottom"/>
            <w:tcBorders>
              <w:bottom w:val="single" w:sz="8" w:color="0CD973"/>
            </w:tcBorders>
          </w:tcPr>
          <w:p>
            <w:pPr>
              <w:spacing w:after="0"/>
              <w:rPr>
                <w:sz w:val="21"/>
                <w:szCs w:val="21"/>
                <w:color w:val="auto"/>
              </w:rPr>
            </w:pPr>
          </w:p>
        </w:tc>
        <w:tc>
          <w:tcPr>
            <w:tcW w:w="64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2023</w:t>
            </w:r>
          </w:p>
        </w:tc>
        <w:tc>
          <w:tcPr>
            <w:tcW w:w="480" w:type="dxa"/>
            <w:vAlign w:val="bottom"/>
            <w:tcBorders>
              <w:bottom w:val="single" w:sz="8" w:color="0CD973"/>
            </w:tcBorders>
          </w:tcPr>
          <w:p>
            <w:pPr>
              <w:spacing w:after="0"/>
              <w:rPr>
                <w:sz w:val="21"/>
                <w:szCs w:val="21"/>
                <w:color w:val="auto"/>
              </w:rPr>
            </w:pPr>
          </w:p>
        </w:tc>
        <w:tc>
          <w:tcPr>
            <w:tcW w:w="102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463,894</w:t>
            </w:r>
          </w:p>
        </w:tc>
        <w:tc>
          <w:tcPr>
            <w:tcW w:w="460" w:type="dxa"/>
            <w:vAlign w:val="bottom"/>
            <w:tcBorders>
              <w:bottom w:val="single" w:sz="8" w:color="0CD973"/>
            </w:tcBorders>
          </w:tcPr>
          <w:p>
            <w:pPr>
              <w:spacing w:after="0"/>
              <w:rPr>
                <w:sz w:val="21"/>
                <w:szCs w:val="21"/>
                <w:color w:val="auto"/>
              </w:rPr>
            </w:pPr>
          </w:p>
        </w:tc>
        <w:tc>
          <w:tcPr>
            <w:tcW w:w="108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2,510,811</w:t>
            </w:r>
          </w:p>
        </w:tc>
        <w:tc>
          <w:tcPr>
            <w:tcW w:w="520" w:type="dxa"/>
            <w:vAlign w:val="bottom"/>
            <w:tcBorders>
              <w:bottom w:val="single" w:sz="8" w:color="0CD973"/>
            </w:tcBorders>
          </w:tcPr>
          <w:p>
            <w:pPr>
              <w:spacing w:after="0"/>
              <w:rPr>
                <w:sz w:val="21"/>
                <w:szCs w:val="21"/>
                <w:color w:val="auto"/>
              </w:rPr>
            </w:pPr>
          </w:p>
        </w:tc>
        <w:tc>
          <w:tcPr>
            <w:tcW w:w="102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20,365</w:t>
            </w:r>
          </w:p>
        </w:tc>
        <w:tc>
          <w:tcPr>
            <w:tcW w:w="400" w:type="dxa"/>
            <w:vAlign w:val="bottom"/>
            <w:tcBorders>
              <w:bottom w:val="single" w:sz="8" w:color="0CD973"/>
            </w:tcBorders>
          </w:tcPr>
          <w:p>
            <w:pPr>
              <w:spacing w:after="0"/>
              <w:rPr>
                <w:sz w:val="21"/>
                <w:szCs w:val="21"/>
                <w:color w:val="auto"/>
              </w:rPr>
            </w:pPr>
          </w:p>
        </w:tc>
        <w:tc>
          <w:tcPr>
            <w:tcW w:w="1160" w:type="dxa"/>
            <w:vAlign w:val="bottom"/>
            <w:tcBorders>
              <w:bottom w:val="single" w:sz="8" w:color="0CD973"/>
            </w:tcBorders>
          </w:tcPr>
          <w:p>
            <w:pPr>
              <w:jc w:val="right"/>
              <w:spacing w:after="0"/>
              <w:rPr>
                <w:sz w:val="20"/>
                <w:szCs w:val="20"/>
                <w:color w:val="auto"/>
              </w:rPr>
            </w:pPr>
            <w:r>
              <w:rPr>
                <w:rFonts w:ascii="Arial" w:cs="Arial" w:eastAsia="Arial" w:hAnsi="Arial"/>
                <w:sz w:val="16"/>
                <w:szCs w:val="16"/>
                <w:b w:val="1"/>
                <w:bCs w:val="1"/>
                <w:color w:val="51555C"/>
              </w:rPr>
              <w:t>2,995,070</w:t>
            </w:r>
          </w:p>
        </w:tc>
      </w:tr>
    </w:tbl>
    <w:p>
      <w:pPr>
        <w:spacing w:after="0" w:line="85"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4"/>
          <w:szCs w:val="14"/>
          <w:color w:val="51555C"/>
        </w:rPr>
      </w:pPr>
      <w:r>
        <w:rPr>
          <w:rFonts w:ascii="Arial" w:cs="Arial" w:eastAsia="Arial" w:hAnsi="Arial"/>
          <w:sz w:val="14"/>
          <w:szCs w:val="14"/>
          <w:color w:val="51555C"/>
        </w:rPr>
        <w:t>Represents amounts paid as salary during each fiscal year and may reflect rounding from our payroll system. Generally, annual changes in salary are effective as of July 1.</w:t>
      </w:r>
    </w:p>
    <w:p>
      <w:pPr>
        <w:spacing w:after="0" w:line="28" w:lineRule="exact"/>
        <w:rPr>
          <w:rFonts w:ascii="Arial" w:cs="Arial" w:eastAsia="Arial" w:hAnsi="Arial"/>
          <w:sz w:val="14"/>
          <w:szCs w:val="14"/>
          <w:color w:val="51555C"/>
        </w:rPr>
      </w:pPr>
    </w:p>
    <w:p>
      <w:pPr>
        <w:jc w:val="both"/>
        <w:ind w:left="340" w:right="20" w:hanging="332"/>
        <w:spacing w:after="0" w:line="262" w:lineRule="auto"/>
        <w:tabs>
          <w:tab w:leader="none" w:pos="354" w:val="left"/>
        </w:tabs>
        <w:numPr>
          <w:ilvl w:val="0"/>
          <w:numId w:val="61"/>
        </w:numPr>
        <w:rPr>
          <w:rFonts w:ascii="Arial" w:cs="Arial" w:eastAsia="Arial" w:hAnsi="Arial"/>
          <w:sz w:val="14"/>
          <w:szCs w:val="14"/>
          <w:color w:val="51555C"/>
        </w:rPr>
      </w:pPr>
      <w:r>
        <w:rPr>
          <w:rFonts w:ascii="Arial" w:cs="Arial" w:eastAsia="Arial" w:hAnsi="Arial"/>
          <w:sz w:val="14"/>
          <w:szCs w:val="14"/>
          <w:color w:val="51555C"/>
        </w:rPr>
        <w:t>The reported amounts represent the aggregate grant date fair value of awards of RSAs or RSUs and PRSUs, computed in accordance with FASB ASC Topic 718, and, for PRSUs, assume performance at the target level for each such award. The grant date fair values for the 2025 STI and LTI PRSUs, based upon the probable outcome of the performance conditions at the grant date for the awards and the maximum values of the 2025 STI and LTI PRSUs, assuming that the highest level of performance conditions is achieved, are as follows:</w:t>
      </w:r>
    </w:p>
    <w:tbl>
      <w:tblPr>
        <w:tblLayout w:type="fixed"/>
        <w:tblInd w:w="340" w:type="dxa"/>
        <w:tblCellMar>
          <w:top w:w="0" w:type="dxa"/>
          <w:left w:w="0" w:type="dxa"/>
          <w:bottom w:w="0" w:type="dxa"/>
          <w:right w:w="0" w:type="dxa"/>
        </w:tblCellMar>
      </w:tblPr>
      <w:tr>
        <w:trPr>
          <w:trHeight w:val="194"/>
        </w:trPr>
        <w:tc>
          <w:tcPr>
            <w:tcW w:w="2940" w:type="dxa"/>
            <w:vAlign w:val="bottom"/>
            <w:tcBorders>
              <w:top w:val="single" w:sz="8" w:color="004054"/>
              <w:right w:val="single" w:sz="8" w:color="006880"/>
            </w:tcBorders>
            <w:shd w:val="clear" w:color="auto" w:fill="004054"/>
          </w:tcPr>
          <w:p>
            <w:pPr>
              <w:spacing w:after="0"/>
              <w:rPr>
                <w:sz w:val="16"/>
                <w:szCs w:val="16"/>
                <w:color w:val="auto"/>
              </w:rPr>
            </w:pPr>
          </w:p>
        </w:tc>
        <w:tc>
          <w:tcPr>
            <w:tcW w:w="320" w:type="dxa"/>
            <w:vAlign w:val="bottom"/>
            <w:tcBorders>
              <w:top w:val="single" w:sz="8" w:color="006880"/>
            </w:tcBorders>
            <w:shd w:val="clear" w:color="auto" w:fill="006880"/>
          </w:tcPr>
          <w:p>
            <w:pPr>
              <w:spacing w:after="0"/>
              <w:rPr>
                <w:sz w:val="16"/>
                <w:szCs w:val="16"/>
                <w:color w:val="auto"/>
              </w:rPr>
            </w:pPr>
          </w:p>
        </w:tc>
        <w:tc>
          <w:tcPr>
            <w:tcW w:w="800" w:type="dxa"/>
            <w:vAlign w:val="bottom"/>
            <w:tcBorders>
              <w:top w:val="single" w:sz="8" w:color="006880"/>
            </w:tcBorders>
            <w:shd w:val="clear" w:color="auto" w:fill="006880"/>
          </w:tcPr>
          <w:p>
            <w:pPr>
              <w:spacing w:after="0"/>
              <w:rPr>
                <w:sz w:val="16"/>
                <w:szCs w:val="16"/>
                <w:color w:val="auto"/>
              </w:rPr>
            </w:pPr>
          </w:p>
        </w:tc>
        <w:tc>
          <w:tcPr>
            <w:tcW w:w="280" w:type="dxa"/>
            <w:vAlign w:val="bottom"/>
            <w:tcBorders>
              <w:top w:val="single" w:sz="8" w:color="006880"/>
            </w:tcBorders>
            <w:shd w:val="clear" w:color="auto" w:fill="006880"/>
          </w:tcPr>
          <w:p>
            <w:pPr>
              <w:spacing w:after="0"/>
              <w:rPr>
                <w:sz w:val="16"/>
                <w:szCs w:val="16"/>
                <w:color w:val="auto"/>
              </w:rPr>
            </w:pPr>
          </w:p>
        </w:tc>
        <w:tc>
          <w:tcPr>
            <w:tcW w:w="900" w:type="dxa"/>
            <w:vAlign w:val="bottom"/>
            <w:tcBorders>
              <w:top w:val="single" w:sz="8" w:color="006880"/>
              <w:right w:val="single" w:sz="8" w:color="006880"/>
            </w:tcBorders>
            <w:shd w:val="clear" w:color="auto" w:fill="006880"/>
          </w:tcPr>
          <w:p>
            <w:pPr>
              <w:spacing w:after="0"/>
              <w:rPr>
                <w:sz w:val="16"/>
                <w:szCs w:val="16"/>
                <w:color w:val="auto"/>
              </w:rPr>
            </w:pPr>
          </w:p>
        </w:tc>
        <w:tc>
          <w:tcPr>
            <w:tcW w:w="420" w:type="dxa"/>
            <w:vAlign w:val="bottom"/>
            <w:tcBorders>
              <w:top w:val="single" w:sz="8" w:color="004054"/>
              <w:right w:val="single" w:sz="8" w:color="006880"/>
            </w:tcBorders>
            <w:shd w:val="clear" w:color="auto" w:fill="004054"/>
          </w:tcPr>
          <w:p>
            <w:pPr>
              <w:spacing w:after="0"/>
              <w:rPr>
                <w:sz w:val="16"/>
                <w:szCs w:val="16"/>
                <w:color w:val="auto"/>
              </w:rPr>
            </w:pPr>
          </w:p>
        </w:tc>
        <w:tc>
          <w:tcPr>
            <w:tcW w:w="220" w:type="dxa"/>
            <w:vAlign w:val="bottom"/>
            <w:tcBorders>
              <w:top w:val="single" w:sz="8" w:color="006880"/>
            </w:tcBorders>
            <w:shd w:val="clear" w:color="auto" w:fill="006880"/>
          </w:tcPr>
          <w:p>
            <w:pPr>
              <w:spacing w:after="0"/>
              <w:rPr>
                <w:sz w:val="16"/>
                <w:szCs w:val="16"/>
                <w:color w:val="auto"/>
              </w:rPr>
            </w:pPr>
          </w:p>
        </w:tc>
        <w:tc>
          <w:tcPr>
            <w:tcW w:w="2100" w:type="dxa"/>
            <w:vAlign w:val="bottom"/>
            <w:tcBorders>
              <w:top w:val="single" w:sz="8" w:color="006880"/>
            </w:tcBorders>
            <w:gridSpan w:val="3"/>
            <w:shd w:val="clear" w:color="auto" w:fill="006880"/>
          </w:tcPr>
          <w:p>
            <w:pPr>
              <w:jc w:val="right"/>
              <w:ind w:right="548"/>
              <w:spacing w:after="0"/>
              <w:rPr>
                <w:sz w:val="20"/>
                <w:szCs w:val="20"/>
                <w:color w:val="auto"/>
              </w:rPr>
            </w:pPr>
            <w:r>
              <w:rPr>
                <w:rFonts w:ascii="Arial" w:cs="Arial" w:eastAsia="Arial" w:hAnsi="Arial"/>
                <w:sz w:val="14"/>
                <w:szCs w:val="14"/>
                <w:b w:val="1"/>
                <w:bCs w:val="1"/>
                <w:color w:val="FFFFFF"/>
              </w:rPr>
              <w:t>2025 LTI PRSUs</w:t>
            </w:r>
          </w:p>
        </w:tc>
        <w:tc>
          <w:tcPr>
            <w:tcW w:w="240" w:type="dxa"/>
            <w:vAlign w:val="bottom"/>
            <w:tcBorders>
              <w:top w:val="single" w:sz="8" w:color="004054"/>
              <w:right w:val="single" w:sz="8" w:color="006880"/>
            </w:tcBorders>
            <w:shd w:val="clear" w:color="auto" w:fill="004054"/>
          </w:tcPr>
          <w:p>
            <w:pPr>
              <w:spacing w:after="0"/>
              <w:rPr>
                <w:sz w:val="16"/>
                <w:szCs w:val="16"/>
                <w:color w:val="auto"/>
              </w:rPr>
            </w:pPr>
          </w:p>
        </w:tc>
        <w:tc>
          <w:tcPr>
            <w:tcW w:w="180" w:type="dxa"/>
            <w:vAlign w:val="bottom"/>
            <w:tcBorders>
              <w:top w:val="single" w:sz="8" w:color="006880"/>
            </w:tcBorders>
            <w:shd w:val="clear" w:color="auto" w:fill="006880"/>
          </w:tcPr>
          <w:p>
            <w:pPr>
              <w:spacing w:after="0"/>
              <w:rPr>
                <w:sz w:val="16"/>
                <w:szCs w:val="16"/>
                <w:color w:val="auto"/>
              </w:rPr>
            </w:pPr>
          </w:p>
        </w:tc>
        <w:tc>
          <w:tcPr>
            <w:tcW w:w="2120" w:type="dxa"/>
            <w:vAlign w:val="bottom"/>
            <w:tcBorders>
              <w:top w:val="single" w:sz="8" w:color="006880"/>
            </w:tcBorders>
            <w:gridSpan w:val="3"/>
            <w:shd w:val="clear" w:color="auto" w:fill="006880"/>
          </w:tcPr>
          <w:p>
            <w:pPr>
              <w:jc w:val="right"/>
              <w:ind w:right="528"/>
              <w:spacing w:after="0"/>
              <w:rPr>
                <w:sz w:val="20"/>
                <w:szCs w:val="20"/>
                <w:color w:val="auto"/>
              </w:rPr>
            </w:pPr>
            <w:r>
              <w:rPr>
                <w:rFonts w:ascii="Arial" w:cs="Arial" w:eastAsia="Arial" w:hAnsi="Arial"/>
                <w:sz w:val="14"/>
                <w:szCs w:val="14"/>
                <w:b w:val="1"/>
                <w:bCs w:val="1"/>
                <w:color w:val="FFFFFF"/>
              </w:rPr>
              <w:t>2025 LTI PRSUs</w:t>
            </w:r>
          </w:p>
        </w:tc>
        <w:tc>
          <w:tcPr>
            <w:tcW w:w="20" w:type="dxa"/>
            <w:vAlign w:val="bottom"/>
            <w:tcBorders>
              <w:top w:val="single" w:sz="8" w:color="006880"/>
            </w:tcBorders>
            <w:shd w:val="clear" w:color="auto" w:fill="006880"/>
          </w:tcPr>
          <w:p>
            <w:pPr>
              <w:spacing w:after="0"/>
              <w:rPr>
                <w:sz w:val="16"/>
                <w:szCs w:val="16"/>
                <w:color w:val="auto"/>
              </w:rPr>
            </w:pPr>
          </w:p>
        </w:tc>
      </w:tr>
      <w:tr>
        <w:trPr>
          <w:trHeight w:val="205"/>
        </w:trPr>
        <w:tc>
          <w:tcPr>
            <w:tcW w:w="2940" w:type="dxa"/>
            <w:vAlign w:val="bottom"/>
            <w:tcBorders>
              <w:bottom w:val="single" w:sz="8" w:color="004054"/>
              <w:right w:val="single" w:sz="8" w:color="006880"/>
            </w:tcBorders>
            <w:shd w:val="clear" w:color="auto" w:fill="004054"/>
          </w:tcPr>
          <w:p>
            <w:pPr>
              <w:spacing w:after="0"/>
              <w:rPr>
                <w:sz w:val="17"/>
                <w:szCs w:val="17"/>
                <w:color w:val="auto"/>
              </w:rPr>
            </w:pPr>
          </w:p>
        </w:tc>
        <w:tc>
          <w:tcPr>
            <w:tcW w:w="320" w:type="dxa"/>
            <w:vAlign w:val="bottom"/>
            <w:tcBorders>
              <w:bottom w:val="single" w:sz="8" w:color="004054"/>
            </w:tcBorders>
            <w:shd w:val="clear" w:color="auto" w:fill="006880"/>
          </w:tcPr>
          <w:p>
            <w:pPr>
              <w:spacing w:after="0"/>
              <w:rPr>
                <w:sz w:val="17"/>
                <w:szCs w:val="17"/>
                <w:color w:val="auto"/>
              </w:rPr>
            </w:pPr>
          </w:p>
        </w:tc>
        <w:tc>
          <w:tcPr>
            <w:tcW w:w="1980" w:type="dxa"/>
            <w:vAlign w:val="bottom"/>
            <w:tcBorders>
              <w:bottom w:val="single" w:sz="8" w:color="004054"/>
              <w:right w:val="single" w:sz="8" w:color="006880"/>
            </w:tcBorders>
            <w:gridSpan w:val="3"/>
            <w:shd w:val="clear" w:color="auto" w:fill="006880"/>
          </w:tcPr>
          <w:p>
            <w:pPr>
              <w:jc w:val="right"/>
              <w:ind w:right="528"/>
              <w:spacing w:after="0"/>
              <w:rPr>
                <w:sz w:val="20"/>
                <w:szCs w:val="20"/>
                <w:color w:val="auto"/>
              </w:rPr>
            </w:pPr>
            <w:r>
              <w:rPr>
                <w:rFonts w:ascii="Arial" w:cs="Arial" w:eastAsia="Arial" w:hAnsi="Arial"/>
                <w:sz w:val="14"/>
                <w:szCs w:val="14"/>
                <w:b w:val="1"/>
                <w:bCs w:val="1"/>
                <w:color w:val="FFFFFF"/>
              </w:rPr>
              <w:t>2025 STI PRSUs</w:t>
            </w:r>
          </w:p>
        </w:tc>
        <w:tc>
          <w:tcPr>
            <w:tcW w:w="420" w:type="dxa"/>
            <w:vAlign w:val="bottom"/>
            <w:tcBorders>
              <w:bottom w:val="single" w:sz="8" w:color="004054"/>
              <w:right w:val="single" w:sz="8" w:color="006880"/>
            </w:tcBorders>
            <w:shd w:val="clear" w:color="auto" w:fill="004054"/>
          </w:tcPr>
          <w:p>
            <w:pPr>
              <w:spacing w:after="0"/>
              <w:rPr>
                <w:sz w:val="17"/>
                <w:szCs w:val="17"/>
                <w:color w:val="auto"/>
              </w:rPr>
            </w:pPr>
          </w:p>
        </w:tc>
        <w:tc>
          <w:tcPr>
            <w:tcW w:w="220" w:type="dxa"/>
            <w:vAlign w:val="bottom"/>
            <w:tcBorders>
              <w:bottom w:val="single" w:sz="8" w:color="004054"/>
            </w:tcBorders>
            <w:shd w:val="clear" w:color="auto" w:fill="006880"/>
          </w:tcPr>
          <w:p>
            <w:pPr>
              <w:spacing w:after="0"/>
              <w:rPr>
                <w:sz w:val="17"/>
                <w:szCs w:val="17"/>
                <w:color w:val="auto"/>
              </w:rPr>
            </w:pPr>
          </w:p>
        </w:tc>
        <w:tc>
          <w:tcPr>
            <w:tcW w:w="2100" w:type="dxa"/>
            <w:vAlign w:val="bottom"/>
            <w:tcBorders>
              <w:bottom w:val="single" w:sz="8" w:color="004054"/>
            </w:tcBorders>
            <w:gridSpan w:val="3"/>
            <w:shd w:val="clear" w:color="auto" w:fill="006880"/>
          </w:tcPr>
          <w:p>
            <w:pPr>
              <w:jc w:val="right"/>
              <w:ind w:right="288"/>
              <w:spacing w:after="0"/>
              <w:rPr>
                <w:sz w:val="20"/>
                <w:szCs w:val="20"/>
                <w:color w:val="auto"/>
              </w:rPr>
            </w:pPr>
            <w:r>
              <w:rPr>
                <w:rFonts w:ascii="Arial" w:cs="Arial" w:eastAsia="Arial" w:hAnsi="Arial"/>
                <w:sz w:val="14"/>
                <w:szCs w:val="14"/>
                <w:b w:val="1"/>
                <w:bCs w:val="1"/>
                <w:color w:val="FFFFFF"/>
              </w:rPr>
              <w:t>(one-year performance)</w:t>
            </w:r>
          </w:p>
        </w:tc>
        <w:tc>
          <w:tcPr>
            <w:tcW w:w="240" w:type="dxa"/>
            <w:vAlign w:val="bottom"/>
            <w:tcBorders>
              <w:bottom w:val="single" w:sz="8" w:color="004054"/>
              <w:right w:val="single" w:sz="8" w:color="006880"/>
            </w:tcBorders>
            <w:shd w:val="clear" w:color="auto" w:fill="004054"/>
          </w:tcPr>
          <w:p>
            <w:pPr>
              <w:spacing w:after="0"/>
              <w:rPr>
                <w:sz w:val="17"/>
                <w:szCs w:val="17"/>
                <w:color w:val="auto"/>
              </w:rPr>
            </w:pPr>
          </w:p>
        </w:tc>
        <w:tc>
          <w:tcPr>
            <w:tcW w:w="180" w:type="dxa"/>
            <w:vAlign w:val="bottom"/>
            <w:tcBorders>
              <w:bottom w:val="single" w:sz="8" w:color="004054"/>
            </w:tcBorders>
            <w:shd w:val="clear" w:color="auto" w:fill="006880"/>
          </w:tcPr>
          <w:p>
            <w:pPr>
              <w:spacing w:after="0"/>
              <w:rPr>
                <w:sz w:val="17"/>
                <w:szCs w:val="17"/>
                <w:color w:val="auto"/>
              </w:rPr>
            </w:pPr>
          </w:p>
        </w:tc>
        <w:tc>
          <w:tcPr>
            <w:tcW w:w="2120" w:type="dxa"/>
            <w:vAlign w:val="bottom"/>
            <w:tcBorders>
              <w:bottom w:val="single" w:sz="8" w:color="004054"/>
            </w:tcBorders>
            <w:gridSpan w:val="3"/>
            <w:shd w:val="clear" w:color="auto" w:fill="006880"/>
          </w:tcPr>
          <w:p>
            <w:pPr>
              <w:jc w:val="right"/>
              <w:ind w:right="228"/>
              <w:spacing w:after="0"/>
              <w:rPr>
                <w:sz w:val="20"/>
                <w:szCs w:val="20"/>
                <w:color w:val="auto"/>
              </w:rPr>
            </w:pPr>
            <w:r>
              <w:rPr>
                <w:rFonts w:ascii="Arial" w:cs="Arial" w:eastAsia="Arial" w:hAnsi="Arial"/>
                <w:sz w:val="14"/>
                <w:szCs w:val="14"/>
                <w:b w:val="1"/>
                <w:bCs w:val="1"/>
                <w:color w:val="FFFFFF"/>
              </w:rPr>
              <w:t>(three-year performance)</w:t>
            </w:r>
          </w:p>
        </w:tc>
        <w:tc>
          <w:tcPr>
            <w:tcW w:w="20" w:type="dxa"/>
            <w:vAlign w:val="bottom"/>
            <w:tcBorders>
              <w:bottom w:val="single" w:sz="8" w:color="006880"/>
            </w:tcBorders>
            <w:shd w:val="clear" w:color="auto" w:fill="006880"/>
          </w:tcPr>
          <w:p>
            <w:pPr>
              <w:spacing w:after="0"/>
              <w:rPr>
                <w:sz w:val="17"/>
                <w:szCs w:val="17"/>
                <w:color w:val="auto"/>
              </w:rPr>
            </w:pPr>
          </w:p>
        </w:tc>
      </w:tr>
      <w:tr>
        <w:trPr>
          <w:trHeight w:val="223"/>
        </w:trPr>
        <w:tc>
          <w:tcPr>
            <w:tcW w:w="2940" w:type="dxa"/>
            <w:vAlign w:val="bottom"/>
            <w:tcBorders>
              <w:bottom w:val="single" w:sz="8" w:color="004054"/>
              <w:right w:val="single" w:sz="8" w:color="004054"/>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Name</w:t>
            </w:r>
          </w:p>
        </w:tc>
        <w:tc>
          <w:tcPr>
            <w:tcW w:w="320" w:type="dxa"/>
            <w:vAlign w:val="bottom"/>
            <w:tcBorders>
              <w:bottom w:val="single" w:sz="8" w:color="004054"/>
            </w:tcBorders>
            <w:shd w:val="clear" w:color="auto" w:fill="004054"/>
          </w:tcPr>
          <w:p>
            <w:pPr>
              <w:spacing w:after="0"/>
              <w:rPr>
                <w:sz w:val="19"/>
                <w:szCs w:val="19"/>
                <w:color w:val="auto"/>
              </w:rPr>
            </w:pPr>
          </w:p>
        </w:tc>
        <w:tc>
          <w:tcPr>
            <w:tcW w:w="8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Target</w:t>
            </w:r>
          </w:p>
        </w:tc>
        <w:tc>
          <w:tcPr>
            <w:tcW w:w="280" w:type="dxa"/>
            <w:vAlign w:val="bottom"/>
            <w:tcBorders>
              <w:bottom w:val="single" w:sz="8" w:color="004054"/>
            </w:tcBorders>
            <w:shd w:val="clear" w:color="auto" w:fill="004054"/>
          </w:tcPr>
          <w:p>
            <w:pPr>
              <w:spacing w:after="0"/>
              <w:rPr>
                <w:sz w:val="19"/>
                <w:szCs w:val="19"/>
                <w:color w:val="auto"/>
              </w:rPr>
            </w:pPr>
          </w:p>
        </w:tc>
        <w:tc>
          <w:tcPr>
            <w:tcW w:w="900" w:type="dxa"/>
            <w:vAlign w:val="bottom"/>
            <w:tcBorders>
              <w:bottom w:val="single" w:sz="8" w:color="004054"/>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Maximum</w:t>
            </w:r>
          </w:p>
        </w:tc>
        <w:tc>
          <w:tcPr>
            <w:tcW w:w="420" w:type="dxa"/>
            <w:vAlign w:val="bottom"/>
            <w:tcBorders>
              <w:bottom w:val="single" w:sz="8" w:color="004054"/>
              <w:right w:val="single" w:sz="8" w:color="004054"/>
            </w:tcBorders>
            <w:shd w:val="clear" w:color="auto" w:fill="004054"/>
          </w:tcPr>
          <w:p>
            <w:pPr>
              <w:spacing w:after="0"/>
              <w:rPr>
                <w:sz w:val="19"/>
                <w:szCs w:val="19"/>
                <w:color w:val="auto"/>
              </w:rPr>
            </w:pPr>
          </w:p>
        </w:tc>
        <w:tc>
          <w:tcPr>
            <w:tcW w:w="220" w:type="dxa"/>
            <w:vAlign w:val="bottom"/>
            <w:tcBorders>
              <w:bottom w:val="single" w:sz="8" w:color="004054"/>
            </w:tcBorders>
            <w:shd w:val="clear" w:color="auto" w:fill="004054"/>
          </w:tcPr>
          <w:p>
            <w:pPr>
              <w:spacing w:after="0"/>
              <w:rPr>
                <w:sz w:val="19"/>
                <w:szCs w:val="19"/>
                <w:color w:val="auto"/>
              </w:rPr>
            </w:pPr>
          </w:p>
        </w:tc>
        <w:tc>
          <w:tcPr>
            <w:tcW w:w="9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Target</w:t>
            </w:r>
          </w:p>
        </w:tc>
        <w:tc>
          <w:tcPr>
            <w:tcW w:w="280" w:type="dxa"/>
            <w:vAlign w:val="bottom"/>
            <w:tcBorders>
              <w:bottom w:val="single" w:sz="8" w:color="004054"/>
            </w:tcBorders>
            <w:shd w:val="clear" w:color="auto" w:fill="004054"/>
          </w:tcPr>
          <w:p>
            <w:pPr>
              <w:spacing w:after="0"/>
              <w:rPr>
                <w:sz w:val="19"/>
                <w:szCs w:val="19"/>
                <w:color w:val="auto"/>
              </w:rPr>
            </w:pPr>
          </w:p>
        </w:tc>
        <w:tc>
          <w:tcPr>
            <w:tcW w:w="9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Maximum</w:t>
            </w:r>
          </w:p>
        </w:tc>
        <w:tc>
          <w:tcPr>
            <w:tcW w:w="240" w:type="dxa"/>
            <w:vAlign w:val="bottom"/>
            <w:tcBorders>
              <w:bottom w:val="single" w:sz="8" w:color="004054"/>
              <w:right w:val="single" w:sz="8" w:color="004054"/>
            </w:tcBorders>
            <w:shd w:val="clear" w:color="auto" w:fill="004054"/>
          </w:tcPr>
          <w:p>
            <w:pPr>
              <w:spacing w:after="0"/>
              <w:rPr>
                <w:sz w:val="19"/>
                <w:szCs w:val="19"/>
                <w:color w:val="auto"/>
              </w:rPr>
            </w:pPr>
          </w:p>
        </w:tc>
        <w:tc>
          <w:tcPr>
            <w:tcW w:w="180" w:type="dxa"/>
            <w:vAlign w:val="bottom"/>
            <w:tcBorders>
              <w:bottom w:val="single" w:sz="8" w:color="004054"/>
            </w:tcBorders>
            <w:shd w:val="clear" w:color="auto" w:fill="004054"/>
          </w:tcPr>
          <w:p>
            <w:pPr>
              <w:spacing w:after="0"/>
              <w:rPr>
                <w:sz w:val="19"/>
                <w:szCs w:val="19"/>
                <w:color w:val="auto"/>
              </w:rPr>
            </w:pPr>
          </w:p>
        </w:tc>
        <w:tc>
          <w:tcPr>
            <w:tcW w:w="9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Target</w:t>
            </w:r>
          </w:p>
        </w:tc>
        <w:tc>
          <w:tcPr>
            <w:tcW w:w="280" w:type="dxa"/>
            <w:vAlign w:val="bottom"/>
            <w:tcBorders>
              <w:bottom w:val="single" w:sz="8" w:color="004054"/>
            </w:tcBorders>
            <w:shd w:val="clear" w:color="auto" w:fill="004054"/>
          </w:tcPr>
          <w:p>
            <w:pPr>
              <w:spacing w:after="0"/>
              <w:rPr>
                <w:sz w:val="19"/>
                <w:szCs w:val="19"/>
                <w:color w:val="auto"/>
              </w:rPr>
            </w:pPr>
          </w:p>
        </w:tc>
        <w:tc>
          <w:tcPr>
            <w:tcW w:w="8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Maximum</w:t>
            </w:r>
          </w:p>
        </w:tc>
        <w:tc>
          <w:tcPr>
            <w:tcW w:w="20" w:type="dxa"/>
            <w:vAlign w:val="bottom"/>
            <w:tcBorders>
              <w:bottom w:val="single" w:sz="8" w:color="004054"/>
            </w:tcBorders>
            <w:shd w:val="clear" w:color="auto" w:fill="004054"/>
          </w:tcPr>
          <w:p>
            <w:pPr>
              <w:spacing w:after="0"/>
              <w:rPr>
                <w:sz w:val="19"/>
                <w:szCs w:val="19"/>
                <w:color w:val="auto"/>
              </w:rPr>
            </w:pPr>
          </w:p>
        </w:tc>
      </w:tr>
      <w:tr>
        <w:trPr>
          <w:trHeight w:val="209"/>
        </w:trPr>
        <w:tc>
          <w:tcPr>
            <w:tcW w:w="2940" w:type="dxa"/>
            <w:vAlign w:val="bottom"/>
            <w:tcBorders>
              <w:bottom w:val="single" w:sz="8" w:color="EBFBFF"/>
              <w:right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Mr. Gianoni</w:t>
            </w:r>
          </w:p>
        </w:tc>
        <w:tc>
          <w:tcPr>
            <w:tcW w:w="320" w:type="dxa"/>
            <w:vAlign w:val="bottom"/>
            <w:tcBorders>
              <w:bottom w:val="single" w:sz="8" w:color="EBFBFF"/>
            </w:tcBorders>
            <w:shd w:val="clear" w:color="auto" w:fill="EBFBFF"/>
          </w:tcPr>
          <w:p>
            <w:pPr>
              <w:jc w:val="right"/>
              <w:ind w:right="168"/>
              <w:spacing w:after="0"/>
              <w:rPr>
                <w:sz w:val="20"/>
                <w:szCs w:val="20"/>
                <w:color w:val="auto"/>
              </w:rPr>
            </w:pPr>
            <w:r>
              <w:rPr>
                <w:rFonts w:ascii="Arial" w:cs="Arial" w:eastAsia="Arial" w:hAnsi="Arial"/>
                <w:sz w:val="14"/>
                <w:szCs w:val="14"/>
                <w:color w:val="51555C"/>
                <w:w w:val="76"/>
              </w:rPr>
              <w:t>$</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741,248</w:t>
            </w:r>
          </w:p>
        </w:tc>
        <w:tc>
          <w:tcPr>
            <w:tcW w:w="2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900" w:type="dxa"/>
            <w:vAlign w:val="bottom"/>
            <w:tcBorders>
              <w:bottom w:val="single" w:sz="8" w:color="EBFBFF"/>
              <w:right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1,482,496</w:t>
            </w:r>
          </w:p>
        </w:tc>
        <w:tc>
          <w:tcPr>
            <w:tcW w:w="640" w:type="dxa"/>
            <w:vAlign w:val="bottom"/>
            <w:tcBorders>
              <w:bottom w:val="single" w:sz="8" w:color="EBFBFF"/>
            </w:tcBorders>
            <w:gridSpan w:val="2"/>
            <w:shd w:val="clear" w:color="auto" w:fill="EBFBFF"/>
          </w:tcPr>
          <w:p>
            <w:pPr>
              <w:jc w:val="right"/>
              <w:ind w:right="140"/>
              <w:spacing w:after="0"/>
              <w:rPr>
                <w:sz w:val="20"/>
                <w:szCs w:val="20"/>
                <w:color w:val="auto"/>
              </w:rPr>
            </w:pPr>
            <w:r>
              <w:rPr>
                <w:rFonts w:ascii="Arial" w:cs="Arial" w:eastAsia="Arial" w:hAnsi="Arial"/>
                <w:sz w:val="14"/>
                <w:szCs w:val="14"/>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1,116,259</w:t>
            </w:r>
          </w:p>
        </w:tc>
        <w:tc>
          <w:tcPr>
            <w:tcW w:w="2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900" w:type="dxa"/>
            <w:vAlign w:val="bottom"/>
            <w:tcBorders>
              <w:bottom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2,232,519</w:t>
            </w:r>
          </w:p>
        </w:tc>
        <w:tc>
          <w:tcPr>
            <w:tcW w:w="420" w:type="dxa"/>
            <w:vAlign w:val="bottom"/>
            <w:tcBorders>
              <w:bottom w:val="single" w:sz="8" w:color="EBFBFF"/>
            </w:tcBorders>
            <w:gridSpan w:val="2"/>
            <w:shd w:val="clear" w:color="auto" w:fill="EBFBFF"/>
          </w:tcPr>
          <w:p>
            <w:pPr>
              <w:jc w:val="right"/>
              <w:ind w:right="100"/>
              <w:spacing w:after="0"/>
              <w:rPr>
                <w:sz w:val="20"/>
                <w:szCs w:val="20"/>
                <w:color w:val="auto"/>
              </w:rPr>
            </w:pPr>
            <w:r>
              <w:rPr>
                <w:rFonts w:ascii="Arial" w:cs="Arial" w:eastAsia="Arial" w:hAnsi="Arial"/>
                <w:sz w:val="14"/>
                <w:szCs w:val="14"/>
                <w:color w:val="51555C"/>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1,116,259</w:t>
            </w:r>
          </w:p>
        </w:tc>
        <w:tc>
          <w:tcPr>
            <w:tcW w:w="2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8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2,232,519</w:t>
            </w:r>
          </w:p>
        </w:tc>
        <w:tc>
          <w:tcPr>
            <w:tcW w:w="20" w:type="dxa"/>
            <w:vAlign w:val="bottom"/>
          </w:tcPr>
          <w:p>
            <w:pPr>
              <w:spacing w:after="0"/>
              <w:rPr>
                <w:sz w:val="18"/>
                <w:szCs w:val="18"/>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4"/>
                <w:szCs w:val="14"/>
                <w:color w:val="51555C"/>
              </w:rPr>
              <w:t>Mr. Anderson</w:t>
            </w:r>
            <w:r>
              <w:rPr>
                <w:rFonts w:ascii="Arial" w:cs="Arial" w:eastAsia="Arial" w:hAnsi="Arial"/>
                <w:sz w:val="18"/>
                <w:szCs w:val="18"/>
                <w:color w:val="51555C"/>
                <w:vertAlign w:val="superscript"/>
              </w:rPr>
              <w:t>(a)</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51555C"/>
              </w:rPr>
              <w:t>245,443</w:t>
            </w:r>
          </w:p>
        </w:tc>
        <w:tc>
          <w:tcPr>
            <w:tcW w:w="280" w:type="dxa"/>
            <w:vAlign w:val="bottom"/>
          </w:tcPr>
          <w:p>
            <w:pPr>
              <w:spacing w:after="0"/>
              <w:rPr>
                <w:sz w:val="19"/>
                <w:szCs w:val="19"/>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51555C"/>
              </w:rPr>
              <w:t>490,887</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51555C"/>
              </w:rPr>
              <w:t>245,576</w:t>
            </w:r>
          </w:p>
        </w:tc>
        <w:tc>
          <w:tcPr>
            <w:tcW w:w="280" w:type="dxa"/>
            <w:vAlign w:val="bottom"/>
          </w:tcPr>
          <w:p>
            <w:pPr>
              <w:spacing w:after="0"/>
              <w:rPr>
                <w:sz w:val="19"/>
                <w:szCs w:val="19"/>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51555C"/>
              </w:rPr>
              <w:t>491,151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51555C"/>
              </w:rPr>
              <w:t>245,576</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51555C"/>
              </w:rPr>
              <w:t>491,151</w:t>
            </w:r>
          </w:p>
        </w:tc>
        <w:tc>
          <w:tcPr>
            <w:tcW w:w="20" w:type="dxa"/>
            <w:vAlign w:val="bottom"/>
          </w:tcPr>
          <w:p>
            <w:pPr>
              <w:spacing w:after="0"/>
              <w:rPr>
                <w:sz w:val="19"/>
                <w:szCs w:val="19"/>
                <w:color w:val="auto"/>
              </w:rPr>
            </w:pPr>
          </w:p>
        </w:tc>
      </w:tr>
      <w:tr>
        <w:trPr>
          <w:trHeight w:val="210"/>
        </w:trPr>
        <w:tc>
          <w:tcPr>
            <w:tcW w:w="2940" w:type="dxa"/>
            <w:vAlign w:val="bottom"/>
            <w:tcBorders>
              <w:bottom w:val="single" w:sz="8" w:color="EBFBFF"/>
              <w:right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Mr. Boor</w:t>
            </w:r>
          </w:p>
        </w:tc>
        <w:tc>
          <w:tcPr>
            <w:tcW w:w="320" w:type="dxa"/>
            <w:vAlign w:val="bottom"/>
            <w:tcBorders>
              <w:bottom w:val="single" w:sz="8" w:color="EBFBFF"/>
            </w:tcBorders>
            <w:shd w:val="clear" w:color="auto" w:fill="EBFBFF"/>
          </w:tcPr>
          <w:p>
            <w:pPr>
              <w:spacing w:after="0"/>
              <w:rPr>
                <w:sz w:val="18"/>
                <w:szCs w:val="18"/>
                <w:color w:val="auto"/>
              </w:rPr>
            </w:pPr>
          </w:p>
        </w:tc>
        <w:tc>
          <w:tcPr>
            <w:tcW w:w="8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360,406</w:t>
            </w:r>
          </w:p>
        </w:tc>
        <w:tc>
          <w:tcPr>
            <w:tcW w:w="280" w:type="dxa"/>
            <w:vAlign w:val="bottom"/>
            <w:tcBorders>
              <w:bottom w:val="single" w:sz="8" w:color="EBFBFF"/>
            </w:tcBorders>
            <w:shd w:val="clear" w:color="auto" w:fill="EBFBFF"/>
          </w:tcPr>
          <w:p>
            <w:pPr>
              <w:spacing w:after="0"/>
              <w:rPr>
                <w:sz w:val="18"/>
                <w:szCs w:val="18"/>
                <w:color w:val="auto"/>
              </w:rPr>
            </w:pPr>
          </w:p>
        </w:tc>
        <w:tc>
          <w:tcPr>
            <w:tcW w:w="900" w:type="dxa"/>
            <w:vAlign w:val="bottom"/>
            <w:tcBorders>
              <w:bottom w:val="single" w:sz="8" w:color="EBFBFF"/>
              <w:right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720,812</w:t>
            </w:r>
          </w:p>
        </w:tc>
        <w:tc>
          <w:tcPr>
            <w:tcW w:w="420" w:type="dxa"/>
            <w:vAlign w:val="bottom"/>
            <w:tcBorders>
              <w:bottom w:val="single" w:sz="8" w:color="EBFBFF"/>
              <w:right w:val="single" w:sz="8" w:color="EBFBFF"/>
            </w:tcBorders>
            <w:shd w:val="clear" w:color="auto" w:fill="EBFBFF"/>
          </w:tcPr>
          <w:p>
            <w:pPr>
              <w:spacing w:after="0"/>
              <w:rPr>
                <w:sz w:val="18"/>
                <w:szCs w:val="18"/>
                <w:color w:val="auto"/>
              </w:rPr>
            </w:pPr>
          </w:p>
        </w:tc>
        <w:tc>
          <w:tcPr>
            <w:tcW w:w="220" w:type="dxa"/>
            <w:vAlign w:val="bottom"/>
            <w:tcBorders>
              <w:bottom w:val="single" w:sz="8" w:color="EBFBFF"/>
            </w:tcBorders>
            <w:shd w:val="clear" w:color="auto" w:fill="EBFBFF"/>
          </w:tcPr>
          <w:p>
            <w:pPr>
              <w:spacing w:after="0"/>
              <w:rPr>
                <w:sz w:val="18"/>
                <w:szCs w:val="18"/>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669,783</w:t>
            </w:r>
          </w:p>
        </w:tc>
        <w:tc>
          <w:tcPr>
            <w:tcW w:w="280" w:type="dxa"/>
            <w:vAlign w:val="bottom"/>
            <w:tcBorders>
              <w:bottom w:val="single" w:sz="8" w:color="EBFBFF"/>
            </w:tcBorders>
            <w:shd w:val="clear" w:color="auto" w:fill="EBFBFF"/>
          </w:tcPr>
          <w:p>
            <w:pPr>
              <w:spacing w:after="0"/>
              <w:rPr>
                <w:sz w:val="18"/>
                <w:szCs w:val="18"/>
                <w:color w:val="auto"/>
              </w:rPr>
            </w:pPr>
          </w:p>
        </w:tc>
        <w:tc>
          <w:tcPr>
            <w:tcW w:w="900" w:type="dxa"/>
            <w:vAlign w:val="bottom"/>
            <w:tcBorders>
              <w:bottom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1,339,566</w:t>
            </w:r>
          </w:p>
        </w:tc>
        <w:tc>
          <w:tcPr>
            <w:tcW w:w="240" w:type="dxa"/>
            <w:vAlign w:val="bottom"/>
            <w:tcBorders>
              <w:bottom w:val="single" w:sz="8" w:color="EBFBFF"/>
              <w:right w:val="single" w:sz="8" w:color="EBFBFF"/>
            </w:tcBorders>
            <w:shd w:val="clear" w:color="auto" w:fill="EBFBFF"/>
          </w:tcPr>
          <w:p>
            <w:pPr>
              <w:spacing w:after="0"/>
              <w:rPr>
                <w:sz w:val="18"/>
                <w:szCs w:val="18"/>
                <w:color w:val="auto"/>
              </w:rPr>
            </w:pPr>
          </w:p>
        </w:tc>
        <w:tc>
          <w:tcPr>
            <w:tcW w:w="180" w:type="dxa"/>
            <w:vAlign w:val="bottom"/>
            <w:tcBorders>
              <w:bottom w:val="single" w:sz="8" w:color="EBFBFF"/>
            </w:tcBorders>
            <w:shd w:val="clear" w:color="auto" w:fill="EBFBFF"/>
          </w:tcPr>
          <w:p>
            <w:pPr>
              <w:spacing w:after="0"/>
              <w:rPr>
                <w:sz w:val="18"/>
                <w:szCs w:val="18"/>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669,783</w:t>
            </w:r>
          </w:p>
        </w:tc>
        <w:tc>
          <w:tcPr>
            <w:tcW w:w="280" w:type="dxa"/>
            <w:vAlign w:val="bottom"/>
            <w:tcBorders>
              <w:bottom w:val="single" w:sz="8" w:color="EBFBFF"/>
            </w:tcBorders>
            <w:shd w:val="clear" w:color="auto" w:fill="EBFBFF"/>
          </w:tcPr>
          <w:p>
            <w:pPr>
              <w:spacing w:after="0"/>
              <w:rPr>
                <w:sz w:val="18"/>
                <w:szCs w:val="18"/>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1,339,566</w:t>
            </w:r>
          </w:p>
        </w:tc>
        <w:tc>
          <w:tcPr>
            <w:tcW w:w="20" w:type="dxa"/>
            <w:vAlign w:val="bottom"/>
          </w:tcPr>
          <w:p>
            <w:pPr>
              <w:spacing w:after="0"/>
              <w:rPr>
                <w:sz w:val="18"/>
                <w:szCs w:val="18"/>
                <w:color w:val="auto"/>
              </w:rPr>
            </w:pPr>
          </w:p>
        </w:tc>
      </w:tr>
      <w:tr>
        <w:trPr>
          <w:trHeight w:val="208"/>
        </w:trPr>
        <w:tc>
          <w:tcPr>
            <w:tcW w:w="2940" w:type="dxa"/>
            <w:vAlign w:val="bottom"/>
          </w:tcPr>
          <w:p>
            <w:pPr>
              <w:ind w:left="20"/>
              <w:spacing w:after="0"/>
              <w:rPr>
                <w:sz w:val="20"/>
                <w:szCs w:val="20"/>
                <w:color w:val="auto"/>
              </w:rPr>
            </w:pPr>
            <w:r>
              <w:rPr>
                <w:rFonts w:ascii="Arial" w:cs="Arial" w:eastAsia="Arial" w:hAnsi="Arial"/>
                <w:sz w:val="14"/>
                <w:szCs w:val="14"/>
                <w:color w:val="51555C"/>
              </w:rPr>
              <w:t>Mr. Benjamin</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51555C"/>
              </w:rPr>
              <w:t>322,442</w:t>
            </w:r>
          </w:p>
        </w:tc>
        <w:tc>
          <w:tcPr>
            <w:tcW w:w="2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51555C"/>
              </w:rPr>
              <w:t>644,884</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51555C"/>
              </w:rPr>
              <w:t>580,501</w:t>
            </w:r>
          </w:p>
        </w:tc>
        <w:tc>
          <w:tcPr>
            <w:tcW w:w="2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51555C"/>
              </w:rPr>
              <w:t>1,161,002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51555C"/>
              </w:rPr>
              <w:t>580,501</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51555C"/>
              </w:rPr>
              <w:t>1,161,002</w:t>
            </w:r>
          </w:p>
        </w:tc>
        <w:tc>
          <w:tcPr>
            <w:tcW w:w="20" w:type="dxa"/>
            <w:vAlign w:val="bottom"/>
          </w:tcPr>
          <w:p>
            <w:pPr>
              <w:spacing w:after="0"/>
              <w:rPr>
                <w:sz w:val="18"/>
                <w:szCs w:val="18"/>
                <w:color w:val="auto"/>
              </w:rPr>
            </w:pPr>
          </w:p>
        </w:tc>
      </w:tr>
      <w:tr>
        <w:trPr>
          <w:trHeight w:val="22"/>
        </w:trPr>
        <w:tc>
          <w:tcPr>
            <w:tcW w:w="2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940" w:type="dxa"/>
            <w:vAlign w:val="bottom"/>
            <w:tcBorders>
              <w:bottom w:val="single" w:sz="8" w:color="EBFBFF"/>
              <w:right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Mr. Gregoire</w:t>
            </w:r>
          </w:p>
        </w:tc>
        <w:tc>
          <w:tcPr>
            <w:tcW w:w="320" w:type="dxa"/>
            <w:vAlign w:val="bottom"/>
            <w:tcBorders>
              <w:bottom w:val="single" w:sz="8" w:color="EBFBFF"/>
            </w:tcBorders>
            <w:shd w:val="clear" w:color="auto" w:fill="EBFBFF"/>
          </w:tcPr>
          <w:p>
            <w:pPr>
              <w:spacing w:after="0"/>
              <w:rPr>
                <w:sz w:val="18"/>
                <w:szCs w:val="18"/>
                <w:color w:val="auto"/>
              </w:rPr>
            </w:pPr>
          </w:p>
        </w:tc>
        <w:tc>
          <w:tcPr>
            <w:tcW w:w="8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340,537</w:t>
            </w:r>
          </w:p>
        </w:tc>
        <w:tc>
          <w:tcPr>
            <w:tcW w:w="280" w:type="dxa"/>
            <w:vAlign w:val="bottom"/>
            <w:tcBorders>
              <w:bottom w:val="single" w:sz="8" w:color="EBFBFF"/>
            </w:tcBorders>
            <w:shd w:val="clear" w:color="auto" w:fill="EBFBFF"/>
          </w:tcPr>
          <w:p>
            <w:pPr>
              <w:spacing w:after="0"/>
              <w:rPr>
                <w:sz w:val="18"/>
                <w:szCs w:val="18"/>
                <w:color w:val="auto"/>
              </w:rPr>
            </w:pPr>
          </w:p>
        </w:tc>
        <w:tc>
          <w:tcPr>
            <w:tcW w:w="900" w:type="dxa"/>
            <w:vAlign w:val="bottom"/>
            <w:tcBorders>
              <w:bottom w:val="single" w:sz="8" w:color="EBFBFF"/>
              <w:right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681,074</w:t>
            </w:r>
          </w:p>
        </w:tc>
        <w:tc>
          <w:tcPr>
            <w:tcW w:w="420" w:type="dxa"/>
            <w:vAlign w:val="bottom"/>
            <w:tcBorders>
              <w:bottom w:val="single" w:sz="8" w:color="EBFBFF"/>
              <w:right w:val="single" w:sz="8" w:color="EBFBFF"/>
            </w:tcBorders>
            <w:shd w:val="clear" w:color="auto" w:fill="EBFBFF"/>
          </w:tcPr>
          <w:p>
            <w:pPr>
              <w:spacing w:after="0"/>
              <w:rPr>
                <w:sz w:val="18"/>
                <w:szCs w:val="18"/>
                <w:color w:val="auto"/>
              </w:rPr>
            </w:pPr>
          </w:p>
        </w:tc>
        <w:tc>
          <w:tcPr>
            <w:tcW w:w="220" w:type="dxa"/>
            <w:vAlign w:val="bottom"/>
            <w:tcBorders>
              <w:bottom w:val="single" w:sz="8" w:color="EBFBFF"/>
            </w:tcBorders>
            <w:shd w:val="clear" w:color="auto" w:fill="EBFBFF"/>
          </w:tcPr>
          <w:p>
            <w:pPr>
              <w:spacing w:after="0"/>
              <w:rPr>
                <w:sz w:val="18"/>
                <w:szCs w:val="18"/>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725,627</w:t>
            </w:r>
          </w:p>
        </w:tc>
        <w:tc>
          <w:tcPr>
            <w:tcW w:w="280" w:type="dxa"/>
            <w:vAlign w:val="bottom"/>
            <w:tcBorders>
              <w:bottom w:val="single" w:sz="8" w:color="EBFBFF"/>
            </w:tcBorders>
            <w:shd w:val="clear" w:color="auto" w:fill="EBFBFF"/>
          </w:tcPr>
          <w:p>
            <w:pPr>
              <w:spacing w:after="0"/>
              <w:rPr>
                <w:sz w:val="18"/>
                <w:szCs w:val="18"/>
                <w:color w:val="auto"/>
              </w:rPr>
            </w:pPr>
          </w:p>
        </w:tc>
        <w:tc>
          <w:tcPr>
            <w:tcW w:w="900" w:type="dxa"/>
            <w:vAlign w:val="bottom"/>
            <w:tcBorders>
              <w:bottom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1,451,254</w:t>
            </w:r>
          </w:p>
        </w:tc>
        <w:tc>
          <w:tcPr>
            <w:tcW w:w="240" w:type="dxa"/>
            <w:vAlign w:val="bottom"/>
            <w:tcBorders>
              <w:bottom w:val="single" w:sz="8" w:color="EBFBFF"/>
              <w:right w:val="single" w:sz="8" w:color="EBFBFF"/>
            </w:tcBorders>
            <w:shd w:val="clear" w:color="auto" w:fill="EBFBFF"/>
          </w:tcPr>
          <w:p>
            <w:pPr>
              <w:spacing w:after="0"/>
              <w:rPr>
                <w:sz w:val="18"/>
                <w:szCs w:val="18"/>
                <w:color w:val="auto"/>
              </w:rPr>
            </w:pPr>
          </w:p>
        </w:tc>
        <w:tc>
          <w:tcPr>
            <w:tcW w:w="180" w:type="dxa"/>
            <w:vAlign w:val="bottom"/>
            <w:tcBorders>
              <w:bottom w:val="single" w:sz="8" w:color="EBFBFF"/>
            </w:tcBorders>
            <w:shd w:val="clear" w:color="auto" w:fill="EBFBFF"/>
          </w:tcPr>
          <w:p>
            <w:pPr>
              <w:spacing w:after="0"/>
              <w:rPr>
                <w:sz w:val="18"/>
                <w:szCs w:val="18"/>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725,627</w:t>
            </w:r>
          </w:p>
        </w:tc>
        <w:tc>
          <w:tcPr>
            <w:tcW w:w="280" w:type="dxa"/>
            <w:vAlign w:val="bottom"/>
            <w:tcBorders>
              <w:bottom w:val="single" w:sz="8" w:color="EBFBFF"/>
            </w:tcBorders>
            <w:shd w:val="clear" w:color="auto" w:fill="EBFBFF"/>
          </w:tcPr>
          <w:p>
            <w:pPr>
              <w:spacing w:after="0"/>
              <w:rPr>
                <w:sz w:val="18"/>
                <w:szCs w:val="18"/>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1,451,254</w:t>
            </w:r>
          </w:p>
        </w:tc>
        <w:tc>
          <w:tcPr>
            <w:tcW w:w="20" w:type="dxa"/>
            <w:vAlign w:val="bottom"/>
          </w:tcPr>
          <w:p>
            <w:pPr>
              <w:spacing w:after="0"/>
              <w:rPr>
                <w:sz w:val="18"/>
                <w:szCs w:val="18"/>
                <w:color w:val="auto"/>
              </w:rPr>
            </w:pPr>
          </w:p>
        </w:tc>
      </w:tr>
      <w:tr>
        <w:trPr>
          <w:trHeight w:val="208"/>
        </w:trPr>
        <w:tc>
          <w:tcPr>
            <w:tcW w:w="2940" w:type="dxa"/>
            <w:vAlign w:val="bottom"/>
          </w:tcPr>
          <w:p>
            <w:pPr>
              <w:ind w:left="20"/>
              <w:spacing w:after="0"/>
              <w:rPr>
                <w:sz w:val="20"/>
                <w:szCs w:val="20"/>
                <w:color w:val="auto"/>
              </w:rPr>
            </w:pPr>
            <w:r>
              <w:rPr>
                <w:rFonts w:ascii="Arial" w:cs="Arial" w:eastAsia="Arial" w:hAnsi="Arial"/>
                <w:sz w:val="14"/>
                <w:szCs w:val="14"/>
                <w:color w:val="51555C"/>
              </w:rPr>
              <w:t>Mr. McDearis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51555C"/>
              </w:rPr>
              <w:t>330,106</w:t>
            </w:r>
          </w:p>
        </w:tc>
        <w:tc>
          <w:tcPr>
            <w:tcW w:w="2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51555C"/>
              </w:rPr>
              <w:t>660,212</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51555C"/>
              </w:rPr>
              <w:t>535,826</w:t>
            </w:r>
          </w:p>
        </w:tc>
        <w:tc>
          <w:tcPr>
            <w:tcW w:w="2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51555C"/>
              </w:rPr>
              <w:t>1,071,652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51555C"/>
              </w:rPr>
              <w:t>535,826</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51555C"/>
              </w:rPr>
              <w:t>1,071,652</w:t>
            </w:r>
          </w:p>
        </w:tc>
        <w:tc>
          <w:tcPr>
            <w:tcW w:w="20" w:type="dxa"/>
            <w:vAlign w:val="bottom"/>
          </w:tcPr>
          <w:p>
            <w:pPr>
              <w:spacing w:after="0"/>
              <w:rPr>
                <w:sz w:val="18"/>
                <w:szCs w:val="18"/>
                <w:color w:val="auto"/>
              </w:rPr>
            </w:pPr>
          </w:p>
        </w:tc>
      </w:tr>
      <w:tr>
        <w:trPr>
          <w:trHeight w:val="22"/>
        </w:trPr>
        <w:tc>
          <w:tcPr>
            <w:tcW w:w="2940" w:type="dxa"/>
            <w:vAlign w:val="bottom"/>
            <w:tcBorders>
              <w:bottom w:val="single" w:sz="8" w:color="0CD973"/>
            </w:tcBorders>
          </w:tcPr>
          <w:p>
            <w:pPr>
              <w:spacing w:after="0" w:line="20" w:lineRule="exact"/>
              <w:rPr>
                <w:sz w:val="1"/>
                <w:szCs w:val="1"/>
                <w:color w:val="auto"/>
              </w:rPr>
            </w:pPr>
          </w:p>
        </w:tc>
        <w:tc>
          <w:tcPr>
            <w:tcW w:w="320" w:type="dxa"/>
            <w:vAlign w:val="bottom"/>
            <w:tcBorders>
              <w:bottom w:val="single" w:sz="8" w:color="0CD973"/>
            </w:tcBorders>
          </w:tcPr>
          <w:p>
            <w:pPr>
              <w:spacing w:after="0" w:line="20" w:lineRule="exact"/>
              <w:rPr>
                <w:sz w:val="1"/>
                <w:szCs w:val="1"/>
                <w:color w:val="auto"/>
              </w:rPr>
            </w:pPr>
          </w:p>
        </w:tc>
        <w:tc>
          <w:tcPr>
            <w:tcW w:w="800" w:type="dxa"/>
            <w:vAlign w:val="bottom"/>
            <w:tcBorders>
              <w:bottom w:val="single" w:sz="8" w:color="0CD973"/>
            </w:tcBorders>
          </w:tcPr>
          <w:p>
            <w:pPr>
              <w:spacing w:after="0" w:line="20" w:lineRule="exact"/>
              <w:rPr>
                <w:sz w:val="1"/>
                <w:szCs w:val="1"/>
                <w:color w:val="auto"/>
              </w:rPr>
            </w:pPr>
          </w:p>
        </w:tc>
        <w:tc>
          <w:tcPr>
            <w:tcW w:w="280" w:type="dxa"/>
            <w:vAlign w:val="bottom"/>
            <w:tcBorders>
              <w:bottom w:val="single" w:sz="8" w:color="0CD973"/>
            </w:tcBorders>
          </w:tcPr>
          <w:p>
            <w:pPr>
              <w:spacing w:after="0" w:line="20" w:lineRule="exact"/>
              <w:rPr>
                <w:sz w:val="1"/>
                <w:szCs w:val="1"/>
                <w:color w:val="auto"/>
              </w:rPr>
            </w:pPr>
          </w:p>
        </w:tc>
        <w:tc>
          <w:tcPr>
            <w:tcW w:w="900" w:type="dxa"/>
            <w:vAlign w:val="bottom"/>
            <w:tcBorders>
              <w:bottom w:val="single" w:sz="8" w:color="0CD973"/>
            </w:tcBorders>
          </w:tcPr>
          <w:p>
            <w:pPr>
              <w:spacing w:after="0" w:line="20" w:lineRule="exact"/>
              <w:rPr>
                <w:sz w:val="1"/>
                <w:szCs w:val="1"/>
                <w:color w:val="auto"/>
              </w:rPr>
            </w:pPr>
          </w:p>
        </w:tc>
        <w:tc>
          <w:tcPr>
            <w:tcW w:w="420" w:type="dxa"/>
            <w:vAlign w:val="bottom"/>
            <w:tcBorders>
              <w:bottom w:val="single" w:sz="8" w:color="0CD973"/>
            </w:tcBorders>
          </w:tcPr>
          <w:p>
            <w:pPr>
              <w:spacing w:after="0" w:line="20" w:lineRule="exact"/>
              <w:rPr>
                <w:sz w:val="1"/>
                <w:szCs w:val="1"/>
                <w:color w:val="auto"/>
              </w:rPr>
            </w:pPr>
          </w:p>
        </w:tc>
        <w:tc>
          <w:tcPr>
            <w:tcW w:w="220" w:type="dxa"/>
            <w:vAlign w:val="bottom"/>
            <w:tcBorders>
              <w:bottom w:val="single" w:sz="8" w:color="0CD973"/>
            </w:tcBorders>
          </w:tcPr>
          <w:p>
            <w:pPr>
              <w:spacing w:after="0" w:line="20" w:lineRule="exact"/>
              <w:rPr>
                <w:sz w:val="1"/>
                <w:szCs w:val="1"/>
                <w:color w:val="auto"/>
              </w:rPr>
            </w:pPr>
          </w:p>
        </w:tc>
        <w:tc>
          <w:tcPr>
            <w:tcW w:w="920" w:type="dxa"/>
            <w:vAlign w:val="bottom"/>
            <w:tcBorders>
              <w:bottom w:val="single" w:sz="8" w:color="0CD973"/>
            </w:tcBorders>
          </w:tcPr>
          <w:p>
            <w:pPr>
              <w:spacing w:after="0" w:line="20" w:lineRule="exact"/>
              <w:rPr>
                <w:sz w:val="1"/>
                <w:szCs w:val="1"/>
                <w:color w:val="auto"/>
              </w:rPr>
            </w:pPr>
          </w:p>
        </w:tc>
        <w:tc>
          <w:tcPr>
            <w:tcW w:w="280" w:type="dxa"/>
            <w:vAlign w:val="bottom"/>
            <w:tcBorders>
              <w:bottom w:val="single" w:sz="8" w:color="0CD973"/>
            </w:tcBorders>
          </w:tcPr>
          <w:p>
            <w:pPr>
              <w:spacing w:after="0" w:line="20" w:lineRule="exact"/>
              <w:rPr>
                <w:sz w:val="1"/>
                <w:szCs w:val="1"/>
                <w:color w:val="auto"/>
              </w:rPr>
            </w:pPr>
          </w:p>
        </w:tc>
        <w:tc>
          <w:tcPr>
            <w:tcW w:w="900" w:type="dxa"/>
            <w:vAlign w:val="bottom"/>
            <w:tcBorders>
              <w:bottom w:val="single" w:sz="8" w:color="0CD973"/>
            </w:tcBorders>
          </w:tcPr>
          <w:p>
            <w:pPr>
              <w:spacing w:after="0" w:line="20" w:lineRule="exact"/>
              <w:rPr>
                <w:sz w:val="1"/>
                <w:szCs w:val="1"/>
                <w:color w:val="auto"/>
              </w:rPr>
            </w:pPr>
          </w:p>
        </w:tc>
        <w:tc>
          <w:tcPr>
            <w:tcW w:w="240" w:type="dxa"/>
            <w:vAlign w:val="bottom"/>
            <w:tcBorders>
              <w:bottom w:val="single" w:sz="8" w:color="0CD973"/>
            </w:tcBorders>
          </w:tcPr>
          <w:p>
            <w:pPr>
              <w:spacing w:after="0" w:line="20" w:lineRule="exact"/>
              <w:rPr>
                <w:sz w:val="1"/>
                <w:szCs w:val="1"/>
                <w:color w:val="auto"/>
              </w:rPr>
            </w:pPr>
          </w:p>
        </w:tc>
        <w:tc>
          <w:tcPr>
            <w:tcW w:w="180" w:type="dxa"/>
            <w:vAlign w:val="bottom"/>
            <w:tcBorders>
              <w:bottom w:val="single" w:sz="8" w:color="0CD973"/>
            </w:tcBorders>
          </w:tcPr>
          <w:p>
            <w:pPr>
              <w:spacing w:after="0" w:line="20" w:lineRule="exact"/>
              <w:rPr>
                <w:sz w:val="1"/>
                <w:szCs w:val="1"/>
                <w:color w:val="auto"/>
              </w:rPr>
            </w:pPr>
          </w:p>
        </w:tc>
        <w:tc>
          <w:tcPr>
            <w:tcW w:w="960" w:type="dxa"/>
            <w:vAlign w:val="bottom"/>
            <w:tcBorders>
              <w:bottom w:val="single" w:sz="8" w:color="0CD973"/>
            </w:tcBorders>
          </w:tcPr>
          <w:p>
            <w:pPr>
              <w:spacing w:after="0" w:line="20" w:lineRule="exact"/>
              <w:rPr>
                <w:sz w:val="1"/>
                <w:szCs w:val="1"/>
                <w:color w:val="auto"/>
              </w:rPr>
            </w:pPr>
          </w:p>
        </w:tc>
        <w:tc>
          <w:tcPr>
            <w:tcW w:w="280" w:type="dxa"/>
            <w:vAlign w:val="bottom"/>
            <w:tcBorders>
              <w:bottom w:val="single" w:sz="8" w:color="0CD973"/>
            </w:tcBorders>
          </w:tcPr>
          <w:p>
            <w:pPr>
              <w:spacing w:after="0" w:line="20" w:lineRule="exact"/>
              <w:rPr>
                <w:sz w:val="1"/>
                <w:szCs w:val="1"/>
                <w:color w:val="auto"/>
              </w:rPr>
            </w:pPr>
          </w:p>
        </w:tc>
        <w:tc>
          <w:tcPr>
            <w:tcW w:w="880" w:type="dxa"/>
            <w:vAlign w:val="bottom"/>
            <w:tcBorders>
              <w:bottom w:val="single" w:sz="8" w:color="0CD97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-1045210</wp:posOffset>
            </wp:positionV>
            <wp:extent cx="48348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834890" cy="8890"/>
                    </a:xfrm>
                    <a:prstGeom prst="rect">
                      <a:avLst/>
                    </a:prstGeom>
                    <a:noFill/>
                  </pic:spPr>
                </pic:pic>
              </a:graphicData>
            </a:graphic>
          </wp:anchor>
        </w:drawing>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4"/>
          <w:szCs w:val="14"/>
          <w:color w:val="51555C"/>
        </w:rPr>
        <w:t>(a) Mr. Anderson's 2025 STI PRSUs include awards granted on February 18, 2025 and May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246380</wp:posOffset>
            </wp:positionV>
            <wp:extent cx="702945" cy="1117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02945" cy="111760"/>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53</w:t>
            </w:r>
          </w:p>
        </w:tc>
      </w:tr>
      <w:tr>
        <w:trPr>
          <w:trHeight w:val="271"/>
        </w:trPr>
        <w:tc>
          <w:tcPr>
            <w:tcW w:w="1020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00" w:right="319" w:bottom="1440" w:gutter="0" w:footer="0" w:header="0"/>
        </w:sectPr>
      </w:pPr>
    </w:p>
    <w:bookmarkStart w:id="55" w:name="page56"/>
    <w:bookmarkEnd w:id="55"/>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12"/>
        <w:spacing w:after="0"/>
        <w:rPr>
          <w:sz w:val="20"/>
          <w:szCs w:val="20"/>
          <w:color w:val="auto"/>
        </w:rPr>
      </w:pPr>
      <w:r>
        <w:rPr>
          <w:rFonts w:ascii="Arial" w:cs="Arial" w:eastAsia="Arial" w:hAnsi="Arial"/>
          <w:sz w:val="17"/>
          <w:szCs w:val="17"/>
          <w:b w:val="1"/>
          <w:bCs w:val="1"/>
          <w:color w:val="51555C"/>
        </w:rPr>
        <w:t>EXECUTIVE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32" w:space="720"/>
            <w:col w:w="1060"/>
          </w:cols>
          <w:pgMar w:left="328" w:top="338" w:right="35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332" w:hanging="332"/>
        <w:spacing w:after="0"/>
        <w:tabs>
          <w:tab w:leader="none" w:pos="332" w:val="left"/>
        </w:tabs>
        <w:numPr>
          <w:ilvl w:val="0"/>
          <w:numId w:val="62"/>
        </w:numPr>
        <w:rPr>
          <w:rFonts w:ascii="Arial" w:cs="Arial" w:eastAsia="Arial" w:hAnsi="Arial"/>
          <w:sz w:val="14"/>
          <w:szCs w:val="14"/>
          <w:color w:val="51555C"/>
        </w:rPr>
      </w:pPr>
      <w:r>
        <w:rPr>
          <w:rFonts w:ascii="Arial" w:cs="Arial" w:eastAsia="Arial" w:hAnsi="Arial"/>
          <w:sz w:val="14"/>
          <w:szCs w:val="14"/>
          <w:color w:val="51555C"/>
        </w:rPr>
        <w:t>Includes the following for each NEO:</w:t>
      </w:r>
    </w:p>
    <w:p>
      <w:pPr>
        <w:spacing w:after="0" w:line="51" w:lineRule="exact"/>
        <w:rPr>
          <w:sz w:val="20"/>
          <w:szCs w:val="20"/>
          <w:color w:val="auto"/>
        </w:rPr>
      </w:pPr>
    </w:p>
    <w:tbl>
      <w:tblPr>
        <w:tblLayout w:type="fixed"/>
        <w:tblInd w:w="332" w:type="dxa"/>
        <w:tblCellMar>
          <w:top w:w="0" w:type="dxa"/>
          <w:left w:w="0" w:type="dxa"/>
          <w:bottom w:w="0" w:type="dxa"/>
          <w:right w:w="0" w:type="dxa"/>
        </w:tblCellMar>
      </w:tblPr>
      <w:tr>
        <w:trPr>
          <w:trHeight w:val="207"/>
        </w:trPr>
        <w:tc>
          <w:tcPr>
            <w:tcW w:w="3440" w:type="dxa"/>
            <w:vAlign w:val="bottom"/>
            <w:shd w:val="clear" w:color="auto" w:fill="004054"/>
          </w:tcPr>
          <w:p>
            <w:pPr>
              <w:spacing w:after="0"/>
              <w:rPr>
                <w:sz w:val="17"/>
                <w:szCs w:val="17"/>
                <w:color w:val="auto"/>
              </w:rPr>
            </w:pPr>
          </w:p>
        </w:tc>
        <w:tc>
          <w:tcPr>
            <w:tcW w:w="880" w:type="dxa"/>
            <w:vAlign w:val="bottom"/>
            <w:shd w:val="clear" w:color="auto" w:fill="004054"/>
          </w:tcPr>
          <w:p>
            <w:pPr>
              <w:spacing w:after="0"/>
              <w:rPr>
                <w:sz w:val="17"/>
                <w:szCs w:val="17"/>
                <w:color w:val="auto"/>
              </w:rPr>
            </w:pPr>
          </w:p>
        </w:tc>
        <w:tc>
          <w:tcPr>
            <w:tcW w:w="360" w:type="dxa"/>
            <w:vAlign w:val="bottom"/>
            <w:shd w:val="clear" w:color="auto" w:fill="004054"/>
          </w:tcPr>
          <w:p>
            <w:pPr>
              <w:spacing w:after="0"/>
              <w:rPr>
                <w:sz w:val="17"/>
                <w:szCs w:val="17"/>
                <w:color w:val="auto"/>
              </w:rPr>
            </w:pPr>
          </w:p>
        </w:tc>
        <w:tc>
          <w:tcPr>
            <w:tcW w:w="9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401(k)</w:t>
            </w:r>
          </w:p>
        </w:tc>
        <w:tc>
          <w:tcPr>
            <w:tcW w:w="240" w:type="dxa"/>
            <w:vAlign w:val="bottom"/>
            <w:shd w:val="clear" w:color="auto" w:fill="004054"/>
          </w:tcPr>
          <w:p>
            <w:pPr>
              <w:spacing w:after="0"/>
              <w:rPr>
                <w:sz w:val="17"/>
                <w:szCs w:val="17"/>
                <w:color w:val="auto"/>
              </w:rPr>
            </w:pPr>
          </w:p>
        </w:tc>
        <w:tc>
          <w:tcPr>
            <w:tcW w:w="156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Life and Disability</w:t>
            </w:r>
          </w:p>
        </w:tc>
        <w:tc>
          <w:tcPr>
            <w:tcW w:w="180" w:type="dxa"/>
            <w:vAlign w:val="bottom"/>
            <w:shd w:val="clear" w:color="auto" w:fill="004054"/>
          </w:tcPr>
          <w:p>
            <w:pPr>
              <w:spacing w:after="0"/>
              <w:rPr>
                <w:sz w:val="17"/>
                <w:szCs w:val="17"/>
                <w:color w:val="auto"/>
              </w:rPr>
            </w:pPr>
          </w:p>
        </w:tc>
        <w:tc>
          <w:tcPr>
            <w:tcW w:w="84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Relocation</w:t>
            </w:r>
          </w:p>
        </w:tc>
        <w:tc>
          <w:tcPr>
            <w:tcW w:w="160" w:type="dxa"/>
            <w:vAlign w:val="bottom"/>
            <w:shd w:val="clear" w:color="auto" w:fill="004054"/>
          </w:tcPr>
          <w:p>
            <w:pPr>
              <w:spacing w:after="0"/>
              <w:rPr>
                <w:sz w:val="17"/>
                <w:szCs w:val="17"/>
                <w:color w:val="auto"/>
              </w:rPr>
            </w:pPr>
          </w:p>
        </w:tc>
        <w:tc>
          <w:tcPr>
            <w:tcW w:w="680" w:type="dxa"/>
            <w:vAlign w:val="bottom"/>
            <w:tcBorders>
              <w:right w:val="single" w:sz="8" w:color="004054"/>
            </w:tcBorders>
            <w:shd w:val="clear" w:color="auto" w:fill="004054"/>
          </w:tcPr>
          <w:p>
            <w:pPr>
              <w:spacing w:after="0"/>
              <w:rPr>
                <w:sz w:val="17"/>
                <w:szCs w:val="17"/>
                <w:color w:val="auto"/>
              </w:rPr>
            </w:pPr>
          </w:p>
        </w:tc>
        <w:tc>
          <w:tcPr>
            <w:tcW w:w="380" w:type="dxa"/>
            <w:vAlign w:val="bottom"/>
            <w:shd w:val="clear" w:color="auto" w:fill="006880"/>
          </w:tcPr>
          <w:p>
            <w:pPr>
              <w:spacing w:after="0"/>
              <w:rPr>
                <w:sz w:val="17"/>
                <w:szCs w:val="17"/>
                <w:color w:val="auto"/>
              </w:rPr>
            </w:pPr>
          </w:p>
        </w:tc>
        <w:tc>
          <w:tcPr>
            <w:tcW w:w="880" w:type="dxa"/>
            <w:vAlign w:val="bottom"/>
            <w:shd w:val="clear" w:color="auto" w:fill="006880"/>
          </w:tcPr>
          <w:p>
            <w:pPr>
              <w:spacing w:after="0"/>
              <w:rPr>
                <w:sz w:val="17"/>
                <w:szCs w:val="17"/>
                <w:color w:val="auto"/>
              </w:rPr>
            </w:pPr>
          </w:p>
        </w:tc>
        <w:tc>
          <w:tcPr>
            <w:tcW w:w="20" w:type="dxa"/>
            <w:vAlign w:val="bottom"/>
            <w:shd w:val="clear" w:color="auto" w:fill="006880"/>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004054"/>
          </w:tcPr>
          <w:p>
            <w:pPr>
              <w:spacing w:after="0"/>
              <w:rPr>
                <w:sz w:val="14"/>
                <w:szCs w:val="14"/>
                <w:color w:val="auto"/>
              </w:rPr>
            </w:pPr>
          </w:p>
        </w:tc>
        <w:tc>
          <w:tcPr>
            <w:tcW w:w="880" w:type="dxa"/>
            <w:vAlign w:val="bottom"/>
            <w:shd w:val="clear" w:color="auto" w:fill="004054"/>
          </w:tcPr>
          <w:p>
            <w:pPr>
              <w:spacing w:after="0"/>
              <w:rPr>
                <w:sz w:val="14"/>
                <w:szCs w:val="14"/>
                <w:color w:val="auto"/>
              </w:rPr>
            </w:pPr>
          </w:p>
        </w:tc>
        <w:tc>
          <w:tcPr>
            <w:tcW w:w="360" w:type="dxa"/>
            <w:vAlign w:val="bottom"/>
            <w:shd w:val="clear" w:color="auto" w:fill="004054"/>
          </w:tcPr>
          <w:p>
            <w:pPr>
              <w:spacing w:after="0"/>
              <w:rPr>
                <w:sz w:val="14"/>
                <w:szCs w:val="14"/>
                <w:color w:val="auto"/>
              </w:rPr>
            </w:pPr>
          </w:p>
        </w:tc>
        <w:tc>
          <w:tcPr>
            <w:tcW w:w="9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Company</w:t>
            </w:r>
          </w:p>
        </w:tc>
        <w:tc>
          <w:tcPr>
            <w:tcW w:w="240" w:type="dxa"/>
            <w:vAlign w:val="bottom"/>
            <w:shd w:val="clear" w:color="auto" w:fill="004054"/>
          </w:tcPr>
          <w:p>
            <w:pPr>
              <w:spacing w:after="0"/>
              <w:rPr>
                <w:sz w:val="14"/>
                <w:szCs w:val="14"/>
                <w:color w:val="auto"/>
              </w:rPr>
            </w:pPr>
          </w:p>
        </w:tc>
        <w:tc>
          <w:tcPr>
            <w:tcW w:w="1560" w:type="dxa"/>
            <w:vAlign w:val="bottom"/>
            <w:vMerge w:val="continue"/>
            <w:shd w:val="clear" w:color="auto" w:fill="004054"/>
          </w:tcPr>
          <w:p>
            <w:pPr>
              <w:spacing w:after="0"/>
              <w:rPr>
                <w:sz w:val="14"/>
                <w:szCs w:val="14"/>
                <w:color w:val="auto"/>
              </w:rPr>
            </w:pPr>
          </w:p>
        </w:tc>
        <w:tc>
          <w:tcPr>
            <w:tcW w:w="180" w:type="dxa"/>
            <w:vAlign w:val="bottom"/>
            <w:shd w:val="clear" w:color="auto" w:fill="004054"/>
          </w:tcPr>
          <w:p>
            <w:pPr>
              <w:spacing w:after="0"/>
              <w:rPr>
                <w:sz w:val="14"/>
                <w:szCs w:val="14"/>
                <w:color w:val="auto"/>
              </w:rPr>
            </w:pPr>
          </w:p>
        </w:tc>
        <w:tc>
          <w:tcPr>
            <w:tcW w:w="840" w:type="dxa"/>
            <w:vAlign w:val="bottom"/>
            <w:vMerge w:val="continue"/>
            <w:shd w:val="clear" w:color="auto" w:fill="004054"/>
          </w:tcPr>
          <w:p>
            <w:pPr>
              <w:spacing w:after="0"/>
              <w:rPr>
                <w:sz w:val="14"/>
                <w:szCs w:val="14"/>
                <w:color w:val="auto"/>
              </w:rPr>
            </w:pPr>
          </w:p>
        </w:tc>
        <w:tc>
          <w:tcPr>
            <w:tcW w:w="160" w:type="dxa"/>
            <w:vAlign w:val="bottom"/>
            <w:shd w:val="clear" w:color="auto" w:fill="004054"/>
          </w:tcPr>
          <w:p>
            <w:pPr>
              <w:spacing w:after="0"/>
              <w:rPr>
                <w:sz w:val="14"/>
                <w:szCs w:val="14"/>
                <w:color w:val="auto"/>
              </w:rPr>
            </w:pPr>
          </w:p>
        </w:tc>
        <w:tc>
          <w:tcPr>
            <w:tcW w:w="680" w:type="dxa"/>
            <w:vAlign w:val="bottom"/>
            <w:tcBorders>
              <w:right w:val="single" w:sz="8" w:color="004054"/>
            </w:tcBorders>
            <w:shd w:val="clear" w:color="auto" w:fill="004054"/>
          </w:tcPr>
          <w:p>
            <w:pPr>
              <w:spacing w:after="0"/>
              <w:rPr>
                <w:sz w:val="14"/>
                <w:szCs w:val="14"/>
                <w:color w:val="auto"/>
              </w:rPr>
            </w:pPr>
          </w:p>
        </w:tc>
        <w:tc>
          <w:tcPr>
            <w:tcW w:w="380" w:type="dxa"/>
            <w:vAlign w:val="bottom"/>
            <w:shd w:val="clear" w:color="auto" w:fill="006880"/>
          </w:tcPr>
          <w:p>
            <w:pPr>
              <w:spacing w:after="0"/>
              <w:rPr>
                <w:sz w:val="14"/>
                <w:szCs w:val="14"/>
                <w:color w:val="auto"/>
              </w:rPr>
            </w:pPr>
          </w:p>
        </w:tc>
        <w:tc>
          <w:tcPr>
            <w:tcW w:w="880" w:type="dxa"/>
            <w:vAlign w:val="bottom"/>
            <w:shd w:val="clear" w:color="auto" w:fill="006880"/>
          </w:tcPr>
          <w:p>
            <w:pPr>
              <w:spacing w:after="0"/>
              <w:rPr>
                <w:sz w:val="14"/>
                <w:szCs w:val="14"/>
                <w:color w:val="auto"/>
              </w:rPr>
            </w:pPr>
          </w:p>
        </w:tc>
        <w:tc>
          <w:tcPr>
            <w:tcW w:w="20" w:type="dxa"/>
            <w:vAlign w:val="bottom"/>
            <w:shd w:val="clear" w:color="auto" w:fill="006880"/>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440" w:type="dxa"/>
            <w:vAlign w:val="bottom"/>
            <w:tcBorders>
              <w:bottom w:val="single" w:sz="8" w:color="004054"/>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Name</w:t>
            </w:r>
          </w:p>
        </w:tc>
        <w:tc>
          <w:tcPr>
            <w:tcW w:w="8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Year</w:t>
            </w:r>
          </w:p>
        </w:tc>
        <w:tc>
          <w:tcPr>
            <w:tcW w:w="360" w:type="dxa"/>
            <w:vAlign w:val="bottom"/>
            <w:tcBorders>
              <w:bottom w:val="single" w:sz="8" w:color="004054"/>
            </w:tcBorders>
            <w:shd w:val="clear" w:color="auto" w:fill="004054"/>
          </w:tcPr>
          <w:p>
            <w:pPr>
              <w:spacing w:after="0"/>
              <w:rPr>
                <w:sz w:val="17"/>
                <w:szCs w:val="17"/>
                <w:color w:val="auto"/>
              </w:rPr>
            </w:pPr>
          </w:p>
        </w:tc>
        <w:tc>
          <w:tcPr>
            <w:tcW w:w="9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Match</w:t>
            </w:r>
          </w:p>
        </w:tc>
        <w:tc>
          <w:tcPr>
            <w:tcW w:w="240" w:type="dxa"/>
            <w:vAlign w:val="bottom"/>
            <w:tcBorders>
              <w:bottom w:val="single" w:sz="8" w:color="004054"/>
            </w:tcBorders>
            <w:shd w:val="clear" w:color="auto" w:fill="004054"/>
          </w:tcPr>
          <w:p>
            <w:pPr>
              <w:spacing w:after="0"/>
              <w:rPr>
                <w:sz w:val="17"/>
                <w:szCs w:val="17"/>
                <w:color w:val="auto"/>
              </w:rPr>
            </w:pPr>
          </w:p>
        </w:tc>
        <w:tc>
          <w:tcPr>
            <w:tcW w:w="15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Insurance Premiums</w:t>
            </w:r>
          </w:p>
        </w:tc>
        <w:tc>
          <w:tcPr>
            <w:tcW w:w="180" w:type="dxa"/>
            <w:vAlign w:val="bottom"/>
            <w:tcBorders>
              <w:bottom w:val="single" w:sz="8" w:color="004054"/>
            </w:tcBorders>
            <w:shd w:val="clear" w:color="auto" w:fill="004054"/>
          </w:tcPr>
          <w:p>
            <w:pPr>
              <w:spacing w:after="0"/>
              <w:rPr>
                <w:sz w:val="17"/>
                <w:szCs w:val="17"/>
                <w:color w:val="auto"/>
              </w:rPr>
            </w:pPr>
          </w:p>
        </w:tc>
        <w:tc>
          <w:tcPr>
            <w:tcW w:w="8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Costs</w:t>
            </w:r>
          </w:p>
        </w:tc>
        <w:tc>
          <w:tcPr>
            <w:tcW w:w="160" w:type="dxa"/>
            <w:vAlign w:val="bottom"/>
            <w:tcBorders>
              <w:bottom w:val="single" w:sz="8" w:color="004054"/>
            </w:tcBorders>
            <w:shd w:val="clear" w:color="auto" w:fill="004054"/>
          </w:tcPr>
          <w:p>
            <w:pPr>
              <w:spacing w:after="0"/>
              <w:rPr>
                <w:sz w:val="17"/>
                <w:szCs w:val="17"/>
                <w:color w:val="auto"/>
              </w:rPr>
            </w:pPr>
          </w:p>
        </w:tc>
        <w:tc>
          <w:tcPr>
            <w:tcW w:w="680" w:type="dxa"/>
            <w:vAlign w:val="bottom"/>
            <w:tcBorders>
              <w:bottom w:val="single" w:sz="8" w:color="004054"/>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Other</w:t>
            </w:r>
          </w:p>
        </w:tc>
        <w:tc>
          <w:tcPr>
            <w:tcW w:w="380" w:type="dxa"/>
            <w:vAlign w:val="bottom"/>
            <w:tcBorders>
              <w:bottom w:val="single" w:sz="8" w:color="006880"/>
            </w:tcBorders>
            <w:shd w:val="clear" w:color="auto" w:fill="006880"/>
          </w:tcPr>
          <w:p>
            <w:pPr>
              <w:spacing w:after="0"/>
              <w:rPr>
                <w:sz w:val="17"/>
                <w:szCs w:val="17"/>
                <w:color w:val="auto"/>
              </w:rPr>
            </w:pPr>
          </w:p>
        </w:tc>
        <w:tc>
          <w:tcPr>
            <w:tcW w:w="880" w:type="dxa"/>
            <w:vAlign w:val="bottom"/>
            <w:tcBorders>
              <w:bottom w:val="single" w:sz="8" w:color="006880"/>
            </w:tcBorders>
            <w:shd w:val="clear" w:color="auto" w:fill="006880"/>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tcBorders>
              <w:bottom w:val="single" w:sz="8" w:color="006880"/>
            </w:tcBorders>
            <w:shd w:val="clear" w:color="auto" w:fill="006880"/>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4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Mr. Gianoni</w:t>
            </w:r>
          </w:p>
        </w:tc>
        <w:tc>
          <w:tcPr>
            <w:tcW w:w="88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2025</w:t>
            </w:r>
          </w:p>
        </w:tc>
        <w:tc>
          <w:tcPr>
            <w:tcW w:w="360" w:type="dxa"/>
            <w:vAlign w:val="bottom"/>
            <w:shd w:val="clear" w:color="auto" w:fill="EBFBFF"/>
          </w:tcPr>
          <w:p>
            <w:pPr>
              <w:jc w:val="right"/>
              <w:ind w:right="188"/>
              <w:spacing w:after="0"/>
              <w:rPr>
                <w:sz w:val="20"/>
                <w:szCs w:val="20"/>
                <w:color w:val="auto"/>
              </w:rPr>
            </w:pPr>
            <w:r>
              <w:rPr>
                <w:rFonts w:ascii="Arial" w:cs="Arial" w:eastAsia="Arial" w:hAnsi="Arial"/>
                <w:sz w:val="14"/>
                <w:szCs w:val="14"/>
                <w:color w:val="51555C"/>
              </w:rPr>
              <w:t>$</w:t>
            </w:r>
          </w:p>
        </w:tc>
        <w:tc>
          <w:tcPr>
            <w:tcW w:w="92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rPr>
              <w:t>8,549</w:t>
            </w:r>
          </w:p>
        </w:tc>
        <w:tc>
          <w:tcPr>
            <w:tcW w:w="240" w:type="dxa"/>
            <w:vAlign w:val="bottom"/>
            <w:shd w:val="clear" w:color="auto" w:fill="EBFBFF"/>
          </w:tcPr>
          <w:p>
            <w:pPr>
              <w:jc w:val="right"/>
              <w:ind w:right="68"/>
              <w:spacing w:after="0"/>
              <w:rPr>
                <w:sz w:val="20"/>
                <w:szCs w:val="20"/>
                <w:color w:val="auto"/>
              </w:rPr>
            </w:pPr>
            <w:r>
              <w:rPr>
                <w:rFonts w:ascii="Arial" w:cs="Arial" w:eastAsia="Arial" w:hAnsi="Arial"/>
                <w:sz w:val="14"/>
                <w:szCs w:val="14"/>
                <w:color w:val="51555C"/>
              </w:rPr>
              <w:t>$</w:t>
            </w:r>
          </w:p>
        </w:tc>
        <w:tc>
          <w:tcPr>
            <w:tcW w:w="15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5,285</w:t>
            </w:r>
          </w:p>
        </w:tc>
        <w:tc>
          <w:tcPr>
            <w:tcW w:w="18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rPr>
              <w:t>$</w:t>
            </w:r>
          </w:p>
        </w:tc>
        <w:tc>
          <w:tcPr>
            <w:tcW w:w="1000" w:type="dxa"/>
            <w:vAlign w:val="bottom"/>
            <w:gridSpan w:val="2"/>
            <w:shd w:val="clear" w:color="auto" w:fill="EBFBFF"/>
          </w:tcPr>
          <w:p>
            <w:pPr>
              <w:ind w:left="620"/>
              <w:spacing w:after="0"/>
              <w:rPr>
                <w:sz w:val="20"/>
                <w:szCs w:val="20"/>
                <w:color w:val="auto"/>
              </w:rPr>
            </w:pPr>
            <w:r>
              <w:rPr>
                <w:rFonts w:ascii="Arial" w:cs="Arial" w:eastAsia="Arial" w:hAnsi="Arial"/>
                <w:sz w:val="14"/>
                <w:szCs w:val="14"/>
                <w:color w:val="51555C"/>
              </w:rPr>
              <w:t>— $</w:t>
            </w:r>
          </w:p>
        </w:tc>
        <w:tc>
          <w:tcPr>
            <w:tcW w:w="680" w:type="dxa"/>
            <w:vAlign w:val="bottom"/>
            <w:tcBorders>
              <w:right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2,100</w:t>
            </w:r>
          </w:p>
        </w:tc>
        <w:tc>
          <w:tcPr>
            <w:tcW w:w="380" w:type="dxa"/>
            <w:vAlign w:val="bottom"/>
            <w:shd w:val="clear" w:color="auto" w:fill="EBFBFF"/>
          </w:tcPr>
          <w:p>
            <w:pPr>
              <w:jc w:val="right"/>
              <w:ind w:right="228"/>
              <w:spacing w:after="0"/>
              <w:rPr>
                <w:sz w:val="20"/>
                <w:szCs w:val="20"/>
                <w:color w:val="auto"/>
              </w:rPr>
            </w:pPr>
            <w:r>
              <w:rPr>
                <w:rFonts w:ascii="Arial" w:cs="Arial" w:eastAsia="Arial" w:hAnsi="Arial"/>
                <w:sz w:val="14"/>
                <w:szCs w:val="14"/>
                <w:b w:val="1"/>
                <w:bCs w:val="1"/>
                <w:color w:val="51555C"/>
                <w:w w:val="76"/>
              </w:rPr>
              <w:t>$</w:t>
            </w:r>
          </w:p>
        </w:tc>
        <w:tc>
          <w:tcPr>
            <w:tcW w:w="880" w:type="dxa"/>
            <w:vAlign w:val="bottom"/>
            <w:shd w:val="clear" w:color="auto" w:fill="EBFBFF"/>
          </w:tcPr>
          <w:p>
            <w:pPr>
              <w:jc w:val="right"/>
              <w:spacing w:after="0"/>
              <w:rPr>
                <w:sz w:val="20"/>
                <w:szCs w:val="20"/>
                <w:color w:val="auto"/>
              </w:rPr>
            </w:pPr>
            <w:r>
              <w:rPr>
                <w:rFonts w:ascii="Arial" w:cs="Arial" w:eastAsia="Arial" w:hAnsi="Arial"/>
                <w:sz w:val="14"/>
                <w:szCs w:val="14"/>
                <w:b w:val="1"/>
                <w:bCs w:val="1"/>
                <w:color w:val="51555C"/>
              </w:rPr>
              <w:t>15,934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EBFBFF"/>
          </w:tcPr>
          <w:p>
            <w:pPr>
              <w:spacing w:after="0"/>
              <w:rPr>
                <w:sz w:val="19"/>
                <w:szCs w:val="19"/>
                <w:color w:val="auto"/>
              </w:rPr>
            </w:pPr>
          </w:p>
        </w:tc>
        <w:tc>
          <w:tcPr>
            <w:tcW w:w="88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2024</w:t>
            </w:r>
          </w:p>
        </w:tc>
        <w:tc>
          <w:tcPr>
            <w:tcW w:w="360" w:type="dxa"/>
            <w:vAlign w:val="bottom"/>
            <w:shd w:val="clear" w:color="auto" w:fill="EBFBFF"/>
          </w:tcPr>
          <w:p>
            <w:pPr>
              <w:spacing w:after="0"/>
              <w:rPr>
                <w:sz w:val="19"/>
                <w:szCs w:val="19"/>
                <w:color w:val="auto"/>
              </w:rPr>
            </w:pPr>
          </w:p>
        </w:tc>
        <w:tc>
          <w:tcPr>
            <w:tcW w:w="92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rPr>
              <w:t>8,833</w:t>
            </w:r>
          </w:p>
        </w:tc>
        <w:tc>
          <w:tcPr>
            <w:tcW w:w="240" w:type="dxa"/>
            <w:vAlign w:val="bottom"/>
            <w:shd w:val="clear" w:color="auto" w:fill="EBFBFF"/>
          </w:tcPr>
          <w:p>
            <w:pPr>
              <w:spacing w:after="0"/>
              <w:rPr>
                <w:sz w:val="19"/>
                <w:szCs w:val="19"/>
                <w:color w:val="auto"/>
              </w:rPr>
            </w:pPr>
          </w:p>
        </w:tc>
        <w:tc>
          <w:tcPr>
            <w:tcW w:w="15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6,195</w:t>
            </w:r>
          </w:p>
        </w:tc>
        <w:tc>
          <w:tcPr>
            <w:tcW w:w="180" w:type="dxa"/>
            <w:vAlign w:val="bottom"/>
            <w:shd w:val="clear" w:color="auto" w:fill="EBFBFF"/>
          </w:tcPr>
          <w:p>
            <w:pPr>
              <w:spacing w:after="0"/>
              <w:rPr>
                <w:sz w:val="19"/>
                <w:szCs w:val="19"/>
                <w:color w:val="auto"/>
              </w:rPr>
            </w:pPr>
          </w:p>
        </w:tc>
        <w:tc>
          <w:tcPr>
            <w:tcW w:w="1000" w:type="dxa"/>
            <w:vAlign w:val="bottom"/>
            <w:gridSpan w:val="2"/>
            <w:shd w:val="clear" w:color="auto" w:fill="EBFBFF"/>
          </w:tcPr>
          <w:p>
            <w:pPr>
              <w:jc w:val="right"/>
              <w:ind w:right="240"/>
              <w:spacing w:after="0"/>
              <w:rPr>
                <w:sz w:val="20"/>
                <w:szCs w:val="20"/>
                <w:color w:val="auto"/>
              </w:rPr>
            </w:pPr>
            <w:r>
              <w:rPr>
                <w:rFonts w:ascii="Arial" w:cs="Arial" w:eastAsia="Arial" w:hAnsi="Arial"/>
                <w:sz w:val="14"/>
                <w:szCs w:val="14"/>
                <w:color w:val="51555C"/>
              </w:rPr>
              <w:t>—</w:t>
            </w:r>
          </w:p>
        </w:tc>
        <w:tc>
          <w:tcPr>
            <w:tcW w:w="680" w:type="dxa"/>
            <w:vAlign w:val="bottom"/>
            <w:tcBorders>
              <w:right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2,088</w:t>
            </w:r>
          </w:p>
        </w:tc>
        <w:tc>
          <w:tcPr>
            <w:tcW w:w="380" w:type="dxa"/>
            <w:vAlign w:val="bottom"/>
            <w:shd w:val="clear" w:color="auto" w:fill="EBFBFF"/>
          </w:tcPr>
          <w:p>
            <w:pPr>
              <w:spacing w:after="0"/>
              <w:rPr>
                <w:sz w:val="19"/>
                <w:szCs w:val="19"/>
                <w:color w:val="auto"/>
              </w:rPr>
            </w:pPr>
          </w:p>
        </w:tc>
        <w:tc>
          <w:tcPr>
            <w:tcW w:w="880" w:type="dxa"/>
            <w:vAlign w:val="bottom"/>
            <w:shd w:val="clear" w:color="auto" w:fill="EBFBFF"/>
          </w:tcPr>
          <w:p>
            <w:pPr>
              <w:jc w:val="right"/>
              <w:spacing w:after="0"/>
              <w:rPr>
                <w:sz w:val="20"/>
                <w:szCs w:val="20"/>
                <w:color w:val="auto"/>
              </w:rPr>
            </w:pPr>
            <w:r>
              <w:rPr>
                <w:rFonts w:ascii="Arial" w:cs="Arial" w:eastAsia="Arial" w:hAnsi="Arial"/>
                <w:sz w:val="14"/>
                <w:szCs w:val="14"/>
                <w:b w:val="1"/>
                <w:bCs w:val="1"/>
                <w:color w:val="51555C"/>
              </w:rPr>
              <w:t>17,116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440" w:type="dxa"/>
            <w:vAlign w:val="bottom"/>
            <w:shd w:val="clear" w:color="auto" w:fill="EBFBFF"/>
          </w:tcPr>
          <w:p>
            <w:pPr>
              <w:spacing w:after="0"/>
              <w:rPr>
                <w:sz w:val="21"/>
                <w:szCs w:val="21"/>
                <w:color w:val="auto"/>
              </w:rPr>
            </w:pPr>
          </w:p>
        </w:tc>
        <w:tc>
          <w:tcPr>
            <w:tcW w:w="88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2023</w:t>
            </w:r>
          </w:p>
        </w:tc>
        <w:tc>
          <w:tcPr>
            <w:tcW w:w="360" w:type="dxa"/>
            <w:vAlign w:val="bottom"/>
            <w:shd w:val="clear" w:color="auto" w:fill="EBFBFF"/>
          </w:tcPr>
          <w:p>
            <w:pPr>
              <w:spacing w:after="0"/>
              <w:rPr>
                <w:sz w:val="21"/>
                <w:szCs w:val="21"/>
                <w:color w:val="auto"/>
              </w:rPr>
            </w:pPr>
          </w:p>
        </w:tc>
        <w:tc>
          <w:tcPr>
            <w:tcW w:w="92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rPr>
              <w:t>8,583</w:t>
            </w:r>
          </w:p>
        </w:tc>
        <w:tc>
          <w:tcPr>
            <w:tcW w:w="240" w:type="dxa"/>
            <w:vAlign w:val="bottom"/>
            <w:shd w:val="clear" w:color="auto" w:fill="EBFBFF"/>
          </w:tcPr>
          <w:p>
            <w:pPr>
              <w:spacing w:after="0"/>
              <w:rPr>
                <w:sz w:val="21"/>
                <w:szCs w:val="21"/>
                <w:color w:val="auto"/>
              </w:rPr>
            </w:pPr>
          </w:p>
        </w:tc>
        <w:tc>
          <w:tcPr>
            <w:tcW w:w="15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7,174</w:t>
            </w:r>
          </w:p>
        </w:tc>
        <w:tc>
          <w:tcPr>
            <w:tcW w:w="180" w:type="dxa"/>
            <w:vAlign w:val="bottom"/>
            <w:shd w:val="clear" w:color="auto" w:fill="EBFBFF"/>
          </w:tcPr>
          <w:p>
            <w:pPr>
              <w:spacing w:after="0"/>
              <w:rPr>
                <w:sz w:val="21"/>
                <w:szCs w:val="21"/>
                <w:color w:val="auto"/>
              </w:rPr>
            </w:pPr>
          </w:p>
        </w:tc>
        <w:tc>
          <w:tcPr>
            <w:tcW w:w="1000" w:type="dxa"/>
            <w:vAlign w:val="bottom"/>
            <w:gridSpan w:val="2"/>
            <w:shd w:val="clear" w:color="auto" w:fill="EBFBFF"/>
          </w:tcPr>
          <w:p>
            <w:pPr>
              <w:jc w:val="right"/>
              <w:ind w:right="240"/>
              <w:spacing w:after="0"/>
              <w:rPr>
                <w:sz w:val="20"/>
                <w:szCs w:val="20"/>
                <w:color w:val="auto"/>
              </w:rPr>
            </w:pPr>
            <w:r>
              <w:rPr>
                <w:rFonts w:ascii="Arial" w:cs="Arial" w:eastAsia="Arial" w:hAnsi="Arial"/>
                <w:sz w:val="14"/>
                <w:szCs w:val="14"/>
                <w:color w:val="51555C"/>
              </w:rPr>
              <w:t>—</w:t>
            </w:r>
          </w:p>
        </w:tc>
        <w:tc>
          <w:tcPr>
            <w:tcW w:w="680" w:type="dxa"/>
            <w:vAlign w:val="bottom"/>
            <w:tcBorders>
              <w:right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2,200</w:t>
            </w:r>
          </w:p>
        </w:tc>
        <w:tc>
          <w:tcPr>
            <w:tcW w:w="380" w:type="dxa"/>
            <w:vAlign w:val="bottom"/>
            <w:shd w:val="clear" w:color="auto" w:fill="EBFBFF"/>
          </w:tcPr>
          <w:p>
            <w:pPr>
              <w:spacing w:after="0"/>
              <w:rPr>
                <w:sz w:val="21"/>
                <w:szCs w:val="21"/>
                <w:color w:val="auto"/>
              </w:rPr>
            </w:pPr>
          </w:p>
        </w:tc>
        <w:tc>
          <w:tcPr>
            <w:tcW w:w="880" w:type="dxa"/>
            <w:vAlign w:val="bottom"/>
            <w:shd w:val="clear" w:color="auto" w:fill="EBFBFF"/>
          </w:tcPr>
          <w:p>
            <w:pPr>
              <w:jc w:val="right"/>
              <w:spacing w:after="0"/>
              <w:rPr>
                <w:sz w:val="20"/>
                <w:szCs w:val="20"/>
                <w:color w:val="auto"/>
              </w:rPr>
            </w:pPr>
            <w:r>
              <w:rPr>
                <w:rFonts w:ascii="Arial" w:cs="Arial" w:eastAsia="Arial" w:hAnsi="Arial"/>
                <w:sz w:val="14"/>
                <w:szCs w:val="14"/>
                <w:b w:val="1"/>
                <w:bCs w:val="1"/>
                <w:color w:val="51555C"/>
              </w:rPr>
              <w:t>17,957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440" w:type="dxa"/>
            <w:vAlign w:val="bottom"/>
          </w:tcPr>
          <w:p>
            <w:pPr>
              <w:ind w:left="20"/>
              <w:spacing w:after="0"/>
              <w:rPr>
                <w:sz w:val="20"/>
                <w:szCs w:val="20"/>
                <w:color w:val="auto"/>
              </w:rPr>
            </w:pPr>
            <w:r>
              <w:rPr>
                <w:rFonts w:ascii="Arial" w:cs="Arial" w:eastAsia="Arial" w:hAnsi="Arial"/>
                <w:sz w:val="14"/>
                <w:szCs w:val="14"/>
                <w:color w:val="51555C"/>
              </w:rPr>
              <w:t>Mr. Anderson</w:t>
            </w:r>
          </w:p>
        </w:tc>
        <w:tc>
          <w:tcPr>
            <w:tcW w:w="880" w:type="dxa"/>
            <w:vAlign w:val="bottom"/>
          </w:tcPr>
          <w:p>
            <w:pPr>
              <w:jc w:val="right"/>
              <w:spacing w:after="0"/>
              <w:rPr>
                <w:sz w:val="20"/>
                <w:szCs w:val="20"/>
                <w:color w:val="auto"/>
              </w:rPr>
            </w:pPr>
            <w:r>
              <w:rPr>
                <w:rFonts w:ascii="Arial" w:cs="Arial" w:eastAsia="Arial" w:hAnsi="Arial"/>
                <w:sz w:val="14"/>
                <w:szCs w:val="14"/>
                <w:color w:val="51555C"/>
              </w:rPr>
              <w:t>2025</w:t>
            </w:r>
          </w:p>
        </w:tc>
        <w:tc>
          <w:tcPr>
            <w:tcW w:w="360" w:type="dxa"/>
            <w:vAlign w:val="bottom"/>
          </w:tcPr>
          <w:p>
            <w:pPr>
              <w:spacing w:after="0"/>
              <w:rPr>
                <w:sz w:val="19"/>
                <w:szCs w:val="19"/>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51555C"/>
              </w:rPr>
              <w:t>9,573</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51555C"/>
              </w:rPr>
              <w:t>5,254</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51555C"/>
              </w:rPr>
              <w:t>1,613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51555C"/>
              </w:rPr>
              <w:t>16,439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4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Mr. Boor</w:t>
            </w:r>
          </w:p>
        </w:tc>
        <w:tc>
          <w:tcPr>
            <w:tcW w:w="88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2025</w:t>
            </w:r>
          </w:p>
        </w:tc>
        <w:tc>
          <w:tcPr>
            <w:tcW w:w="360" w:type="dxa"/>
            <w:vAlign w:val="bottom"/>
            <w:shd w:val="clear" w:color="auto" w:fill="EBFBFF"/>
          </w:tcPr>
          <w:p>
            <w:pPr>
              <w:spacing w:after="0"/>
              <w:rPr>
                <w:sz w:val="19"/>
                <w:szCs w:val="19"/>
                <w:color w:val="auto"/>
              </w:rPr>
            </w:pPr>
          </w:p>
        </w:tc>
        <w:tc>
          <w:tcPr>
            <w:tcW w:w="92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rPr>
              <w:t>10,500</w:t>
            </w:r>
          </w:p>
        </w:tc>
        <w:tc>
          <w:tcPr>
            <w:tcW w:w="240" w:type="dxa"/>
            <w:vAlign w:val="bottom"/>
            <w:shd w:val="clear" w:color="auto" w:fill="EBFBFF"/>
          </w:tcPr>
          <w:p>
            <w:pPr>
              <w:spacing w:after="0"/>
              <w:rPr>
                <w:sz w:val="19"/>
                <w:szCs w:val="19"/>
                <w:color w:val="auto"/>
              </w:rPr>
            </w:pPr>
          </w:p>
        </w:tc>
        <w:tc>
          <w:tcPr>
            <w:tcW w:w="15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4,999</w:t>
            </w:r>
          </w:p>
        </w:tc>
        <w:tc>
          <w:tcPr>
            <w:tcW w:w="180" w:type="dxa"/>
            <w:vAlign w:val="bottom"/>
            <w:shd w:val="clear" w:color="auto" w:fill="EBFBFF"/>
          </w:tcPr>
          <w:p>
            <w:pPr>
              <w:spacing w:after="0"/>
              <w:rPr>
                <w:sz w:val="19"/>
                <w:szCs w:val="19"/>
                <w:color w:val="auto"/>
              </w:rPr>
            </w:pPr>
          </w:p>
        </w:tc>
        <w:tc>
          <w:tcPr>
            <w:tcW w:w="1000" w:type="dxa"/>
            <w:vAlign w:val="bottom"/>
            <w:gridSpan w:val="2"/>
            <w:shd w:val="clear" w:color="auto" w:fill="EBFBFF"/>
          </w:tcPr>
          <w:p>
            <w:pPr>
              <w:jc w:val="right"/>
              <w:ind w:right="240"/>
              <w:spacing w:after="0"/>
              <w:rPr>
                <w:sz w:val="20"/>
                <w:szCs w:val="20"/>
                <w:color w:val="auto"/>
              </w:rPr>
            </w:pPr>
            <w:r>
              <w:rPr>
                <w:rFonts w:ascii="Arial" w:cs="Arial" w:eastAsia="Arial" w:hAnsi="Arial"/>
                <w:sz w:val="14"/>
                <w:szCs w:val="14"/>
                <w:color w:val="51555C"/>
              </w:rPr>
              <w:t>—</w:t>
            </w:r>
          </w:p>
        </w:tc>
        <w:tc>
          <w:tcPr>
            <w:tcW w:w="680" w:type="dxa"/>
            <w:vAlign w:val="bottom"/>
            <w:tcBorders>
              <w:right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3,000</w:t>
            </w:r>
          </w:p>
        </w:tc>
        <w:tc>
          <w:tcPr>
            <w:tcW w:w="380" w:type="dxa"/>
            <w:vAlign w:val="bottom"/>
            <w:shd w:val="clear" w:color="auto" w:fill="EBFBFF"/>
          </w:tcPr>
          <w:p>
            <w:pPr>
              <w:spacing w:after="0"/>
              <w:rPr>
                <w:sz w:val="19"/>
                <w:szCs w:val="19"/>
                <w:color w:val="auto"/>
              </w:rPr>
            </w:pPr>
          </w:p>
        </w:tc>
        <w:tc>
          <w:tcPr>
            <w:tcW w:w="880" w:type="dxa"/>
            <w:vAlign w:val="bottom"/>
            <w:shd w:val="clear" w:color="auto" w:fill="EBFBFF"/>
          </w:tcPr>
          <w:p>
            <w:pPr>
              <w:jc w:val="right"/>
              <w:spacing w:after="0"/>
              <w:rPr>
                <w:sz w:val="20"/>
                <w:szCs w:val="20"/>
                <w:color w:val="auto"/>
              </w:rPr>
            </w:pPr>
            <w:r>
              <w:rPr>
                <w:rFonts w:ascii="Arial" w:cs="Arial" w:eastAsia="Arial" w:hAnsi="Arial"/>
                <w:sz w:val="14"/>
                <w:szCs w:val="14"/>
                <w:b w:val="1"/>
                <w:bCs w:val="1"/>
                <w:color w:val="51555C"/>
              </w:rPr>
              <w:t>18,499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EBFBFF"/>
          </w:tcPr>
          <w:p>
            <w:pPr>
              <w:spacing w:after="0"/>
              <w:rPr>
                <w:sz w:val="19"/>
                <w:szCs w:val="19"/>
                <w:color w:val="auto"/>
              </w:rPr>
            </w:pPr>
          </w:p>
        </w:tc>
        <w:tc>
          <w:tcPr>
            <w:tcW w:w="88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2024</w:t>
            </w:r>
          </w:p>
        </w:tc>
        <w:tc>
          <w:tcPr>
            <w:tcW w:w="360" w:type="dxa"/>
            <w:vAlign w:val="bottom"/>
            <w:shd w:val="clear" w:color="auto" w:fill="EBFBFF"/>
          </w:tcPr>
          <w:p>
            <w:pPr>
              <w:spacing w:after="0"/>
              <w:rPr>
                <w:sz w:val="19"/>
                <w:szCs w:val="19"/>
                <w:color w:val="auto"/>
              </w:rPr>
            </w:pPr>
          </w:p>
        </w:tc>
        <w:tc>
          <w:tcPr>
            <w:tcW w:w="92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rPr>
              <w:t>10,350</w:t>
            </w:r>
          </w:p>
        </w:tc>
        <w:tc>
          <w:tcPr>
            <w:tcW w:w="240" w:type="dxa"/>
            <w:vAlign w:val="bottom"/>
            <w:shd w:val="clear" w:color="auto" w:fill="EBFBFF"/>
          </w:tcPr>
          <w:p>
            <w:pPr>
              <w:spacing w:after="0"/>
              <w:rPr>
                <w:sz w:val="19"/>
                <w:szCs w:val="19"/>
                <w:color w:val="auto"/>
              </w:rPr>
            </w:pPr>
          </w:p>
        </w:tc>
        <w:tc>
          <w:tcPr>
            <w:tcW w:w="15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5,353</w:t>
            </w:r>
          </w:p>
        </w:tc>
        <w:tc>
          <w:tcPr>
            <w:tcW w:w="180" w:type="dxa"/>
            <w:vAlign w:val="bottom"/>
            <w:shd w:val="clear" w:color="auto" w:fill="EBFBFF"/>
          </w:tcPr>
          <w:p>
            <w:pPr>
              <w:spacing w:after="0"/>
              <w:rPr>
                <w:sz w:val="19"/>
                <w:szCs w:val="19"/>
                <w:color w:val="auto"/>
              </w:rPr>
            </w:pPr>
          </w:p>
        </w:tc>
        <w:tc>
          <w:tcPr>
            <w:tcW w:w="1000" w:type="dxa"/>
            <w:vAlign w:val="bottom"/>
            <w:gridSpan w:val="2"/>
            <w:shd w:val="clear" w:color="auto" w:fill="EBFBFF"/>
          </w:tcPr>
          <w:p>
            <w:pPr>
              <w:jc w:val="right"/>
              <w:ind w:right="240"/>
              <w:spacing w:after="0"/>
              <w:rPr>
                <w:sz w:val="20"/>
                <w:szCs w:val="20"/>
                <w:color w:val="auto"/>
              </w:rPr>
            </w:pPr>
            <w:r>
              <w:rPr>
                <w:rFonts w:ascii="Arial" w:cs="Arial" w:eastAsia="Arial" w:hAnsi="Arial"/>
                <w:sz w:val="14"/>
                <w:szCs w:val="14"/>
                <w:color w:val="51555C"/>
              </w:rPr>
              <w:t>—</w:t>
            </w:r>
          </w:p>
        </w:tc>
        <w:tc>
          <w:tcPr>
            <w:tcW w:w="680" w:type="dxa"/>
            <w:vAlign w:val="bottom"/>
            <w:tcBorders>
              <w:right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3,000</w:t>
            </w:r>
          </w:p>
        </w:tc>
        <w:tc>
          <w:tcPr>
            <w:tcW w:w="380" w:type="dxa"/>
            <w:vAlign w:val="bottom"/>
            <w:shd w:val="clear" w:color="auto" w:fill="EBFBFF"/>
          </w:tcPr>
          <w:p>
            <w:pPr>
              <w:spacing w:after="0"/>
              <w:rPr>
                <w:sz w:val="19"/>
                <w:szCs w:val="19"/>
                <w:color w:val="auto"/>
              </w:rPr>
            </w:pPr>
          </w:p>
        </w:tc>
        <w:tc>
          <w:tcPr>
            <w:tcW w:w="880" w:type="dxa"/>
            <w:vAlign w:val="bottom"/>
            <w:shd w:val="clear" w:color="auto" w:fill="EBFBFF"/>
          </w:tcPr>
          <w:p>
            <w:pPr>
              <w:jc w:val="right"/>
              <w:spacing w:after="0"/>
              <w:rPr>
                <w:sz w:val="20"/>
                <w:szCs w:val="20"/>
                <w:color w:val="auto"/>
              </w:rPr>
            </w:pPr>
            <w:r>
              <w:rPr>
                <w:rFonts w:ascii="Arial" w:cs="Arial" w:eastAsia="Arial" w:hAnsi="Arial"/>
                <w:sz w:val="14"/>
                <w:szCs w:val="14"/>
                <w:b w:val="1"/>
                <w:bCs w:val="1"/>
                <w:color w:val="51555C"/>
              </w:rPr>
              <w:t>18,703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440" w:type="dxa"/>
            <w:vAlign w:val="bottom"/>
            <w:shd w:val="clear" w:color="auto" w:fill="EBFBFF"/>
          </w:tcPr>
          <w:p>
            <w:pPr>
              <w:spacing w:after="0"/>
              <w:rPr>
                <w:sz w:val="21"/>
                <w:szCs w:val="21"/>
                <w:color w:val="auto"/>
              </w:rPr>
            </w:pPr>
          </w:p>
        </w:tc>
        <w:tc>
          <w:tcPr>
            <w:tcW w:w="88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2023</w:t>
            </w:r>
          </w:p>
        </w:tc>
        <w:tc>
          <w:tcPr>
            <w:tcW w:w="360" w:type="dxa"/>
            <w:vAlign w:val="bottom"/>
            <w:shd w:val="clear" w:color="auto" w:fill="EBFBFF"/>
          </w:tcPr>
          <w:p>
            <w:pPr>
              <w:spacing w:after="0"/>
              <w:rPr>
                <w:sz w:val="21"/>
                <w:szCs w:val="21"/>
                <w:color w:val="auto"/>
              </w:rPr>
            </w:pPr>
          </w:p>
        </w:tc>
        <w:tc>
          <w:tcPr>
            <w:tcW w:w="92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rPr>
              <w:t>9,900</w:t>
            </w:r>
          </w:p>
        </w:tc>
        <w:tc>
          <w:tcPr>
            <w:tcW w:w="240" w:type="dxa"/>
            <w:vAlign w:val="bottom"/>
            <w:shd w:val="clear" w:color="auto" w:fill="EBFBFF"/>
          </w:tcPr>
          <w:p>
            <w:pPr>
              <w:spacing w:after="0"/>
              <w:rPr>
                <w:sz w:val="21"/>
                <w:szCs w:val="21"/>
                <w:color w:val="auto"/>
              </w:rPr>
            </w:pPr>
          </w:p>
        </w:tc>
        <w:tc>
          <w:tcPr>
            <w:tcW w:w="15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5,807</w:t>
            </w:r>
          </w:p>
        </w:tc>
        <w:tc>
          <w:tcPr>
            <w:tcW w:w="180" w:type="dxa"/>
            <w:vAlign w:val="bottom"/>
            <w:shd w:val="clear" w:color="auto" w:fill="EBFBFF"/>
          </w:tcPr>
          <w:p>
            <w:pPr>
              <w:spacing w:after="0"/>
              <w:rPr>
                <w:sz w:val="21"/>
                <w:szCs w:val="21"/>
                <w:color w:val="auto"/>
              </w:rPr>
            </w:pPr>
          </w:p>
        </w:tc>
        <w:tc>
          <w:tcPr>
            <w:tcW w:w="1000" w:type="dxa"/>
            <w:vAlign w:val="bottom"/>
            <w:gridSpan w:val="2"/>
            <w:shd w:val="clear" w:color="auto" w:fill="EBFBFF"/>
          </w:tcPr>
          <w:p>
            <w:pPr>
              <w:jc w:val="right"/>
              <w:ind w:right="240"/>
              <w:spacing w:after="0"/>
              <w:rPr>
                <w:sz w:val="20"/>
                <w:szCs w:val="20"/>
                <w:color w:val="auto"/>
              </w:rPr>
            </w:pPr>
            <w:r>
              <w:rPr>
                <w:rFonts w:ascii="Arial" w:cs="Arial" w:eastAsia="Arial" w:hAnsi="Arial"/>
                <w:sz w:val="14"/>
                <w:szCs w:val="14"/>
                <w:color w:val="51555C"/>
              </w:rPr>
              <w:t>—</w:t>
            </w:r>
          </w:p>
        </w:tc>
        <w:tc>
          <w:tcPr>
            <w:tcW w:w="680" w:type="dxa"/>
            <w:vAlign w:val="bottom"/>
            <w:tcBorders>
              <w:right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3,000</w:t>
            </w:r>
          </w:p>
        </w:tc>
        <w:tc>
          <w:tcPr>
            <w:tcW w:w="380" w:type="dxa"/>
            <w:vAlign w:val="bottom"/>
            <w:shd w:val="clear" w:color="auto" w:fill="EBFBFF"/>
          </w:tcPr>
          <w:p>
            <w:pPr>
              <w:spacing w:after="0"/>
              <w:rPr>
                <w:sz w:val="21"/>
                <w:szCs w:val="21"/>
                <w:color w:val="auto"/>
              </w:rPr>
            </w:pPr>
          </w:p>
        </w:tc>
        <w:tc>
          <w:tcPr>
            <w:tcW w:w="880" w:type="dxa"/>
            <w:vAlign w:val="bottom"/>
            <w:shd w:val="clear" w:color="auto" w:fill="EBFBFF"/>
          </w:tcPr>
          <w:p>
            <w:pPr>
              <w:jc w:val="right"/>
              <w:spacing w:after="0"/>
              <w:rPr>
                <w:sz w:val="20"/>
                <w:szCs w:val="20"/>
                <w:color w:val="auto"/>
              </w:rPr>
            </w:pPr>
            <w:r>
              <w:rPr>
                <w:rFonts w:ascii="Arial" w:cs="Arial" w:eastAsia="Arial" w:hAnsi="Arial"/>
                <w:sz w:val="14"/>
                <w:szCs w:val="14"/>
                <w:b w:val="1"/>
                <w:bCs w:val="1"/>
                <w:color w:val="51555C"/>
              </w:rPr>
              <w:t>18,707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440" w:type="dxa"/>
            <w:vAlign w:val="bottom"/>
          </w:tcPr>
          <w:p>
            <w:pPr>
              <w:ind w:left="20"/>
              <w:spacing w:after="0"/>
              <w:rPr>
                <w:sz w:val="20"/>
                <w:szCs w:val="20"/>
                <w:color w:val="auto"/>
              </w:rPr>
            </w:pPr>
            <w:r>
              <w:rPr>
                <w:rFonts w:ascii="Arial" w:cs="Arial" w:eastAsia="Arial" w:hAnsi="Arial"/>
                <w:sz w:val="14"/>
                <w:szCs w:val="14"/>
                <w:color w:val="51555C"/>
              </w:rPr>
              <w:t>Mr. Benjamin</w:t>
            </w:r>
            <w:r>
              <w:rPr>
                <w:rFonts w:ascii="Arial" w:cs="Arial" w:eastAsia="Arial" w:hAnsi="Arial"/>
                <w:sz w:val="18"/>
                <w:szCs w:val="18"/>
                <w:color w:val="51555C"/>
                <w:vertAlign w:val="superscript"/>
              </w:rPr>
              <w:t>(a)</w:t>
            </w:r>
          </w:p>
        </w:tc>
        <w:tc>
          <w:tcPr>
            <w:tcW w:w="880" w:type="dxa"/>
            <w:vAlign w:val="bottom"/>
          </w:tcPr>
          <w:p>
            <w:pPr>
              <w:jc w:val="right"/>
              <w:spacing w:after="0"/>
              <w:rPr>
                <w:sz w:val="20"/>
                <w:szCs w:val="20"/>
                <w:color w:val="auto"/>
              </w:rPr>
            </w:pPr>
            <w:r>
              <w:rPr>
                <w:rFonts w:ascii="Arial" w:cs="Arial" w:eastAsia="Arial" w:hAnsi="Arial"/>
                <w:sz w:val="14"/>
                <w:szCs w:val="14"/>
                <w:color w:val="51555C"/>
              </w:rPr>
              <w:t>2025</w:t>
            </w:r>
          </w:p>
        </w:tc>
        <w:tc>
          <w:tcPr>
            <w:tcW w:w="3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51555C"/>
              </w:rPr>
              <w:t>9,525</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51555C"/>
              </w:rPr>
              <w:t>4,703</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51555C"/>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51555C"/>
              </w:rPr>
              <w:t>4,995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51555C"/>
              </w:rPr>
              <w:t>19,223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51555C"/>
              </w:rPr>
              <w:t>2024</w:t>
            </w:r>
          </w:p>
        </w:tc>
        <w:tc>
          <w:tcPr>
            <w:tcW w:w="3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51555C"/>
              </w:rPr>
              <w:t>9,350</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51555C"/>
              </w:rPr>
              <w:t>4,979</w:t>
            </w:r>
          </w:p>
        </w:tc>
        <w:tc>
          <w:tcPr>
            <w:tcW w:w="1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51555C"/>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51555C"/>
              </w:rPr>
              <w:t>3,757</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51555C"/>
              </w:rPr>
              <w:t>18,087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51555C"/>
              </w:rPr>
              <w:t>2023</w:t>
            </w:r>
          </w:p>
        </w:tc>
        <w:tc>
          <w:tcPr>
            <w:tcW w:w="360" w:type="dxa"/>
            <w:vAlign w:val="bottom"/>
          </w:tcPr>
          <w:p>
            <w:pPr>
              <w:spacing w:after="0"/>
              <w:rPr>
                <w:sz w:val="20"/>
                <w:szCs w:val="20"/>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51555C"/>
              </w:rPr>
              <w:t>7,227</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51555C"/>
              </w:rPr>
              <w:t>4,741</w:t>
            </w:r>
          </w:p>
        </w:tc>
        <w:tc>
          <w:tcPr>
            <w:tcW w:w="18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51555C"/>
              </w:rPr>
              <w:t>585,853</w:t>
            </w:r>
          </w:p>
        </w:tc>
        <w:tc>
          <w:tcPr>
            <w:tcW w:w="160" w:type="dxa"/>
            <w:vAlign w:val="bottom"/>
          </w:tcPr>
          <w:p>
            <w:pPr>
              <w:spacing w:after="0"/>
              <w:rPr>
                <w:sz w:val="20"/>
                <w:szCs w:val="20"/>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51555C"/>
              </w:rPr>
              <w:t>137,984</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51555C"/>
              </w:rPr>
              <w:t>735,804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44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Mr. Gregoire</w:t>
            </w:r>
          </w:p>
        </w:tc>
        <w:tc>
          <w:tcPr>
            <w:tcW w:w="88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2025</w:t>
            </w:r>
          </w:p>
        </w:tc>
        <w:tc>
          <w:tcPr>
            <w:tcW w:w="360" w:type="dxa"/>
            <w:vAlign w:val="bottom"/>
            <w:shd w:val="clear" w:color="auto" w:fill="EBFBFF"/>
          </w:tcPr>
          <w:p>
            <w:pPr>
              <w:spacing w:after="0"/>
              <w:rPr>
                <w:sz w:val="19"/>
                <w:szCs w:val="19"/>
                <w:color w:val="auto"/>
              </w:rPr>
            </w:pPr>
          </w:p>
        </w:tc>
        <w:tc>
          <w:tcPr>
            <w:tcW w:w="92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rPr>
              <w:t>10,500</w:t>
            </w:r>
          </w:p>
        </w:tc>
        <w:tc>
          <w:tcPr>
            <w:tcW w:w="240" w:type="dxa"/>
            <w:vAlign w:val="bottom"/>
            <w:shd w:val="clear" w:color="auto" w:fill="EBFBFF"/>
          </w:tcPr>
          <w:p>
            <w:pPr>
              <w:spacing w:after="0"/>
              <w:rPr>
                <w:sz w:val="19"/>
                <w:szCs w:val="19"/>
                <w:color w:val="auto"/>
              </w:rPr>
            </w:pPr>
          </w:p>
        </w:tc>
        <w:tc>
          <w:tcPr>
            <w:tcW w:w="15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5,073</w:t>
            </w:r>
          </w:p>
        </w:tc>
        <w:tc>
          <w:tcPr>
            <w:tcW w:w="180" w:type="dxa"/>
            <w:vAlign w:val="bottom"/>
            <w:shd w:val="clear" w:color="auto" w:fill="EBFBFF"/>
          </w:tcPr>
          <w:p>
            <w:pPr>
              <w:spacing w:after="0"/>
              <w:rPr>
                <w:sz w:val="19"/>
                <w:szCs w:val="19"/>
                <w:color w:val="auto"/>
              </w:rPr>
            </w:pPr>
          </w:p>
        </w:tc>
        <w:tc>
          <w:tcPr>
            <w:tcW w:w="1000" w:type="dxa"/>
            <w:vAlign w:val="bottom"/>
            <w:gridSpan w:val="2"/>
            <w:shd w:val="clear" w:color="auto" w:fill="EBFBFF"/>
          </w:tcPr>
          <w:p>
            <w:pPr>
              <w:jc w:val="right"/>
              <w:ind w:right="240"/>
              <w:spacing w:after="0"/>
              <w:rPr>
                <w:sz w:val="20"/>
                <w:szCs w:val="20"/>
                <w:color w:val="auto"/>
              </w:rPr>
            </w:pPr>
            <w:r>
              <w:rPr>
                <w:rFonts w:ascii="Arial" w:cs="Arial" w:eastAsia="Arial" w:hAnsi="Arial"/>
                <w:sz w:val="14"/>
                <w:szCs w:val="14"/>
                <w:color w:val="51555C"/>
              </w:rPr>
              <w:t>—</w:t>
            </w:r>
          </w:p>
        </w:tc>
        <w:tc>
          <w:tcPr>
            <w:tcW w:w="680" w:type="dxa"/>
            <w:vAlign w:val="bottom"/>
            <w:tcBorders>
              <w:right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2,100</w:t>
            </w:r>
          </w:p>
        </w:tc>
        <w:tc>
          <w:tcPr>
            <w:tcW w:w="380" w:type="dxa"/>
            <w:vAlign w:val="bottom"/>
            <w:shd w:val="clear" w:color="auto" w:fill="EBFBFF"/>
          </w:tcPr>
          <w:p>
            <w:pPr>
              <w:spacing w:after="0"/>
              <w:rPr>
                <w:sz w:val="19"/>
                <w:szCs w:val="19"/>
                <w:color w:val="auto"/>
              </w:rPr>
            </w:pPr>
          </w:p>
        </w:tc>
        <w:tc>
          <w:tcPr>
            <w:tcW w:w="880" w:type="dxa"/>
            <w:vAlign w:val="bottom"/>
            <w:shd w:val="clear" w:color="auto" w:fill="EBFBFF"/>
          </w:tcPr>
          <w:p>
            <w:pPr>
              <w:jc w:val="right"/>
              <w:spacing w:after="0"/>
              <w:rPr>
                <w:sz w:val="20"/>
                <w:szCs w:val="20"/>
                <w:color w:val="auto"/>
              </w:rPr>
            </w:pPr>
            <w:r>
              <w:rPr>
                <w:rFonts w:ascii="Arial" w:cs="Arial" w:eastAsia="Arial" w:hAnsi="Arial"/>
                <w:sz w:val="14"/>
                <w:szCs w:val="14"/>
                <w:b w:val="1"/>
                <w:bCs w:val="1"/>
                <w:color w:val="51555C"/>
              </w:rPr>
              <w:t>17,673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EBFBFF"/>
          </w:tcPr>
          <w:p>
            <w:pPr>
              <w:spacing w:after="0"/>
              <w:rPr>
                <w:sz w:val="19"/>
                <w:szCs w:val="19"/>
                <w:color w:val="auto"/>
              </w:rPr>
            </w:pPr>
          </w:p>
        </w:tc>
        <w:tc>
          <w:tcPr>
            <w:tcW w:w="88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2024</w:t>
            </w:r>
          </w:p>
        </w:tc>
        <w:tc>
          <w:tcPr>
            <w:tcW w:w="360" w:type="dxa"/>
            <w:vAlign w:val="bottom"/>
            <w:shd w:val="clear" w:color="auto" w:fill="EBFBFF"/>
          </w:tcPr>
          <w:p>
            <w:pPr>
              <w:spacing w:after="0"/>
              <w:rPr>
                <w:sz w:val="19"/>
                <w:szCs w:val="19"/>
                <w:color w:val="auto"/>
              </w:rPr>
            </w:pPr>
          </w:p>
        </w:tc>
        <w:tc>
          <w:tcPr>
            <w:tcW w:w="92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rPr>
              <w:t>10,350</w:t>
            </w:r>
          </w:p>
        </w:tc>
        <w:tc>
          <w:tcPr>
            <w:tcW w:w="240" w:type="dxa"/>
            <w:vAlign w:val="bottom"/>
            <w:shd w:val="clear" w:color="auto" w:fill="EBFBFF"/>
          </w:tcPr>
          <w:p>
            <w:pPr>
              <w:spacing w:after="0"/>
              <w:rPr>
                <w:sz w:val="19"/>
                <w:szCs w:val="19"/>
                <w:color w:val="auto"/>
              </w:rPr>
            </w:pPr>
          </w:p>
        </w:tc>
        <w:tc>
          <w:tcPr>
            <w:tcW w:w="15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5,386</w:t>
            </w:r>
          </w:p>
        </w:tc>
        <w:tc>
          <w:tcPr>
            <w:tcW w:w="180" w:type="dxa"/>
            <w:vAlign w:val="bottom"/>
            <w:shd w:val="clear" w:color="auto" w:fill="EBFBFF"/>
          </w:tcPr>
          <w:p>
            <w:pPr>
              <w:spacing w:after="0"/>
              <w:rPr>
                <w:sz w:val="19"/>
                <w:szCs w:val="19"/>
                <w:color w:val="auto"/>
              </w:rPr>
            </w:pPr>
          </w:p>
        </w:tc>
        <w:tc>
          <w:tcPr>
            <w:tcW w:w="1000" w:type="dxa"/>
            <w:vAlign w:val="bottom"/>
            <w:gridSpan w:val="2"/>
            <w:shd w:val="clear" w:color="auto" w:fill="EBFBFF"/>
          </w:tcPr>
          <w:p>
            <w:pPr>
              <w:jc w:val="right"/>
              <w:ind w:right="240"/>
              <w:spacing w:after="0"/>
              <w:rPr>
                <w:sz w:val="20"/>
                <w:szCs w:val="20"/>
                <w:color w:val="auto"/>
              </w:rPr>
            </w:pPr>
            <w:r>
              <w:rPr>
                <w:rFonts w:ascii="Arial" w:cs="Arial" w:eastAsia="Arial" w:hAnsi="Arial"/>
                <w:sz w:val="14"/>
                <w:szCs w:val="14"/>
                <w:color w:val="51555C"/>
              </w:rPr>
              <w:t>—</w:t>
            </w:r>
          </w:p>
        </w:tc>
        <w:tc>
          <w:tcPr>
            <w:tcW w:w="680" w:type="dxa"/>
            <w:vAlign w:val="bottom"/>
            <w:tcBorders>
              <w:right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2,050</w:t>
            </w:r>
          </w:p>
        </w:tc>
        <w:tc>
          <w:tcPr>
            <w:tcW w:w="380" w:type="dxa"/>
            <w:vAlign w:val="bottom"/>
            <w:shd w:val="clear" w:color="auto" w:fill="EBFBFF"/>
          </w:tcPr>
          <w:p>
            <w:pPr>
              <w:spacing w:after="0"/>
              <w:rPr>
                <w:sz w:val="19"/>
                <w:szCs w:val="19"/>
                <w:color w:val="auto"/>
              </w:rPr>
            </w:pPr>
          </w:p>
        </w:tc>
        <w:tc>
          <w:tcPr>
            <w:tcW w:w="880" w:type="dxa"/>
            <w:vAlign w:val="bottom"/>
            <w:shd w:val="clear" w:color="auto" w:fill="EBFBFF"/>
          </w:tcPr>
          <w:p>
            <w:pPr>
              <w:jc w:val="right"/>
              <w:spacing w:after="0"/>
              <w:rPr>
                <w:sz w:val="20"/>
                <w:szCs w:val="20"/>
                <w:color w:val="auto"/>
              </w:rPr>
            </w:pPr>
            <w:r>
              <w:rPr>
                <w:rFonts w:ascii="Arial" w:cs="Arial" w:eastAsia="Arial" w:hAnsi="Arial"/>
                <w:sz w:val="14"/>
                <w:szCs w:val="14"/>
                <w:b w:val="1"/>
                <w:bCs w:val="1"/>
                <w:color w:val="51555C"/>
              </w:rPr>
              <w:t>17,786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440" w:type="dxa"/>
            <w:vAlign w:val="bottom"/>
            <w:shd w:val="clear" w:color="auto" w:fill="EBFBFF"/>
          </w:tcPr>
          <w:p>
            <w:pPr>
              <w:spacing w:after="0"/>
              <w:rPr>
                <w:sz w:val="21"/>
                <w:szCs w:val="21"/>
                <w:color w:val="auto"/>
              </w:rPr>
            </w:pPr>
          </w:p>
        </w:tc>
        <w:tc>
          <w:tcPr>
            <w:tcW w:w="88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2023</w:t>
            </w:r>
          </w:p>
        </w:tc>
        <w:tc>
          <w:tcPr>
            <w:tcW w:w="360" w:type="dxa"/>
            <w:vAlign w:val="bottom"/>
            <w:shd w:val="clear" w:color="auto" w:fill="EBFBFF"/>
          </w:tcPr>
          <w:p>
            <w:pPr>
              <w:spacing w:after="0"/>
              <w:rPr>
                <w:sz w:val="21"/>
                <w:szCs w:val="21"/>
                <w:color w:val="auto"/>
              </w:rPr>
            </w:pPr>
          </w:p>
        </w:tc>
        <w:tc>
          <w:tcPr>
            <w:tcW w:w="92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rPr>
              <w:t>8,904</w:t>
            </w:r>
          </w:p>
        </w:tc>
        <w:tc>
          <w:tcPr>
            <w:tcW w:w="240" w:type="dxa"/>
            <w:vAlign w:val="bottom"/>
            <w:shd w:val="clear" w:color="auto" w:fill="EBFBFF"/>
          </w:tcPr>
          <w:p>
            <w:pPr>
              <w:spacing w:after="0"/>
              <w:rPr>
                <w:sz w:val="21"/>
                <w:szCs w:val="21"/>
                <w:color w:val="auto"/>
              </w:rPr>
            </w:pPr>
          </w:p>
        </w:tc>
        <w:tc>
          <w:tcPr>
            <w:tcW w:w="15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1,678</w:t>
            </w:r>
          </w:p>
        </w:tc>
        <w:tc>
          <w:tcPr>
            <w:tcW w:w="180" w:type="dxa"/>
            <w:vAlign w:val="bottom"/>
            <w:shd w:val="clear" w:color="auto" w:fill="EBFBFF"/>
          </w:tcPr>
          <w:p>
            <w:pPr>
              <w:spacing w:after="0"/>
              <w:rPr>
                <w:sz w:val="21"/>
                <w:szCs w:val="21"/>
                <w:color w:val="auto"/>
              </w:rPr>
            </w:pPr>
          </w:p>
        </w:tc>
        <w:tc>
          <w:tcPr>
            <w:tcW w:w="1000" w:type="dxa"/>
            <w:vAlign w:val="bottom"/>
            <w:gridSpan w:val="2"/>
            <w:shd w:val="clear" w:color="auto" w:fill="EBFBFF"/>
          </w:tcPr>
          <w:p>
            <w:pPr>
              <w:jc w:val="right"/>
              <w:ind w:right="240"/>
              <w:spacing w:after="0"/>
              <w:rPr>
                <w:sz w:val="20"/>
                <w:szCs w:val="20"/>
                <w:color w:val="auto"/>
              </w:rPr>
            </w:pPr>
            <w:r>
              <w:rPr>
                <w:rFonts w:ascii="Arial" w:cs="Arial" w:eastAsia="Arial" w:hAnsi="Arial"/>
                <w:sz w:val="14"/>
                <w:szCs w:val="14"/>
                <w:color w:val="51555C"/>
              </w:rPr>
              <w:t>—</w:t>
            </w:r>
          </w:p>
        </w:tc>
        <w:tc>
          <w:tcPr>
            <w:tcW w:w="680" w:type="dxa"/>
            <w:vAlign w:val="bottom"/>
            <w:tcBorders>
              <w:right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1,800</w:t>
            </w:r>
          </w:p>
        </w:tc>
        <w:tc>
          <w:tcPr>
            <w:tcW w:w="380" w:type="dxa"/>
            <w:vAlign w:val="bottom"/>
            <w:shd w:val="clear" w:color="auto" w:fill="EBFBFF"/>
          </w:tcPr>
          <w:p>
            <w:pPr>
              <w:spacing w:after="0"/>
              <w:rPr>
                <w:sz w:val="21"/>
                <w:szCs w:val="21"/>
                <w:color w:val="auto"/>
              </w:rPr>
            </w:pPr>
          </w:p>
        </w:tc>
        <w:tc>
          <w:tcPr>
            <w:tcW w:w="880" w:type="dxa"/>
            <w:vAlign w:val="bottom"/>
            <w:shd w:val="clear" w:color="auto" w:fill="EBFBFF"/>
          </w:tcPr>
          <w:p>
            <w:pPr>
              <w:jc w:val="right"/>
              <w:spacing w:after="0"/>
              <w:rPr>
                <w:sz w:val="20"/>
                <w:szCs w:val="20"/>
                <w:color w:val="auto"/>
              </w:rPr>
            </w:pPr>
            <w:r>
              <w:rPr>
                <w:rFonts w:ascii="Arial" w:cs="Arial" w:eastAsia="Arial" w:hAnsi="Arial"/>
                <w:sz w:val="14"/>
                <w:szCs w:val="14"/>
                <w:b w:val="1"/>
                <w:bCs w:val="1"/>
                <w:color w:val="51555C"/>
              </w:rPr>
              <w:t>12,383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3440" w:type="dxa"/>
            <w:vAlign w:val="bottom"/>
          </w:tcPr>
          <w:p>
            <w:pPr>
              <w:ind w:left="20"/>
              <w:spacing w:after="0"/>
              <w:rPr>
                <w:sz w:val="20"/>
                <w:szCs w:val="20"/>
                <w:color w:val="auto"/>
              </w:rPr>
            </w:pPr>
            <w:r>
              <w:rPr>
                <w:rFonts w:ascii="Arial" w:cs="Arial" w:eastAsia="Arial" w:hAnsi="Arial"/>
                <w:sz w:val="14"/>
                <w:szCs w:val="14"/>
                <w:color w:val="51555C"/>
              </w:rPr>
              <w:t>Mr. McDearis</w:t>
            </w:r>
          </w:p>
        </w:tc>
        <w:tc>
          <w:tcPr>
            <w:tcW w:w="880" w:type="dxa"/>
            <w:vAlign w:val="bottom"/>
          </w:tcPr>
          <w:p>
            <w:pPr>
              <w:jc w:val="right"/>
              <w:spacing w:after="0"/>
              <w:rPr>
                <w:sz w:val="20"/>
                <w:szCs w:val="20"/>
                <w:color w:val="auto"/>
              </w:rPr>
            </w:pPr>
            <w:r>
              <w:rPr>
                <w:rFonts w:ascii="Arial" w:cs="Arial" w:eastAsia="Arial" w:hAnsi="Arial"/>
                <w:sz w:val="14"/>
                <w:szCs w:val="14"/>
                <w:color w:val="51555C"/>
              </w:rPr>
              <w:t>2025</w:t>
            </w:r>
          </w:p>
        </w:tc>
        <w:tc>
          <w:tcPr>
            <w:tcW w:w="36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51555C"/>
              </w:rPr>
              <w:t>8,242</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51555C"/>
              </w:rPr>
              <w:t>4,282</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51555C"/>
              </w:rPr>
              <w:t>2,100</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51555C"/>
              </w:rPr>
              <w:t>14,624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51555C"/>
              </w:rPr>
              <w:t>2024</w:t>
            </w:r>
          </w:p>
        </w:tc>
        <w:tc>
          <w:tcPr>
            <w:tcW w:w="360" w:type="dxa"/>
            <w:vAlign w:val="bottom"/>
          </w:tcPr>
          <w:p>
            <w:pPr>
              <w:spacing w:after="0"/>
              <w:rPr>
                <w:sz w:val="19"/>
                <w:szCs w:val="19"/>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51555C"/>
              </w:rPr>
              <w:t>8,512</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51555C"/>
              </w:rPr>
              <w:t>4,574</w:t>
            </w: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51555C"/>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51555C"/>
              </w:rPr>
              <w:t>2,050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51555C"/>
              </w:rPr>
              <w:t>15,137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40" w:type="dxa"/>
            <w:vAlign w:val="bottom"/>
            <w:tcBorders>
              <w:bottom w:val="single" w:sz="8" w:color="0CD973"/>
            </w:tcBorders>
          </w:tcPr>
          <w:p>
            <w:pPr>
              <w:spacing w:after="0"/>
              <w:rPr>
                <w:sz w:val="20"/>
                <w:szCs w:val="20"/>
                <w:color w:val="auto"/>
              </w:rPr>
            </w:pPr>
          </w:p>
        </w:tc>
        <w:tc>
          <w:tcPr>
            <w:tcW w:w="880" w:type="dxa"/>
            <w:vAlign w:val="bottom"/>
            <w:tcBorders>
              <w:bottom w:val="single" w:sz="8" w:color="0CD973"/>
            </w:tcBorders>
          </w:tcPr>
          <w:p>
            <w:pPr>
              <w:jc w:val="right"/>
              <w:spacing w:after="0"/>
              <w:rPr>
                <w:sz w:val="20"/>
                <w:szCs w:val="20"/>
                <w:color w:val="auto"/>
              </w:rPr>
            </w:pPr>
            <w:r>
              <w:rPr>
                <w:rFonts w:ascii="Arial" w:cs="Arial" w:eastAsia="Arial" w:hAnsi="Arial"/>
                <w:sz w:val="14"/>
                <w:szCs w:val="14"/>
                <w:color w:val="51555C"/>
              </w:rPr>
              <w:t>2023</w:t>
            </w:r>
          </w:p>
        </w:tc>
        <w:tc>
          <w:tcPr>
            <w:tcW w:w="360" w:type="dxa"/>
            <w:vAlign w:val="bottom"/>
            <w:tcBorders>
              <w:bottom w:val="single" w:sz="8" w:color="0CD973"/>
            </w:tcBorders>
          </w:tcPr>
          <w:p>
            <w:pPr>
              <w:spacing w:after="0"/>
              <w:rPr>
                <w:sz w:val="20"/>
                <w:szCs w:val="20"/>
                <w:color w:val="auto"/>
              </w:rPr>
            </w:pPr>
          </w:p>
        </w:tc>
        <w:tc>
          <w:tcPr>
            <w:tcW w:w="920" w:type="dxa"/>
            <w:vAlign w:val="bottom"/>
            <w:tcBorders>
              <w:bottom w:val="single" w:sz="8" w:color="0CD973"/>
            </w:tcBorders>
          </w:tcPr>
          <w:p>
            <w:pPr>
              <w:jc w:val="right"/>
              <w:ind w:right="8"/>
              <w:spacing w:after="0"/>
              <w:rPr>
                <w:sz w:val="20"/>
                <w:szCs w:val="20"/>
                <w:color w:val="auto"/>
              </w:rPr>
            </w:pPr>
            <w:r>
              <w:rPr>
                <w:rFonts w:ascii="Arial" w:cs="Arial" w:eastAsia="Arial" w:hAnsi="Arial"/>
                <w:sz w:val="14"/>
                <w:szCs w:val="14"/>
                <w:color w:val="51555C"/>
              </w:rPr>
              <w:t>9,900</w:t>
            </w:r>
          </w:p>
        </w:tc>
        <w:tc>
          <w:tcPr>
            <w:tcW w:w="240" w:type="dxa"/>
            <w:vAlign w:val="bottom"/>
            <w:tcBorders>
              <w:bottom w:val="single" w:sz="8" w:color="0CD973"/>
            </w:tcBorders>
          </w:tcPr>
          <w:p>
            <w:pPr>
              <w:spacing w:after="0"/>
              <w:rPr>
                <w:sz w:val="20"/>
                <w:szCs w:val="20"/>
                <w:color w:val="auto"/>
              </w:rPr>
            </w:pPr>
          </w:p>
        </w:tc>
        <w:tc>
          <w:tcPr>
            <w:tcW w:w="1560" w:type="dxa"/>
            <w:vAlign w:val="bottom"/>
            <w:tcBorders>
              <w:bottom w:val="single" w:sz="8" w:color="0CD973"/>
            </w:tcBorders>
          </w:tcPr>
          <w:p>
            <w:pPr>
              <w:jc w:val="right"/>
              <w:spacing w:after="0"/>
              <w:rPr>
                <w:sz w:val="20"/>
                <w:szCs w:val="20"/>
                <w:color w:val="auto"/>
              </w:rPr>
            </w:pPr>
            <w:r>
              <w:rPr>
                <w:rFonts w:ascii="Arial" w:cs="Arial" w:eastAsia="Arial" w:hAnsi="Arial"/>
                <w:sz w:val="14"/>
                <w:szCs w:val="14"/>
                <w:color w:val="51555C"/>
              </w:rPr>
              <w:t>5,012</w:t>
            </w:r>
          </w:p>
        </w:tc>
        <w:tc>
          <w:tcPr>
            <w:tcW w:w="180" w:type="dxa"/>
            <w:vAlign w:val="bottom"/>
            <w:tcBorders>
              <w:bottom w:val="single" w:sz="8" w:color="0CD973"/>
            </w:tcBorders>
          </w:tcPr>
          <w:p>
            <w:pPr>
              <w:spacing w:after="0"/>
              <w:rPr>
                <w:sz w:val="20"/>
                <w:szCs w:val="20"/>
                <w:color w:val="auto"/>
              </w:rPr>
            </w:pPr>
          </w:p>
        </w:tc>
        <w:tc>
          <w:tcPr>
            <w:tcW w:w="1000" w:type="dxa"/>
            <w:vAlign w:val="bottom"/>
            <w:tcBorders>
              <w:bottom w:val="single" w:sz="8" w:color="0CD973"/>
            </w:tcBorders>
            <w:gridSpan w:val="2"/>
          </w:tcPr>
          <w:p>
            <w:pPr>
              <w:jc w:val="right"/>
              <w:ind w:right="240"/>
              <w:spacing w:after="0"/>
              <w:rPr>
                <w:sz w:val="20"/>
                <w:szCs w:val="20"/>
                <w:color w:val="auto"/>
              </w:rPr>
            </w:pPr>
            <w:r>
              <w:rPr>
                <w:rFonts w:ascii="Arial" w:cs="Arial" w:eastAsia="Arial" w:hAnsi="Arial"/>
                <w:sz w:val="14"/>
                <w:szCs w:val="14"/>
                <w:color w:val="51555C"/>
              </w:rPr>
              <w:t>—</w:t>
            </w:r>
          </w:p>
        </w:tc>
        <w:tc>
          <w:tcPr>
            <w:tcW w:w="680" w:type="dxa"/>
            <w:vAlign w:val="bottom"/>
            <w:tcBorders>
              <w:bottom w:val="single" w:sz="8" w:color="0CD973"/>
            </w:tcBorders>
          </w:tcPr>
          <w:p>
            <w:pPr>
              <w:jc w:val="right"/>
              <w:ind w:right="8"/>
              <w:spacing w:after="0"/>
              <w:rPr>
                <w:sz w:val="20"/>
                <w:szCs w:val="20"/>
                <w:color w:val="auto"/>
              </w:rPr>
            </w:pPr>
            <w:r>
              <w:rPr>
                <w:rFonts w:ascii="Arial" w:cs="Arial" w:eastAsia="Arial" w:hAnsi="Arial"/>
                <w:sz w:val="14"/>
                <w:szCs w:val="14"/>
                <w:color w:val="51555C"/>
              </w:rPr>
              <w:t>5,454</w:t>
            </w:r>
          </w:p>
        </w:tc>
        <w:tc>
          <w:tcPr>
            <w:tcW w:w="380" w:type="dxa"/>
            <w:vAlign w:val="bottom"/>
            <w:tcBorders>
              <w:bottom w:val="single" w:sz="8" w:color="0CD973"/>
            </w:tcBorders>
          </w:tcPr>
          <w:p>
            <w:pPr>
              <w:spacing w:after="0"/>
              <w:rPr>
                <w:sz w:val="20"/>
                <w:szCs w:val="20"/>
                <w:color w:val="auto"/>
              </w:rPr>
            </w:pPr>
          </w:p>
        </w:tc>
        <w:tc>
          <w:tcPr>
            <w:tcW w:w="880" w:type="dxa"/>
            <w:vAlign w:val="bottom"/>
            <w:tcBorders>
              <w:bottom w:val="single" w:sz="8" w:color="0CD973"/>
            </w:tcBorders>
          </w:tcPr>
          <w:p>
            <w:pPr>
              <w:jc w:val="right"/>
              <w:spacing w:after="0"/>
              <w:rPr>
                <w:sz w:val="20"/>
                <w:szCs w:val="20"/>
                <w:color w:val="auto"/>
              </w:rPr>
            </w:pPr>
            <w:r>
              <w:rPr>
                <w:rFonts w:ascii="Arial" w:cs="Arial" w:eastAsia="Arial" w:hAnsi="Arial"/>
                <w:sz w:val="14"/>
                <w:szCs w:val="14"/>
                <w:b w:val="1"/>
                <w:bCs w:val="1"/>
                <w:color w:val="51555C"/>
              </w:rPr>
              <w:t>20,365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32" w:hanging="208"/>
        <w:spacing w:after="0"/>
        <w:tabs>
          <w:tab w:leader="none" w:pos="532" w:val="left"/>
        </w:tabs>
        <w:numPr>
          <w:ilvl w:val="1"/>
          <w:numId w:val="63"/>
        </w:numPr>
        <w:rPr>
          <w:rFonts w:ascii="Arial" w:cs="Arial" w:eastAsia="Arial" w:hAnsi="Arial"/>
          <w:sz w:val="14"/>
          <w:szCs w:val="14"/>
          <w:color w:val="51555C"/>
        </w:rPr>
      </w:pPr>
      <w:r>
        <w:rPr>
          <w:rFonts w:ascii="Arial" w:cs="Arial" w:eastAsia="Arial" w:hAnsi="Arial"/>
          <w:sz w:val="14"/>
          <w:szCs w:val="14"/>
          <w:color w:val="51555C"/>
        </w:rPr>
        <w:t>Other includes preparation costs for Mr. Benjamin's income tax filings in the U.K. and U.S. for 2023 as provided in his relocation agreement.</w:t>
      </w:r>
    </w:p>
    <w:p>
      <w:pPr>
        <w:spacing w:after="0" w:line="28" w:lineRule="exact"/>
        <w:rPr>
          <w:rFonts w:ascii="Arial" w:cs="Arial" w:eastAsia="Arial" w:hAnsi="Arial"/>
          <w:sz w:val="14"/>
          <w:szCs w:val="14"/>
          <w:color w:val="51555C"/>
        </w:rPr>
      </w:pPr>
    </w:p>
    <w:p>
      <w:pPr>
        <w:ind w:left="332" w:hanging="332"/>
        <w:spacing w:after="0"/>
        <w:tabs>
          <w:tab w:leader="none" w:pos="332" w:val="left"/>
        </w:tabs>
        <w:numPr>
          <w:ilvl w:val="0"/>
          <w:numId w:val="64"/>
        </w:numPr>
        <w:rPr>
          <w:rFonts w:ascii="Arial" w:cs="Arial" w:eastAsia="Arial" w:hAnsi="Arial"/>
          <w:sz w:val="14"/>
          <w:szCs w:val="14"/>
          <w:color w:val="51555C"/>
        </w:rPr>
      </w:pPr>
      <w:r>
        <w:rPr>
          <w:rFonts w:ascii="Arial" w:cs="Arial" w:eastAsia="Arial" w:hAnsi="Arial"/>
          <w:sz w:val="14"/>
          <w:szCs w:val="14"/>
          <w:color w:val="51555C"/>
        </w:rPr>
        <w:t>Mr. Anderson became an executive officer effective April 30, 2025 and compensation information for 2023 and 2024 has not been provided in accordance with SEC rules.</w:t>
      </w:r>
    </w:p>
    <w:p>
      <w:pPr>
        <w:spacing w:after="0" w:line="364" w:lineRule="exact"/>
        <w:rPr>
          <w:sz w:val="20"/>
          <w:szCs w:val="20"/>
          <w:color w:val="auto"/>
        </w:rPr>
      </w:pPr>
    </w:p>
    <w:p>
      <w:pPr>
        <w:ind w:left="132"/>
        <w:spacing w:after="0"/>
        <w:tabs>
          <w:tab w:leader="none" w:pos="506" w:val="left"/>
        </w:tabs>
        <w:rPr>
          <w:sz w:val="20"/>
          <w:szCs w:val="20"/>
          <w:color w:val="auto"/>
        </w:rPr>
      </w:pPr>
      <w:r>
        <w:rPr>
          <w:rFonts w:ascii="Arial" w:cs="Arial" w:eastAsia="Arial" w:hAnsi="Arial"/>
          <w:sz w:val="14"/>
          <w:szCs w:val="14"/>
          <w:color w:val="51555C"/>
        </w:rPr>
        <w:t>54</w:t>
      </w:r>
      <w:r>
        <w:rPr>
          <w:sz w:val="20"/>
          <w:szCs w:val="20"/>
          <w:color w:val="auto"/>
        </w:rPr>
        <w:tab/>
      </w:r>
      <w:r>
        <w:rPr>
          <w:sz w:val="1"/>
          <w:szCs w:val="1"/>
          <w:color w:val="auto"/>
        </w:rPr>
        <w:drawing>
          <wp:inline distT="0" distB="0" distL="0" distR="0">
            <wp:extent cx="702945" cy="111760"/>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02945" cy="111760"/>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38" w:right="359" w:bottom="1440" w:gutter="0" w:footer="0" w:header="0"/>
          <w:type w:val="continuous"/>
        </w:sectPr>
      </w:pPr>
    </w:p>
    <w:bookmarkStart w:id="56" w:name="page57"/>
    <w:bookmarkEnd w:id="56"/>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b w:val="1"/>
          <w:bCs w:val="1"/>
          <w:color w:val="5155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2025 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51555C"/>
        </w:rPr>
        <w:t>The following table sets forth information regarding the grants of plan-based awards to our NEOs in 2025. There were no awards under non-equity incentive plans and the Company does not currently grant option awards.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20" w:type="dxa"/>
            <w:vAlign w:val="bottom"/>
            <w:shd w:val="clear" w:color="auto" w:fill="004054"/>
          </w:tcPr>
          <w:p>
            <w:pPr>
              <w:spacing w:after="0"/>
              <w:rPr>
                <w:sz w:val="16"/>
                <w:szCs w:val="16"/>
                <w:color w:val="auto"/>
              </w:rPr>
            </w:pPr>
          </w:p>
        </w:tc>
        <w:tc>
          <w:tcPr>
            <w:tcW w:w="1100" w:type="dxa"/>
            <w:vAlign w:val="bottom"/>
            <w:tcBorders>
              <w:right w:val="single" w:sz="8" w:color="004054"/>
            </w:tcBorders>
            <w:shd w:val="clear" w:color="auto" w:fill="004054"/>
          </w:tcPr>
          <w:p>
            <w:pPr>
              <w:spacing w:after="0"/>
              <w:rPr>
                <w:sz w:val="16"/>
                <w:szCs w:val="16"/>
                <w:color w:val="auto"/>
              </w:rPr>
            </w:pPr>
          </w:p>
        </w:tc>
        <w:tc>
          <w:tcPr>
            <w:tcW w:w="2900" w:type="dxa"/>
            <w:vAlign w:val="bottom"/>
            <w:gridSpan w:val="3"/>
            <w:shd w:val="clear" w:color="auto" w:fill="006880"/>
          </w:tcPr>
          <w:p>
            <w:pPr>
              <w:jc w:val="center"/>
              <w:ind w:left="201"/>
              <w:spacing w:after="0"/>
              <w:rPr>
                <w:sz w:val="20"/>
                <w:szCs w:val="20"/>
                <w:color w:val="auto"/>
              </w:rPr>
            </w:pPr>
            <w:r>
              <w:rPr>
                <w:rFonts w:ascii="Arial" w:cs="Arial" w:eastAsia="Arial" w:hAnsi="Arial"/>
                <w:sz w:val="14"/>
                <w:szCs w:val="14"/>
                <w:b w:val="1"/>
                <w:bCs w:val="1"/>
                <w:color w:val="FFFFFF"/>
              </w:rPr>
              <w:t>Estimated Future Payouts</w:t>
            </w:r>
          </w:p>
        </w:tc>
        <w:tc>
          <w:tcPr>
            <w:tcW w:w="280" w:type="dxa"/>
            <w:vAlign w:val="bottom"/>
            <w:shd w:val="clear" w:color="auto" w:fill="006880"/>
          </w:tcPr>
          <w:p>
            <w:pPr>
              <w:spacing w:after="0"/>
              <w:rPr>
                <w:sz w:val="16"/>
                <w:szCs w:val="16"/>
                <w:color w:val="auto"/>
              </w:rPr>
            </w:pPr>
          </w:p>
        </w:tc>
        <w:tc>
          <w:tcPr>
            <w:tcW w:w="1820" w:type="dxa"/>
            <w:vAlign w:val="bottom"/>
            <w:shd w:val="clear" w:color="auto" w:fill="004054"/>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146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004054"/>
          </w:tcPr>
          <w:p>
            <w:pPr>
              <w:spacing w:after="0"/>
              <w:rPr>
                <w:sz w:val="15"/>
                <w:szCs w:val="15"/>
                <w:color w:val="auto"/>
              </w:rPr>
            </w:pPr>
          </w:p>
        </w:tc>
        <w:tc>
          <w:tcPr>
            <w:tcW w:w="1100" w:type="dxa"/>
            <w:vAlign w:val="bottom"/>
            <w:tcBorders>
              <w:right w:val="single" w:sz="8" w:color="004054"/>
            </w:tcBorders>
            <w:shd w:val="clear" w:color="auto" w:fill="004054"/>
          </w:tcPr>
          <w:p>
            <w:pPr>
              <w:spacing w:after="0"/>
              <w:rPr>
                <w:sz w:val="15"/>
                <w:szCs w:val="15"/>
                <w:color w:val="auto"/>
              </w:rPr>
            </w:pPr>
          </w:p>
        </w:tc>
        <w:tc>
          <w:tcPr>
            <w:tcW w:w="960" w:type="dxa"/>
            <w:vAlign w:val="bottom"/>
            <w:shd w:val="clear" w:color="auto" w:fill="006880"/>
          </w:tcPr>
          <w:p>
            <w:pPr>
              <w:spacing w:after="0"/>
              <w:rPr>
                <w:sz w:val="15"/>
                <w:szCs w:val="15"/>
                <w:color w:val="auto"/>
              </w:rPr>
            </w:pPr>
          </w:p>
        </w:tc>
        <w:tc>
          <w:tcPr>
            <w:tcW w:w="1180" w:type="dxa"/>
            <w:vAlign w:val="bottom"/>
            <w:shd w:val="clear" w:color="auto" w:fill="006880"/>
          </w:tcPr>
          <w:p>
            <w:pPr>
              <w:jc w:val="center"/>
              <w:spacing w:after="0"/>
              <w:rPr>
                <w:sz w:val="20"/>
                <w:szCs w:val="20"/>
                <w:color w:val="auto"/>
              </w:rPr>
            </w:pPr>
            <w:r>
              <w:rPr>
                <w:rFonts w:ascii="Arial" w:cs="Arial" w:eastAsia="Arial" w:hAnsi="Arial"/>
                <w:sz w:val="14"/>
                <w:szCs w:val="14"/>
                <w:b w:val="1"/>
                <w:bCs w:val="1"/>
                <w:color w:val="FFFFFF"/>
              </w:rPr>
              <w:t>Under Equity</w:t>
            </w:r>
          </w:p>
        </w:tc>
        <w:tc>
          <w:tcPr>
            <w:tcW w:w="760" w:type="dxa"/>
            <w:vAlign w:val="bottom"/>
            <w:shd w:val="clear" w:color="auto" w:fill="006880"/>
          </w:tcPr>
          <w:p>
            <w:pPr>
              <w:spacing w:after="0"/>
              <w:rPr>
                <w:sz w:val="15"/>
                <w:szCs w:val="15"/>
                <w:color w:val="auto"/>
              </w:rPr>
            </w:pPr>
          </w:p>
        </w:tc>
        <w:tc>
          <w:tcPr>
            <w:tcW w:w="280" w:type="dxa"/>
            <w:vAlign w:val="bottom"/>
            <w:shd w:val="clear" w:color="auto" w:fill="006880"/>
          </w:tcPr>
          <w:p>
            <w:pPr>
              <w:spacing w:after="0"/>
              <w:rPr>
                <w:sz w:val="15"/>
                <w:szCs w:val="15"/>
                <w:color w:val="auto"/>
              </w:rPr>
            </w:pPr>
          </w:p>
        </w:tc>
        <w:tc>
          <w:tcPr>
            <w:tcW w:w="182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All Other</w:t>
            </w:r>
          </w:p>
        </w:tc>
        <w:tc>
          <w:tcPr>
            <w:tcW w:w="280" w:type="dxa"/>
            <w:vAlign w:val="bottom"/>
            <w:shd w:val="clear" w:color="auto" w:fill="004054"/>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146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3120" w:type="dxa"/>
            <w:vAlign w:val="bottom"/>
            <w:shd w:val="clear" w:color="auto" w:fill="004054"/>
          </w:tcPr>
          <w:p>
            <w:pPr>
              <w:spacing w:after="0"/>
              <w:rPr>
                <w:sz w:val="9"/>
                <w:szCs w:val="9"/>
                <w:color w:val="auto"/>
              </w:rPr>
            </w:pPr>
          </w:p>
        </w:tc>
        <w:tc>
          <w:tcPr>
            <w:tcW w:w="1100" w:type="dxa"/>
            <w:vAlign w:val="bottom"/>
            <w:tcBorders>
              <w:right w:val="single" w:sz="8" w:color="004054"/>
            </w:tcBorders>
            <w:shd w:val="clear" w:color="auto" w:fill="004054"/>
          </w:tcPr>
          <w:p>
            <w:pPr>
              <w:spacing w:after="0"/>
              <w:rPr>
                <w:sz w:val="9"/>
                <w:szCs w:val="9"/>
                <w:color w:val="auto"/>
              </w:rPr>
            </w:pPr>
          </w:p>
        </w:tc>
        <w:tc>
          <w:tcPr>
            <w:tcW w:w="2900" w:type="dxa"/>
            <w:vAlign w:val="bottom"/>
            <w:gridSpan w:val="3"/>
            <w:vMerge w:val="restart"/>
            <w:shd w:val="clear" w:color="auto" w:fill="006880"/>
          </w:tcPr>
          <w:p>
            <w:pPr>
              <w:jc w:val="center"/>
              <w:ind w:left="221"/>
              <w:spacing w:after="0"/>
              <w:rPr>
                <w:sz w:val="20"/>
                <w:szCs w:val="20"/>
                <w:color w:val="auto"/>
              </w:rPr>
            </w:pPr>
            <w:r>
              <w:rPr>
                <w:rFonts w:ascii="Arial" w:cs="Arial" w:eastAsia="Arial" w:hAnsi="Arial"/>
                <w:sz w:val="14"/>
                <w:szCs w:val="14"/>
                <w:b w:val="1"/>
                <w:bCs w:val="1"/>
                <w:color w:val="FFFFFF"/>
              </w:rPr>
              <w:t>Incentive Plan Awards</w:t>
            </w:r>
          </w:p>
        </w:tc>
        <w:tc>
          <w:tcPr>
            <w:tcW w:w="280" w:type="dxa"/>
            <w:vAlign w:val="bottom"/>
            <w:shd w:val="clear" w:color="auto" w:fill="006880"/>
          </w:tcPr>
          <w:p>
            <w:pPr>
              <w:spacing w:after="0"/>
              <w:rPr>
                <w:sz w:val="9"/>
                <w:szCs w:val="9"/>
                <w:color w:val="auto"/>
              </w:rPr>
            </w:pPr>
          </w:p>
        </w:tc>
        <w:tc>
          <w:tcPr>
            <w:tcW w:w="1820" w:type="dxa"/>
            <w:vAlign w:val="bottom"/>
            <w:vMerge w:val="continue"/>
            <w:shd w:val="clear" w:color="auto" w:fill="004054"/>
          </w:tcPr>
          <w:p>
            <w:pPr>
              <w:spacing w:after="0"/>
              <w:rPr>
                <w:sz w:val="9"/>
                <w:szCs w:val="9"/>
                <w:color w:val="auto"/>
              </w:rPr>
            </w:pPr>
          </w:p>
        </w:tc>
        <w:tc>
          <w:tcPr>
            <w:tcW w:w="280" w:type="dxa"/>
            <w:vAlign w:val="bottom"/>
            <w:shd w:val="clear" w:color="auto" w:fill="004054"/>
          </w:tcPr>
          <w:p>
            <w:pPr>
              <w:spacing w:after="0"/>
              <w:rPr>
                <w:sz w:val="9"/>
                <w:szCs w:val="9"/>
                <w:color w:val="auto"/>
              </w:rPr>
            </w:pPr>
          </w:p>
        </w:tc>
        <w:tc>
          <w:tcPr>
            <w:tcW w:w="280" w:type="dxa"/>
            <w:vAlign w:val="bottom"/>
            <w:shd w:val="clear" w:color="auto" w:fill="004054"/>
          </w:tcPr>
          <w:p>
            <w:pPr>
              <w:spacing w:after="0"/>
              <w:rPr>
                <w:sz w:val="9"/>
                <w:szCs w:val="9"/>
                <w:color w:val="auto"/>
              </w:rPr>
            </w:pPr>
          </w:p>
        </w:tc>
        <w:tc>
          <w:tcPr>
            <w:tcW w:w="1460" w:type="dxa"/>
            <w:vAlign w:val="bottom"/>
            <w:shd w:val="clear" w:color="auto" w:fill="004054"/>
          </w:tcPr>
          <w:p>
            <w:pPr>
              <w:spacing w:after="0"/>
              <w:rPr>
                <w:sz w:val="9"/>
                <w:szCs w:val="9"/>
                <w:color w:val="auto"/>
              </w:rPr>
            </w:pPr>
          </w:p>
        </w:tc>
        <w:tc>
          <w:tcPr>
            <w:tcW w:w="20" w:type="dxa"/>
            <w:vAlign w:val="bottom"/>
            <w:shd w:val="clear" w:color="auto" w:fill="004054"/>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120" w:type="dxa"/>
            <w:vAlign w:val="bottom"/>
            <w:shd w:val="clear" w:color="auto" w:fill="004054"/>
          </w:tcPr>
          <w:p>
            <w:pPr>
              <w:spacing w:after="0"/>
              <w:rPr>
                <w:sz w:val="7"/>
                <w:szCs w:val="7"/>
                <w:color w:val="auto"/>
              </w:rPr>
            </w:pPr>
          </w:p>
        </w:tc>
        <w:tc>
          <w:tcPr>
            <w:tcW w:w="1100" w:type="dxa"/>
            <w:vAlign w:val="bottom"/>
            <w:tcBorders>
              <w:right w:val="single" w:sz="8" w:color="004054"/>
            </w:tcBorders>
            <w:shd w:val="clear" w:color="auto" w:fill="004054"/>
          </w:tcPr>
          <w:p>
            <w:pPr>
              <w:spacing w:after="0"/>
              <w:rPr>
                <w:sz w:val="7"/>
                <w:szCs w:val="7"/>
                <w:color w:val="auto"/>
              </w:rPr>
            </w:pPr>
          </w:p>
        </w:tc>
        <w:tc>
          <w:tcPr>
            <w:tcW w:w="2900" w:type="dxa"/>
            <w:vAlign w:val="bottom"/>
            <w:gridSpan w:val="3"/>
            <w:vMerge w:val="continue"/>
            <w:shd w:val="clear" w:color="auto" w:fill="006880"/>
          </w:tcPr>
          <w:p>
            <w:pPr>
              <w:spacing w:after="0"/>
              <w:rPr>
                <w:sz w:val="7"/>
                <w:szCs w:val="7"/>
                <w:color w:val="auto"/>
              </w:rPr>
            </w:pPr>
          </w:p>
        </w:tc>
        <w:tc>
          <w:tcPr>
            <w:tcW w:w="280" w:type="dxa"/>
            <w:vAlign w:val="bottom"/>
            <w:shd w:val="clear" w:color="auto" w:fill="006880"/>
          </w:tcPr>
          <w:p>
            <w:pPr>
              <w:spacing w:after="0"/>
              <w:rPr>
                <w:sz w:val="7"/>
                <w:szCs w:val="7"/>
                <w:color w:val="auto"/>
              </w:rPr>
            </w:pPr>
          </w:p>
        </w:tc>
        <w:tc>
          <w:tcPr>
            <w:tcW w:w="182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Stock Awards;</w:t>
            </w:r>
          </w:p>
        </w:tc>
        <w:tc>
          <w:tcPr>
            <w:tcW w:w="280" w:type="dxa"/>
            <w:vAlign w:val="bottom"/>
            <w:shd w:val="clear" w:color="auto" w:fill="004054"/>
          </w:tcPr>
          <w:p>
            <w:pPr>
              <w:spacing w:after="0"/>
              <w:rPr>
                <w:sz w:val="7"/>
                <w:szCs w:val="7"/>
                <w:color w:val="auto"/>
              </w:rPr>
            </w:pPr>
          </w:p>
        </w:tc>
        <w:tc>
          <w:tcPr>
            <w:tcW w:w="280" w:type="dxa"/>
            <w:vAlign w:val="bottom"/>
            <w:shd w:val="clear" w:color="auto" w:fill="004054"/>
          </w:tcPr>
          <w:p>
            <w:pPr>
              <w:spacing w:after="0"/>
              <w:rPr>
                <w:sz w:val="7"/>
                <w:szCs w:val="7"/>
                <w:color w:val="auto"/>
              </w:rPr>
            </w:pPr>
          </w:p>
        </w:tc>
        <w:tc>
          <w:tcPr>
            <w:tcW w:w="146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Grant Date Fair</w:t>
            </w:r>
          </w:p>
        </w:tc>
        <w:tc>
          <w:tcPr>
            <w:tcW w:w="20" w:type="dxa"/>
            <w:vAlign w:val="bottom"/>
            <w:shd w:val="clear" w:color="auto" w:fill="004054"/>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3120" w:type="dxa"/>
            <w:vAlign w:val="bottom"/>
            <w:shd w:val="clear" w:color="auto" w:fill="004054"/>
          </w:tcPr>
          <w:p>
            <w:pPr>
              <w:spacing w:after="0"/>
              <w:rPr>
                <w:sz w:val="7"/>
                <w:szCs w:val="7"/>
                <w:color w:val="auto"/>
              </w:rPr>
            </w:pPr>
          </w:p>
        </w:tc>
        <w:tc>
          <w:tcPr>
            <w:tcW w:w="1100" w:type="dxa"/>
            <w:vAlign w:val="bottom"/>
            <w:tcBorders>
              <w:right w:val="single" w:sz="8" w:color="004054"/>
            </w:tcBorders>
            <w:shd w:val="clear" w:color="auto" w:fill="004054"/>
          </w:tcPr>
          <w:p>
            <w:pPr>
              <w:spacing w:after="0"/>
              <w:rPr>
                <w:sz w:val="7"/>
                <w:szCs w:val="7"/>
                <w:color w:val="auto"/>
              </w:rPr>
            </w:pPr>
          </w:p>
        </w:tc>
        <w:tc>
          <w:tcPr>
            <w:tcW w:w="960" w:type="dxa"/>
            <w:vAlign w:val="bottom"/>
            <w:shd w:val="clear" w:color="auto" w:fill="004054"/>
          </w:tcPr>
          <w:p>
            <w:pPr>
              <w:spacing w:after="0"/>
              <w:rPr>
                <w:sz w:val="7"/>
                <w:szCs w:val="7"/>
                <w:color w:val="auto"/>
              </w:rPr>
            </w:pPr>
          </w:p>
        </w:tc>
        <w:tc>
          <w:tcPr>
            <w:tcW w:w="1180" w:type="dxa"/>
            <w:vAlign w:val="bottom"/>
            <w:shd w:val="clear" w:color="auto" w:fill="004054"/>
          </w:tcPr>
          <w:p>
            <w:pPr>
              <w:spacing w:after="0"/>
              <w:rPr>
                <w:sz w:val="7"/>
                <w:szCs w:val="7"/>
                <w:color w:val="auto"/>
              </w:rPr>
            </w:pPr>
          </w:p>
        </w:tc>
        <w:tc>
          <w:tcPr>
            <w:tcW w:w="760" w:type="dxa"/>
            <w:vAlign w:val="bottom"/>
            <w:shd w:val="clear" w:color="auto" w:fill="004054"/>
          </w:tcPr>
          <w:p>
            <w:pPr>
              <w:spacing w:after="0"/>
              <w:rPr>
                <w:sz w:val="7"/>
                <w:szCs w:val="7"/>
                <w:color w:val="auto"/>
              </w:rPr>
            </w:pPr>
          </w:p>
        </w:tc>
        <w:tc>
          <w:tcPr>
            <w:tcW w:w="280" w:type="dxa"/>
            <w:vAlign w:val="bottom"/>
            <w:shd w:val="clear" w:color="auto" w:fill="004054"/>
          </w:tcPr>
          <w:p>
            <w:pPr>
              <w:spacing w:after="0"/>
              <w:rPr>
                <w:sz w:val="7"/>
                <w:szCs w:val="7"/>
                <w:color w:val="auto"/>
              </w:rPr>
            </w:pPr>
          </w:p>
        </w:tc>
        <w:tc>
          <w:tcPr>
            <w:tcW w:w="1820" w:type="dxa"/>
            <w:vAlign w:val="bottom"/>
            <w:vMerge w:val="continue"/>
            <w:shd w:val="clear" w:color="auto" w:fill="004054"/>
          </w:tcPr>
          <w:p>
            <w:pPr>
              <w:spacing w:after="0"/>
              <w:rPr>
                <w:sz w:val="7"/>
                <w:szCs w:val="7"/>
                <w:color w:val="auto"/>
              </w:rPr>
            </w:pPr>
          </w:p>
        </w:tc>
        <w:tc>
          <w:tcPr>
            <w:tcW w:w="280" w:type="dxa"/>
            <w:vAlign w:val="bottom"/>
            <w:shd w:val="clear" w:color="auto" w:fill="004054"/>
          </w:tcPr>
          <w:p>
            <w:pPr>
              <w:spacing w:after="0"/>
              <w:rPr>
                <w:sz w:val="7"/>
                <w:szCs w:val="7"/>
                <w:color w:val="auto"/>
              </w:rPr>
            </w:pPr>
          </w:p>
        </w:tc>
        <w:tc>
          <w:tcPr>
            <w:tcW w:w="280" w:type="dxa"/>
            <w:vAlign w:val="bottom"/>
            <w:shd w:val="clear" w:color="auto" w:fill="004054"/>
          </w:tcPr>
          <w:p>
            <w:pPr>
              <w:spacing w:after="0"/>
              <w:rPr>
                <w:sz w:val="7"/>
                <w:szCs w:val="7"/>
                <w:color w:val="auto"/>
              </w:rPr>
            </w:pPr>
          </w:p>
        </w:tc>
        <w:tc>
          <w:tcPr>
            <w:tcW w:w="1460" w:type="dxa"/>
            <w:vAlign w:val="bottom"/>
            <w:vMerge w:val="continue"/>
            <w:shd w:val="clear" w:color="auto" w:fill="004054"/>
          </w:tcPr>
          <w:p>
            <w:pPr>
              <w:spacing w:after="0"/>
              <w:rPr>
                <w:sz w:val="7"/>
                <w:szCs w:val="7"/>
                <w:color w:val="auto"/>
              </w:rPr>
            </w:pPr>
          </w:p>
        </w:tc>
        <w:tc>
          <w:tcPr>
            <w:tcW w:w="20" w:type="dxa"/>
            <w:vAlign w:val="bottom"/>
            <w:shd w:val="clear" w:color="auto" w:fill="004054"/>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120" w:type="dxa"/>
            <w:vAlign w:val="bottom"/>
            <w:shd w:val="clear" w:color="auto" w:fill="004054"/>
          </w:tcPr>
          <w:p>
            <w:pPr>
              <w:spacing w:after="0"/>
              <w:rPr>
                <w:sz w:val="13"/>
                <w:szCs w:val="13"/>
                <w:color w:val="auto"/>
              </w:rPr>
            </w:pPr>
          </w:p>
        </w:tc>
        <w:tc>
          <w:tcPr>
            <w:tcW w:w="1100" w:type="dxa"/>
            <w:vAlign w:val="bottom"/>
            <w:tcBorders>
              <w:right w:val="single" w:sz="8" w:color="004054"/>
            </w:tcBorders>
            <w:shd w:val="clear" w:color="auto" w:fill="004054"/>
          </w:tcPr>
          <w:p>
            <w:pPr>
              <w:spacing w:after="0"/>
              <w:rPr>
                <w:sz w:val="13"/>
                <w:szCs w:val="13"/>
                <w:color w:val="auto"/>
              </w:rPr>
            </w:pPr>
          </w:p>
        </w:tc>
        <w:tc>
          <w:tcPr>
            <w:tcW w:w="960" w:type="dxa"/>
            <w:vAlign w:val="bottom"/>
            <w:shd w:val="clear" w:color="auto" w:fill="004054"/>
          </w:tcPr>
          <w:p>
            <w:pPr>
              <w:spacing w:after="0"/>
              <w:rPr>
                <w:sz w:val="13"/>
                <w:szCs w:val="13"/>
                <w:color w:val="auto"/>
              </w:rPr>
            </w:pPr>
          </w:p>
        </w:tc>
        <w:tc>
          <w:tcPr>
            <w:tcW w:w="1180" w:type="dxa"/>
            <w:vAlign w:val="bottom"/>
            <w:shd w:val="clear" w:color="auto" w:fill="004054"/>
          </w:tcPr>
          <w:p>
            <w:pPr>
              <w:spacing w:after="0"/>
              <w:rPr>
                <w:sz w:val="13"/>
                <w:szCs w:val="13"/>
                <w:color w:val="auto"/>
              </w:rPr>
            </w:pPr>
          </w:p>
        </w:tc>
        <w:tc>
          <w:tcPr>
            <w:tcW w:w="760" w:type="dxa"/>
            <w:vAlign w:val="bottom"/>
            <w:shd w:val="clear" w:color="auto" w:fill="004054"/>
          </w:tcPr>
          <w:p>
            <w:pPr>
              <w:spacing w:after="0"/>
              <w:rPr>
                <w:sz w:val="13"/>
                <w:szCs w:val="13"/>
                <w:color w:val="auto"/>
              </w:rPr>
            </w:pPr>
          </w:p>
        </w:tc>
        <w:tc>
          <w:tcPr>
            <w:tcW w:w="280" w:type="dxa"/>
            <w:vAlign w:val="bottom"/>
            <w:shd w:val="clear" w:color="auto" w:fill="004054"/>
          </w:tcPr>
          <w:p>
            <w:pPr>
              <w:spacing w:after="0"/>
              <w:rPr>
                <w:sz w:val="13"/>
                <w:szCs w:val="13"/>
                <w:color w:val="auto"/>
              </w:rPr>
            </w:pPr>
          </w:p>
        </w:tc>
        <w:tc>
          <w:tcPr>
            <w:tcW w:w="1820" w:type="dxa"/>
            <w:vAlign w:val="bottom"/>
            <w:shd w:val="clear" w:color="auto" w:fill="004054"/>
          </w:tcPr>
          <w:p>
            <w:pPr>
              <w:jc w:val="right"/>
              <w:spacing w:after="0" w:line="158" w:lineRule="exact"/>
              <w:rPr>
                <w:sz w:val="20"/>
                <w:szCs w:val="20"/>
                <w:color w:val="auto"/>
              </w:rPr>
            </w:pPr>
            <w:r>
              <w:rPr>
                <w:rFonts w:ascii="Arial" w:cs="Arial" w:eastAsia="Arial" w:hAnsi="Arial"/>
                <w:sz w:val="14"/>
                <w:szCs w:val="14"/>
                <w:b w:val="1"/>
                <w:bCs w:val="1"/>
                <w:color w:val="FFFFFF"/>
              </w:rPr>
              <w:t>Number of Shares</w:t>
            </w:r>
          </w:p>
        </w:tc>
        <w:tc>
          <w:tcPr>
            <w:tcW w:w="280" w:type="dxa"/>
            <w:vAlign w:val="bottom"/>
            <w:shd w:val="clear" w:color="auto" w:fill="004054"/>
          </w:tcPr>
          <w:p>
            <w:pPr>
              <w:spacing w:after="0"/>
              <w:rPr>
                <w:sz w:val="13"/>
                <w:szCs w:val="13"/>
                <w:color w:val="auto"/>
              </w:rPr>
            </w:pPr>
          </w:p>
        </w:tc>
        <w:tc>
          <w:tcPr>
            <w:tcW w:w="280" w:type="dxa"/>
            <w:vAlign w:val="bottom"/>
            <w:shd w:val="clear" w:color="auto" w:fill="004054"/>
          </w:tcPr>
          <w:p>
            <w:pPr>
              <w:spacing w:after="0"/>
              <w:rPr>
                <w:sz w:val="13"/>
                <w:szCs w:val="13"/>
                <w:color w:val="auto"/>
              </w:rPr>
            </w:pPr>
          </w:p>
        </w:tc>
        <w:tc>
          <w:tcPr>
            <w:tcW w:w="1460" w:type="dxa"/>
            <w:vAlign w:val="bottom"/>
            <w:shd w:val="clear" w:color="auto" w:fill="004054"/>
          </w:tcPr>
          <w:p>
            <w:pPr>
              <w:jc w:val="right"/>
              <w:spacing w:after="0" w:line="158" w:lineRule="exact"/>
              <w:rPr>
                <w:sz w:val="20"/>
                <w:szCs w:val="20"/>
                <w:color w:val="auto"/>
              </w:rPr>
            </w:pPr>
            <w:r>
              <w:rPr>
                <w:rFonts w:ascii="Arial" w:cs="Arial" w:eastAsia="Arial" w:hAnsi="Arial"/>
                <w:sz w:val="14"/>
                <w:szCs w:val="14"/>
                <w:b w:val="1"/>
                <w:bCs w:val="1"/>
                <w:color w:val="FFFFFF"/>
              </w:rPr>
              <w:t>Value of Stock and</w:t>
            </w:r>
          </w:p>
        </w:tc>
        <w:tc>
          <w:tcPr>
            <w:tcW w:w="20" w:type="dxa"/>
            <w:vAlign w:val="bottom"/>
            <w:shd w:val="clear" w:color="auto" w:fill="004054"/>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20" w:type="dxa"/>
            <w:vAlign w:val="bottom"/>
            <w:shd w:val="clear" w:color="auto" w:fill="004054"/>
          </w:tcPr>
          <w:p>
            <w:pPr>
              <w:spacing w:after="0"/>
              <w:rPr>
                <w:sz w:val="15"/>
                <w:szCs w:val="15"/>
                <w:color w:val="auto"/>
              </w:rPr>
            </w:pPr>
          </w:p>
        </w:tc>
        <w:tc>
          <w:tcPr>
            <w:tcW w:w="1100" w:type="dxa"/>
            <w:vAlign w:val="bottom"/>
            <w:tcBorders>
              <w:right w:val="single" w:sz="8" w:color="004054"/>
            </w:tcBorders>
            <w:shd w:val="clear" w:color="auto" w:fill="004054"/>
          </w:tcPr>
          <w:p>
            <w:pPr>
              <w:spacing w:after="0"/>
              <w:rPr>
                <w:sz w:val="15"/>
                <w:szCs w:val="15"/>
                <w:color w:val="auto"/>
              </w:rPr>
            </w:pPr>
          </w:p>
        </w:tc>
        <w:tc>
          <w:tcPr>
            <w:tcW w:w="9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Threshold</w:t>
            </w:r>
          </w:p>
        </w:tc>
        <w:tc>
          <w:tcPr>
            <w:tcW w:w="1180" w:type="dxa"/>
            <w:vAlign w:val="bottom"/>
            <w:shd w:val="clear" w:color="auto" w:fill="004054"/>
          </w:tcPr>
          <w:p>
            <w:pPr>
              <w:jc w:val="right"/>
              <w:ind w:right="140"/>
              <w:spacing w:after="0"/>
              <w:rPr>
                <w:sz w:val="20"/>
                <w:szCs w:val="20"/>
                <w:color w:val="auto"/>
              </w:rPr>
            </w:pPr>
            <w:r>
              <w:rPr>
                <w:rFonts w:ascii="Arial" w:cs="Arial" w:eastAsia="Arial" w:hAnsi="Arial"/>
                <w:sz w:val="14"/>
                <w:szCs w:val="14"/>
                <w:b w:val="1"/>
                <w:bCs w:val="1"/>
                <w:color w:val="FFFFFF"/>
              </w:rPr>
              <w:t>Target</w:t>
            </w:r>
          </w:p>
        </w:tc>
        <w:tc>
          <w:tcPr>
            <w:tcW w:w="7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Maximum</w:t>
            </w:r>
          </w:p>
        </w:tc>
        <w:tc>
          <w:tcPr>
            <w:tcW w:w="280" w:type="dxa"/>
            <w:vAlign w:val="bottom"/>
            <w:shd w:val="clear" w:color="auto" w:fill="004054"/>
          </w:tcPr>
          <w:p>
            <w:pPr>
              <w:spacing w:after="0"/>
              <w:rPr>
                <w:sz w:val="15"/>
                <w:szCs w:val="15"/>
                <w:color w:val="auto"/>
              </w:rPr>
            </w:pPr>
          </w:p>
        </w:tc>
        <w:tc>
          <w:tcPr>
            <w:tcW w:w="18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of Stock or Units</w:t>
            </w:r>
          </w:p>
        </w:tc>
        <w:tc>
          <w:tcPr>
            <w:tcW w:w="280" w:type="dxa"/>
            <w:vAlign w:val="bottom"/>
            <w:shd w:val="clear" w:color="auto" w:fill="004054"/>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14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Option Awards</w:t>
            </w:r>
            <w:r>
              <w:rPr>
                <w:rFonts w:ascii="Arial" w:cs="Arial" w:eastAsia="Arial" w:hAnsi="Arial"/>
                <w:sz w:val="9"/>
                <w:szCs w:val="9"/>
                <w:b w:val="1"/>
                <w:bCs w:val="1"/>
                <w:color w:val="FFFFFF"/>
              </w:rPr>
              <w:t>(1)</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1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Name</w:t>
            </w:r>
          </w:p>
        </w:tc>
        <w:tc>
          <w:tcPr>
            <w:tcW w:w="1100" w:type="dxa"/>
            <w:vAlign w:val="bottom"/>
            <w:tcBorders>
              <w:bottom w:val="single" w:sz="8" w:color="004054"/>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Grant Date</w:t>
            </w:r>
          </w:p>
        </w:tc>
        <w:tc>
          <w:tcPr>
            <w:tcW w:w="9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w:t>
            </w:r>
          </w:p>
        </w:tc>
        <w:tc>
          <w:tcPr>
            <w:tcW w:w="1180" w:type="dxa"/>
            <w:vAlign w:val="bottom"/>
            <w:tcBorders>
              <w:bottom w:val="single" w:sz="8" w:color="004054"/>
            </w:tcBorders>
            <w:shd w:val="clear" w:color="auto" w:fill="004054"/>
          </w:tcPr>
          <w:p>
            <w:pPr>
              <w:jc w:val="right"/>
              <w:ind w:right="140"/>
              <w:spacing w:after="0"/>
              <w:rPr>
                <w:sz w:val="20"/>
                <w:szCs w:val="20"/>
                <w:color w:val="auto"/>
              </w:rPr>
            </w:pPr>
            <w:r>
              <w:rPr>
                <w:rFonts w:ascii="Arial" w:cs="Arial" w:eastAsia="Arial" w:hAnsi="Arial"/>
                <w:sz w:val="14"/>
                <w:szCs w:val="14"/>
                <w:b w:val="1"/>
                <w:bCs w:val="1"/>
                <w:color w:val="FFFFFF"/>
              </w:rPr>
              <w:t>(#)</w:t>
            </w:r>
          </w:p>
        </w:tc>
        <w:tc>
          <w:tcPr>
            <w:tcW w:w="7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w:t>
            </w:r>
          </w:p>
        </w:tc>
        <w:tc>
          <w:tcPr>
            <w:tcW w:w="280" w:type="dxa"/>
            <w:vAlign w:val="bottom"/>
            <w:tcBorders>
              <w:bottom w:val="single" w:sz="8" w:color="004054"/>
            </w:tcBorders>
            <w:shd w:val="clear" w:color="auto" w:fill="004054"/>
          </w:tcPr>
          <w:p>
            <w:pPr>
              <w:spacing w:after="0"/>
              <w:rPr>
                <w:sz w:val="19"/>
                <w:szCs w:val="19"/>
                <w:color w:val="auto"/>
              </w:rPr>
            </w:pPr>
          </w:p>
        </w:tc>
        <w:tc>
          <w:tcPr>
            <w:tcW w:w="18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w:t>
            </w:r>
          </w:p>
        </w:tc>
        <w:tc>
          <w:tcPr>
            <w:tcW w:w="280" w:type="dxa"/>
            <w:vAlign w:val="bottom"/>
            <w:tcBorders>
              <w:bottom w:val="single" w:sz="8" w:color="004054"/>
            </w:tcBorders>
            <w:shd w:val="clear" w:color="auto" w:fill="004054"/>
          </w:tcPr>
          <w:p>
            <w:pPr>
              <w:spacing w:after="0"/>
              <w:rPr>
                <w:sz w:val="19"/>
                <w:szCs w:val="19"/>
                <w:color w:val="auto"/>
              </w:rPr>
            </w:pPr>
          </w:p>
        </w:tc>
        <w:tc>
          <w:tcPr>
            <w:tcW w:w="280" w:type="dxa"/>
            <w:vAlign w:val="bottom"/>
            <w:tcBorders>
              <w:bottom w:val="single" w:sz="8" w:color="004054"/>
            </w:tcBorders>
            <w:shd w:val="clear" w:color="auto" w:fill="004054"/>
          </w:tcPr>
          <w:p>
            <w:pPr>
              <w:spacing w:after="0"/>
              <w:rPr>
                <w:sz w:val="19"/>
                <w:szCs w:val="19"/>
                <w:color w:val="auto"/>
              </w:rPr>
            </w:pPr>
          </w:p>
        </w:tc>
        <w:tc>
          <w:tcPr>
            <w:tcW w:w="14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004054"/>
            </w:tcBorders>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12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Michael P.</w:t>
            </w:r>
          </w:p>
        </w:tc>
        <w:tc>
          <w:tcPr>
            <w:tcW w:w="1100" w:type="dxa"/>
            <w:vAlign w:val="bottom"/>
            <w:tcBorders>
              <w:right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2/19/2025</w:t>
            </w:r>
          </w:p>
        </w:tc>
        <w:tc>
          <w:tcPr>
            <w:tcW w:w="960" w:type="dxa"/>
            <w:vAlign w:val="bottom"/>
            <w:shd w:val="clear" w:color="auto" w:fill="EBFBFF"/>
          </w:tcPr>
          <w:p>
            <w:pPr>
              <w:spacing w:after="0"/>
              <w:rPr>
                <w:sz w:val="17"/>
                <w:szCs w:val="17"/>
                <w:color w:val="auto"/>
              </w:rPr>
            </w:pPr>
          </w:p>
        </w:tc>
        <w:tc>
          <w:tcPr>
            <w:tcW w:w="1180" w:type="dxa"/>
            <w:vAlign w:val="bottom"/>
            <w:shd w:val="clear" w:color="auto" w:fill="EBFBFF"/>
          </w:tcPr>
          <w:p>
            <w:pPr>
              <w:spacing w:after="0"/>
              <w:rPr>
                <w:sz w:val="17"/>
                <w:szCs w:val="17"/>
                <w:color w:val="auto"/>
              </w:rPr>
            </w:pPr>
          </w:p>
        </w:tc>
        <w:tc>
          <w:tcPr>
            <w:tcW w:w="760" w:type="dxa"/>
            <w:vAlign w:val="bottom"/>
            <w:shd w:val="clear" w:color="auto" w:fill="EBFBFF"/>
          </w:tcPr>
          <w:p>
            <w:pPr>
              <w:spacing w:after="0"/>
              <w:rPr>
                <w:sz w:val="17"/>
                <w:szCs w:val="17"/>
                <w:color w:val="auto"/>
              </w:rPr>
            </w:pPr>
          </w:p>
        </w:tc>
        <w:tc>
          <w:tcPr>
            <w:tcW w:w="2100" w:type="dxa"/>
            <w:vAlign w:val="bottom"/>
            <w:gridSpan w:val="2"/>
            <w:shd w:val="clear" w:color="auto" w:fill="EBFBFF"/>
          </w:tcPr>
          <w:p>
            <w:pPr>
              <w:jc w:val="right"/>
              <w:ind w:right="8"/>
              <w:spacing w:after="0"/>
              <w:rPr>
                <w:sz w:val="20"/>
                <w:szCs w:val="20"/>
                <w:color w:val="auto"/>
              </w:rPr>
            </w:pPr>
            <w:r>
              <w:rPr>
                <w:rFonts w:ascii="Arial" w:cs="Arial" w:eastAsia="Arial" w:hAnsi="Arial"/>
                <w:sz w:val="16"/>
                <w:szCs w:val="16"/>
                <w:color w:val="51555C"/>
              </w:rPr>
              <w:t>32,582</w:t>
            </w:r>
          </w:p>
        </w:tc>
        <w:tc>
          <w:tcPr>
            <w:tcW w:w="280" w:type="dxa"/>
            <w:vAlign w:val="bottom"/>
            <w:shd w:val="clear" w:color="auto" w:fill="EBFBFF"/>
          </w:tcPr>
          <w:p>
            <w:pPr>
              <w:jc w:val="right"/>
              <w:ind w:right="86"/>
              <w:spacing w:after="0"/>
              <w:rPr>
                <w:sz w:val="20"/>
                <w:szCs w:val="20"/>
                <w:color w:val="auto"/>
              </w:rPr>
            </w:pPr>
            <w:r>
              <w:rPr>
                <w:rFonts w:ascii="Arial" w:cs="Arial" w:eastAsia="Arial" w:hAnsi="Arial"/>
                <w:sz w:val="11"/>
                <w:szCs w:val="11"/>
                <w:color w:val="51555C"/>
                <w:w w:val="88"/>
              </w:rPr>
              <w:t>(2)</w:t>
            </w:r>
          </w:p>
        </w:tc>
        <w:tc>
          <w:tcPr>
            <w:tcW w:w="280" w:type="dxa"/>
            <w:vAlign w:val="bottom"/>
            <w:shd w:val="clear" w:color="auto" w:fill="EBFBFF"/>
          </w:tcPr>
          <w:p>
            <w:pPr>
              <w:jc w:val="right"/>
              <w:ind w:right="99"/>
              <w:spacing w:after="0"/>
              <w:rPr>
                <w:sz w:val="20"/>
                <w:szCs w:val="20"/>
                <w:color w:val="auto"/>
              </w:rPr>
            </w:pPr>
            <w:r>
              <w:rPr>
                <w:rFonts w:ascii="Arial" w:cs="Arial" w:eastAsia="Arial" w:hAnsi="Arial"/>
                <w:sz w:val="16"/>
                <w:szCs w:val="16"/>
                <w:color w:val="51555C"/>
                <w:w w:val="89"/>
              </w:rPr>
              <w:t>$</w:t>
            </w:r>
          </w:p>
        </w:tc>
        <w:tc>
          <w:tcPr>
            <w:tcW w:w="14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2,232,519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312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Gianoni</w:t>
            </w:r>
          </w:p>
        </w:tc>
        <w:tc>
          <w:tcPr>
            <w:tcW w:w="1100" w:type="dxa"/>
            <w:vAlign w:val="bottom"/>
            <w:tcBorders>
              <w:right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2/19/2025</w:t>
            </w:r>
          </w:p>
        </w:tc>
        <w:tc>
          <w:tcPr>
            <w:tcW w:w="960" w:type="dxa"/>
            <w:vAlign w:val="bottom"/>
            <w:shd w:val="clear" w:color="auto" w:fill="EBFBFF"/>
          </w:tcPr>
          <w:p>
            <w:pPr>
              <w:jc w:val="right"/>
              <w:ind w:right="1"/>
              <w:spacing w:after="0"/>
              <w:rPr>
                <w:sz w:val="20"/>
                <w:szCs w:val="20"/>
                <w:color w:val="auto"/>
              </w:rPr>
            </w:pPr>
            <w:r>
              <w:rPr>
                <w:rFonts w:ascii="Arial" w:cs="Arial" w:eastAsia="Arial" w:hAnsi="Arial"/>
                <w:sz w:val="16"/>
                <w:szCs w:val="16"/>
                <w:color w:val="51555C"/>
              </w:rPr>
              <w:t>8,146</w:t>
            </w:r>
          </w:p>
        </w:tc>
        <w:tc>
          <w:tcPr>
            <w:tcW w:w="1180" w:type="dxa"/>
            <w:vAlign w:val="bottom"/>
            <w:shd w:val="clear" w:color="auto" w:fill="EBFBFF"/>
          </w:tcPr>
          <w:p>
            <w:pPr>
              <w:jc w:val="right"/>
              <w:ind w:right="200"/>
              <w:spacing w:after="0"/>
              <w:rPr>
                <w:sz w:val="20"/>
                <w:szCs w:val="20"/>
                <w:color w:val="auto"/>
              </w:rPr>
            </w:pPr>
            <w:r>
              <w:rPr>
                <w:rFonts w:ascii="Arial" w:cs="Arial" w:eastAsia="Arial" w:hAnsi="Arial"/>
                <w:sz w:val="16"/>
                <w:szCs w:val="16"/>
                <w:color w:val="51555C"/>
              </w:rPr>
              <w:t>16,291</w:t>
            </w:r>
          </w:p>
        </w:tc>
        <w:tc>
          <w:tcPr>
            <w:tcW w:w="7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32,582</w:t>
            </w:r>
          </w:p>
        </w:tc>
        <w:tc>
          <w:tcPr>
            <w:tcW w:w="280" w:type="dxa"/>
            <w:vAlign w:val="bottom"/>
            <w:shd w:val="clear" w:color="auto" w:fill="EBFBFF"/>
          </w:tcPr>
          <w:p>
            <w:pPr>
              <w:jc w:val="right"/>
              <w:ind w:right="59"/>
              <w:spacing w:after="0"/>
              <w:rPr>
                <w:sz w:val="20"/>
                <w:szCs w:val="20"/>
                <w:color w:val="auto"/>
              </w:rPr>
            </w:pPr>
            <w:r>
              <w:rPr>
                <w:rFonts w:ascii="Arial" w:cs="Arial" w:eastAsia="Arial" w:hAnsi="Arial"/>
                <w:sz w:val="11"/>
                <w:szCs w:val="11"/>
                <w:color w:val="51555C"/>
              </w:rPr>
              <w:t>(3)</w:t>
            </w:r>
          </w:p>
        </w:tc>
        <w:tc>
          <w:tcPr>
            <w:tcW w:w="1820" w:type="dxa"/>
            <w:vAlign w:val="bottom"/>
            <w:shd w:val="clear" w:color="auto" w:fill="EBFBFF"/>
          </w:tcPr>
          <w:p>
            <w:pPr>
              <w:spacing w:after="0"/>
              <w:rPr>
                <w:sz w:val="23"/>
                <w:szCs w:val="23"/>
                <w:color w:val="auto"/>
              </w:rPr>
            </w:pPr>
          </w:p>
        </w:tc>
        <w:tc>
          <w:tcPr>
            <w:tcW w:w="280" w:type="dxa"/>
            <w:vAlign w:val="bottom"/>
            <w:shd w:val="clear" w:color="auto" w:fill="EBFBFF"/>
          </w:tcPr>
          <w:p>
            <w:pPr>
              <w:spacing w:after="0"/>
              <w:rPr>
                <w:sz w:val="23"/>
                <w:szCs w:val="23"/>
                <w:color w:val="auto"/>
              </w:rPr>
            </w:pPr>
          </w:p>
        </w:tc>
        <w:tc>
          <w:tcPr>
            <w:tcW w:w="280" w:type="dxa"/>
            <w:vAlign w:val="bottom"/>
            <w:shd w:val="clear" w:color="auto" w:fill="EBFBFF"/>
          </w:tcPr>
          <w:p>
            <w:pPr>
              <w:spacing w:after="0"/>
              <w:rPr>
                <w:sz w:val="23"/>
                <w:szCs w:val="23"/>
                <w:color w:val="auto"/>
              </w:rPr>
            </w:pPr>
          </w:p>
        </w:tc>
        <w:tc>
          <w:tcPr>
            <w:tcW w:w="14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1,116,259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EBFBFF"/>
          </w:tcPr>
          <w:p>
            <w:pPr>
              <w:spacing w:after="0"/>
              <w:rPr>
                <w:sz w:val="22"/>
                <w:szCs w:val="22"/>
                <w:color w:val="auto"/>
              </w:rPr>
            </w:pPr>
          </w:p>
        </w:tc>
        <w:tc>
          <w:tcPr>
            <w:tcW w:w="1100" w:type="dxa"/>
            <w:vAlign w:val="bottom"/>
            <w:tcBorders>
              <w:right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2/19/2025</w:t>
            </w:r>
          </w:p>
        </w:tc>
        <w:tc>
          <w:tcPr>
            <w:tcW w:w="960" w:type="dxa"/>
            <w:vAlign w:val="bottom"/>
            <w:shd w:val="clear" w:color="auto" w:fill="EBFBFF"/>
          </w:tcPr>
          <w:p>
            <w:pPr>
              <w:jc w:val="right"/>
              <w:ind w:right="1"/>
              <w:spacing w:after="0"/>
              <w:rPr>
                <w:sz w:val="20"/>
                <w:szCs w:val="20"/>
                <w:color w:val="auto"/>
              </w:rPr>
            </w:pPr>
            <w:r>
              <w:rPr>
                <w:rFonts w:ascii="Arial" w:cs="Arial" w:eastAsia="Arial" w:hAnsi="Arial"/>
                <w:sz w:val="16"/>
                <w:szCs w:val="16"/>
                <w:color w:val="51555C"/>
              </w:rPr>
              <w:t>8,146</w:t>
            </w:r>
          </w:p>
        </w:tc>
        <w:tc>
          <w:tcPr>
            <w:tcW w:w="1180" w:type="dxa"/>
            <w:vAlign w:val="bottom"/>
            <w:shd w:val="clear" w:color="auto" w:fill="EBFBFF"/>
          </w:tcPr>
          <w:p>
            <w:pPr>
              <w:jc w:val="right"/>
              <w:ind w:right="200"/>
              <w:spacing w:after="0"/>
              <w:rPr>
                <w:sz w:val="20"/>
                <w:szCs w:val="20"/>
                <w:color w:val="auto"/>
              </w:rPr>
            </w:pPr>
            <w:r>
              <w:rPr>
                <w:rFonts w:ascii="Arial" w:cs="Arial" w:eastAsia="Arial" w:hAnsi="Arial"/>
                <w:sz w:val="16"/>
                <w:szCs w:val="16"/>
                <w:color w:val="51555C"/>
              </w:rPr>
              <w:t>16,291</w:t>
            </w:r>
          </w:p>
        </w:tc>
        <w:tc>
          <w:tcPr>
            <w:tcW w:w="7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32,582</w:t>
            </w:r>
          </w:p>
        </w:tc>
        <w:tc>
          <w:tcPr>
            <w:tcW w:w="280" w:type="dxa"/>
            <w:vAlign w:val="bottom"/>
            <w:shd w:val="clear" w:color="auto" w:fill="EBFBFF"/>
          </w:tcPr>
          <w:p>
            <w:pPr>
              <w:jc w:val="right"/>
              <w:ind w:right="59"/>
              <w:spacing w:after="0"/>
              <w:rPr>
                <w:sz w:val="20"/>
                <w:szCs w:val="20"/>
                <w:color w:val="auto"/>
              </w:rPr>
            </w:pPr>
            <w:r>
              <w:rPr>
                <w:rFonts w:ascii="Arial" w:cs="Arial" w:eastAsia="Arial" w:hAnsi="Arial"/>
                <w:sz w:val="11"/>
                <w:szCs w:val="11"/>
                <w:color w:val="51555C"/>
              </w:rPr>
              <w:t>(4)</w:t>
            </w:r>
          </w:p>
        </w:tc>
        <w:tc>
          <w:tcPr>
            <w:tcW w:w="1820" w:type="dxa"/>
            <w:vAlign w:val="bottom"/>
            <w:shd w:val="clear" w:color="auto" w:fill="EBFBFF"/>
          </w:tcPr>
          <w:p>
            <w:pPr>
              <w:spacing w:after="0"/>
              <w:rPr>
                <w:sz w:val="22"/>
                <w:szCs w:val="22"/>
                <w:color w:val="auto"/>
              </w:rPr>
            </w:pPr>
          </w:p>
        </w:tc>
        <w:tc>
          <w:tcPr>
            <w:tcW w:w="280" w:type="dxa"/>
            <w:vAlign w:val="bottom"/>
            <w:shd w:val="clear" w:color="auto" w:fill="EBFBFF"/>
          </w:tcPr>
          <w:p>
            <w:pPr>
              <w:spacing w:after="0"/>
              <w:rPr>
                <w:sz w:val="22"/>
                <w:szCs w:val="22"/>
                <w:color w:val="auto"/>
              </w:rPr>
            </w:pPr>
          </w:p>
        </w:tc>
        <w:tc>
          <w:tcPr>
            <w:tcW w:w="280" w:type="dxa"/>
            <w:vAlign w:val="bottom"/>
            <w:shd w:val="clear" w:color="auto" w:fill="EBFBFF"/>
          </w:tcPr>
          <w:p>
            <w:pPr>
              <w:spacing w:after="0"/>
              <w:rPr>
                <w:sz w:val="22"/>
                <w:szCs w:val="22"/>
                <w:color w:val="auto"/>
              </w:rPr>
            </w:pPr>
          </w:p>
        </w:tc>
        <w:tc>
          <w:tcPr>
            <w:tcW w:w="14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1,116,259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3120" w:type="dxa"/>
            <w:vAlign w:val="bottom"/>
            <w:tcBorders>
              <w:bottom w:val="single" w:sz="8" w:color="EBFBFF"/>
            </w:tcBorders>
            <w:shd w:val="clear" w:color="auto" w:fill="EBFBFF"/>
          </w:tcPr>
          <w:p>
            <w:pPr>
              <w:spacing w:after="0"/>
              <w:rPr>
                <w:sz w:val="23"/>
                <w:szCs w:val="23"/>
                <w:color w:val="auto"/>
              </w:rPr>
            </w:pPr>
          </w:p>
        </w:tc>
        <w:tc>
          <w:tcPr>
            <w:tcW w:w="110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2/18/2025</w:t>
            </w:r>
          </w:p>
        </w:tc>
        <w:tc>
          <w:tcPr>
            <w:tcW w:w="960" w:type="dxa"/>
            <w:vAlign w:val="bottom"/>
            <w:tcBorders>
              <w:bottom w:val="single" w:sz="8" w:color="EBFBFF"/>
            </w:tcBorders>
            <w:shd w:val="clear" w:color="auto" w:fill="EBFBFF"/>
          </w:tcPr>
          <w:p>
            <w:pPr>
              <w:jc w:val="right"/>
              <w:ind w:right="1"/>
              <w:spacing w:after="0"/>
              <w:rPr>
                <w:sz w:val="20"/>
                <w:szCs w:val="20"/>
                <w:color w:val="auto"/>
              </w:rPr>
            </w:pPr>
            <w:r>
              <w:rPr>
                <w:rFonts w:ascii="Arial" w:cs="Arial" w:eastAsia="Arial" w:hAnsi="Arial"/>
                <w:sz w:val="16"/>
                <w:szCs w:val="16"/>
                <w:color w:val="51555C"/>
              </w:rPr>
              <w:t>5,223</w:t>
            </w:r>
          </w:p>
        </w:tc>
        <w:tc>
          <w:tcPr>
            <w:tcW w:w="1180" w:type="dxa"/>
            <w:vAlign w:val="bottom"/>
            <w:tcBorders>
              <w:bottom w:val="single" w:sz="8" w:color="EBFBFF"/>
            </w:tcBorders>
            <w:shd w:val="clear" w:color="auto" w:fill="EBFBFF"/>
          </w:tcPr>
          <w:p>
            <w:pPr>
              <w:jc w:val="right"/>
              <w:ind w:right="200"/>
              <w:spacing w:after="0"/>
              <w:rPr>
                <w:sz w:val="20"/>
                <w:szCs w:val="20"/>
                <w:color w:val="auto"/>
              </w:rPr>
            </w:pPr>
            <w:r>
              <w:rPr>
                <w:rFonts w:ascii="Arial" w:cs="Arial" w:eastAsia="Arial" w:hAnsi="Arial"/>
                <w:sz w:val="16"/>
                <w:szCs w:val="16"/>
                <w:color w:val="51555C"/>
              </w:rPr>
              <w:t>10,446</w:t>
            </w:r>
          </w:p>
        </w:tc>
        <w:tc>
          <w:tcPr>
            <w:tcW w:w="7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20,892</w:t>
            </w:r>
          </w:p>
        </w:tc>
        <w:tc>
          <w:tcPr>
            <w:tcW w:w="280" w:type="dxa"/>
            <w:vAlign w:val="bottom"/>
            <w:tcBorders>
              <w:bottom w:val="single" w:sz="8" w:color="EBFBFF"/>
            </w:tcBorders>
            <w:shd w:val="clear" w:color="auto" w:fill="EBFBFF"/>
          </w:tcPr>
          <w:p>
            <w:pPr>
              <w:jc w:val="right"/>
              <w:ind w:right="59"/>
              <w:spacing w:after="0"/>
              <w:rPr>
                <w:sz w:val="20"/>
                <w:szCs w:val="20"/>
                <w:color w:val="auto"/>
              </w:rPr>
            </w:pPr>
            <w:r>
              <w:rPr>
                <w:rFonts w:ascii="Arial" w:cs="Arial" w:eastAsia="Arial" w:hAnsi="Arial"/>
                <w:sz w:val="11"/>
                <w:szCs w:val="11"/>
                <w:color w:val="51555C"/>
              </w:rPr>
              <w:t>(5)</w:t>
            </w:r>
          </w:p>
        </w:tc>
        <w:tc>
          <w:tcPr>
            <w:tcW w:w="1820" w:type="dxa"/>
            <w:vAlign w:val="bottom"/>
            <w:tcBorders>
              <w:bottom w:val="single" w:sz="8" w:color="EBFBFF"/>
            </w:tcBorders>
            <w:shd w:val="clear" w:color="auto" w:fill="EBFBFF"/>
          </w:tcPr>
          <w:p>
            <w:pPr>
              <w:spacing w:after="0"/>
              <w:rPr>
                <w:sz w:val="23"/>
                <w:szCs w:val="23"/>
                <w:color w:val="auto"/>
              </w:rPr>
            </w:pPr>
          </w:p>
        </w:tc>
        <w:tc>
          <w:tcPr>
            <w:tcW w:w="280" w:type="dxa"/>
            <w:vAlign w:val="bottom"/>
            <w:tcBorders>
              <w:bottom w:val="single" w:sz="8" w:color="EBFBFF"/>
            </w:tcBorders>
            <w:shd w:val="clear" w:color="auto" w:fill="EBFBFF"/>
          </w:tcPr>
          <w:p>
            <w:pPr>
              <w:spacing w:after="0"/>
              <w:rPr>
                <w:sz w:val="23"/>
                <w:szCs w:val="23"/>
                <w:color w:val="auto"/>
              </w:rPr>
            </w:pPr>
          </w:p>
        </w:tc>
        <w:tc>
          <w:tcPr>
            <w:tcW w:w="280" w:type="dxa"/>
            <w:vAlign w:val="bottom"/>
            <w:tcBorders>
              <w:bottom w:val="single" w:sz="8" w:color="EBFBFF"/>
            </w:tcBorders>
            <w:shd w:val="clear" w:color="auto" w:fill="EBFBFF"/>
          </w:tcPr>
          <w:p>
            <w:pPr>
              <w:spacing w:after="0"/>
              <w:rPr>
                <w:sz w:val="23"/>
                <w:szCs w:val="23"/>
                <w:color w:val="auto"/>
              </w:rPr>
            </w:pPr>
          </w:p>
        </w:tc>
        <w:tc>
          <w:tcPr>
            <w:tcW w:w="14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741,248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120" w:type="dxa"/>
            <w:vAlign w:val="bottom"/>
          </w:tcPr>
          <w:p>
            <w:pPr>
              <w:ind w:left="20"/>
              <w:spacing w:after="0"/>
              <w:rPr>
                <w:sz w:val="20"/>
                <w:szCs w:val="20"/>
                <w:color w:val="auto"/>
              </w:rPr>
            </w:pPr>
            <w:r>
              <w:rPr>
                <w:rFonts w:ascii="Arial" w:cs="Arial" w:eastAsia="Arial" w:hAnsi="Arial"/>
                <w:sz w:val="16"/>
                <w:szCs w:val="16"/>
                <w:b w:val="1"/>
                <w:bCs w:val="1"/>
                <w:color w:val="51555C"/>
              </w:rPr>
              <w:t>Chad M.</w:t>
            </w:r>
          </w:p>
        </w:tc>
        <w:tc>
          <w:tcPr>
            <w:tcW w:w="1100" w:type="dxa"/>
            <w:vAlign w:val="bottom"/>
          </w:tcPr>
          <w:p>
            <w:pPr>
              <w:jc w:val="right"/>
              <w:spacing w:after="0"/>
              <w:rPr>
                <w:sz w:val="20"/>
                <w:szCs w:val="20"/>
                <w:color w:val="auto"/>
              </w:rPr>
            </w:pPr>
            <w:r>
              <w:rPr>
                <w:rFonts w:ascii="Arial" w:cs="Arial" w:eastAsia="Arial" w:hAnsi="Arial"/>
                <w:sz w:val="16"/>
                <w:szCs w:val="16"/>
                <w:color w:val="51555C"/>
              </w:rPr>
              <w:t>2/19/2025</w:t>
            </w: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00" w:type="dxa"/>
            <w:vAlign w:val="bottom"/>
            <w:gridSpan w:val="2"/>
          </w:tcPr>
          <w:p>
            <w:pPr>
              <w:jc w:val="right"/>
              <w:ind w:right="8"/>
              <w:spacing w:after="0"/>
              <w:rPr>
                <w:sz w:val="20"/>
                <w:szCs w:val="20"/>
                <w:color w:val="auto"/>
              </w:rPr>
            </w:pPr>
            <w:r>
              <w:rPr>
                <w:rFonts w:ascii="Arial" w:cs="Arial" w:eastAsia="Arial" w:hAnsi="Arial"/>
                <w:sz w:val="16"/>
                <w:szCs w:val="16"/>
                <w:color w:val="51555C"/>
              </w:rPr>
              <w:t>7,168</w:t>
            </w:r>
          </w:p>
        </w:tc>
        <w:tc>
          <w:tcPr>
            <w:tcW w:w="280" w:type="dxa"/>
            <w:vAlign w:val="bottom"/>
          </w:tcPr>
          <w:p>
            <w:pPr>
              <w:jc w:val="right"/>
              <w:ind w:right="86"/>
              <w:spacing w:after="0"/>
              <w:rPr>
                <w:sz w:val="20"/>
                <w:szCs w:val="20"/>
                <w:color w:val="auto"/>
              </w:rPr>
            </w:pPr>
            <w:r>
              <w:rPr>
                <w:rFonts w:ascii="Arial" w:cs="Arial" w:eastAsia="Arial" w:hAnsi="Arial"/>
                <w:sz w:val="11"/>
                <w:szCs w:val="11"/>
                <w:color w:val="51555C"/>
                <w:w w:val="88"/>
              </w:rPr>
              <w:t>(2)</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51555C"/>
              </w:rPr>
              <w:t>491,151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120" w:type="dxa"/>
            <w:vAlign w:val="bottom"/>
          </w:tcPr>
          <w:p>
            <w:pPr>
              <w:ind w:left="20"/>
              <w:spacing w:after="0"/>
              <w:rPr>
                <w:sz w:val="20"/>
                <w:szCs w:val="20"/>
                <w:color w:val="auto"/>
              </w:rPr>
            </w:pPr>
            <w:r>
              <w:rPr>
                <w:rFonts w:ascii="Arial" w:cs="Arial" w:eastAsia="Arial" w:hAnsi="Arial"/>
                <w:sz w:val="16"/>
                <w:szCs w:val="16"/>
                <w:b w:val="1"/>
                <w:bCs w:val="1"/>
                <w:color w:val="51555C"/>
              </w:rPr>
              <w:t>Anderson</w:t>
            </w:r>
          </w:p>
        </w:tc>
        <w:tc>
          <w:tcPr>
            <w:tcW w:w="1100" w:type="dxa"/>
            <w:vAlign w:val="bottom"/>
          </w:tcPr>
          <w:p>
            <w:pPr>
              <w:jc w:val="right"/>
              <w:spacing w:after="0"/>
              <w:rPr>
                <w:sz w:val="20"/>
                <w:szCs w:val="20"/>
                <w:color w:val="auto"/>
              </w:rPr>
            </w:pPr>
            <w:r>
              <w:rPr>
                <w:rFonts w:ascii="Arial" w:cs="Arial" w:eastAsia="Arial" w:hAnsi="Arial"/>
                <w:sz w:val="16"/>
                <w:szCs w:val="16"/>
                <w:color w:val="51555C"/>
              </w:rPr>
              <w:t>2/19/2025</w:t>
            </w:r>
          </w:p>
        </w:tc>
        <w:tc>
          <w:tcPr>
            <w:tcW w:w="960" w:type="dxa"/>
            <w:vAlign w:val="bottom"/>
          </w:tcPr>
          <w:p>
            <w:pPr>
              <w:jc w:val="right"/>
              <w:ind w:right="1"/>
              <w:spacing w:after="0"/>
              <w:rPr>
                <w:sz w:val="20"/>
                <w:szCs w:val="20"/>
                <w:color w:val="auto"/>
              </w:rPr>
            </w:pPr>
            <w:r>
              <w:rPr>
                <w:rFonts w:ascii="Arial" w:cs="Arial" w:eastAsia="Arial" w:hAnsi="Arial"/>
                <w:sz w:val="16"/>
                <w:szCs w:val="16"/>
                <w:color w:val="51555C"/>
              </w:rPr>
              <w:t>1,792</w:t>
            </w:r>
          </w:p>
        </w:tc>
        <w:tc>
          <w:tcPr>
            <w:tcW w:w="1180" w:type="dxa"/>
            <w:vAlign w:val="bottom"/>
          </w:tcPr>
          <w:p>
            <w:pPr>
              <w:jc w:val="right"/>
              <w:ind w:right="200"/>
              <w:spacing w:after="0"/>
              <w:rPr>
                <w:sz w:val="20"/>
                <w:szCs w:val="20"/>
                <w:color w:val="auto"/>
              </w:rPr>
            </w:pPr>
            <w:r>
              <w:rPr>
                <w:rFonts w:ascii="Arial" w:cs="Arial" w:eastAsia="Arial" w:hAnsi="Arial"/>
                <w:sz w:val="16"/>
                <w:szCs w:val="16"/>
                <w:color w:val="51555C"/>
              </w:rPr>
              <w:t>3,584</w:t>
            </w:r>
          </w:p>
        </w:tc>
        <w:tc>
          <w:tcPr>
            <w:tcW w:w="760" w:type="dxa"/>
            <w:vAlign w:val="bottom"/>
          </w:tcPr>
          <w:p>
            <w:pPr>
              <w:jc w:val="right"/>
              <w:spacing w:after="0"/>
              <w:rPr>
                <w:sz w:val="20"/>
                <w:szCs w:val="20"/>
                <w:color w:val="auto"/>
              </w:rPr>
            </w:pPr>
            <w:r>
              <w:rPr>
                <w:rFonts w:ascii="Arial" w:cs="Arial" w:eastAsia="Arial" w:hAnsi="Arial"/>
                <w:sz w:val="16"/>
                <w:szCs w:val="16"/>
                <w:color w:val="51555C"/>
              </w:rPr>
              <w:t>7,168</w:t>
            </w:r>
          </w:p>
        </w:tc>
        <w:tc>
          <w:tcPr>
            <w:tcW w:w="280" w:type="dxa"/>
            <w:vAlign w:val="bottom"/>
          </w:tcPr>
          <w:p>
            <w:pPr>
              <w:jc w:val="right"/>
              <w:ind w:right="59"/>
              <w:spacing w:after="0"/>
              <w:rPr>
                <w:sz w:val="20"/>
                <w:szCs w:val="20"/>
                <w:color w:val="auto"/>
              </w:rPr>
            </w:pPr>
            <w:r>
              <w:rPr>
                <w:rFonts w:ascii="Arial" w:cs="Arial" w:eastAsia="Arial" w:hAnsi="Arial"/>
                <w:sz w:val="11"/>
                <w:szCs w:val="11"/>
                <w:color w:val="51555C"/>
              </w:rPr>
              <w:t>(3)</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51555C"/>
              </w:rPr>
              <w:t>245,576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51555C"/>
              </w:rPr>
              <w:t>2/19/2025</w:t>
            </w:r>
          </w:p>
        </w:tc>
        <w:tc>
          <w:tcPr>
            <w:tcW w:w="960" w:type="dxa"/>
            <w:vAlign w:val="bottom"/>
          </w:tcPr>
          <w:p>
            <w:pPr>
              <w:jc w:val="right"/>
              <w:ind w:right="1"/>
              <w:spacing w:after="0"/>
              <w:rPr>
                <w:sz w:val="20"/>
                <w:szCs w:val="20"/>
                <w:color w:val="auto"/>
              </w:rPr>
            </w:pPr>
            <w:r>
              <w:rPr>
                <w:rFonts w:ascii="Arial" w:cs="Arial" w:eastAsia="Arial" w:hAnsi="Arial"/>
                <w:sz w:val="16"/>
                <w:szCs w:val="16"/>
                <w:color w:val="51555C"/>
              </w:rPr>
              <w:t>1,792</w:t>
            </w:r>
          </w:p>
        </w:tc>
        <w:tc>
          <w:tcPr>
            <w:tcW w:w="1180" w:type="dxa"/>
            <w:vAlign w:val="bottom"/>
          </w:tcPr>
          <w:p>
            <w:pPr>
              <w:jc w:val="right"/>
              <w:ind w:right="200"/>
              <w:spacing w:after="0"/>
              <w:rPr>
                <w:sz w:val="20"/>
                <w:szCs w:val="20"/>
                <w:color w:val="auto"/>
              </w:rPr>
            </w:pPr>
            <w:r>
              <w:rPr>
                <w:rFonts w:ascii="Arial" w:cs="Arial" w:eastAsia="Arial" w:hAnsi="Arial"/>
                <w:sz w:val="16"/>
                <w:szCs w:val="16"/>
                <w:color w:val="51555C"/>
              </w:rPr>
              <w:t>3,584</w:t>
            </w:r>
          </w:p>
        </w:tc>
        <w:tc>
          <w:tcPr>
            <w:tcW w:w="760" w:type="dxa"/>
            <w:vAlign w:val="bottom"/>
          </w:tcPr>
          <w:p>
            <w:pPr>
              <w:jc w:val="right"/>
              <w:spacing w:after="0"/>
              <w:rPr>
                <w:sz w:val="20"/>
                <w:szCs w:val="20"/>
                <w:color w:val="auto"/>
              </w:rPr>
            </w:pPr>
            <w:r>
              <w:rPr>
                <w:rFonts w:ascii="Arial" w:cs="Arial" w:eastAsia="Arial" w:hAnsi="Arial"/>
                <w:sz w:val="16"/>
                <w:szCs w:val="16"/>
                <w:color w:val="51555C"/>
              </w:rPr>
              <w:t>7,168</w:t>
            </w:r>
          </w:p>
        </w:tc>
        <w:tc>
          <w:tcPr>
            <w:tcW w:w="280" w:type="dxa"/>
            <w:vAlign w:val="bottom"/>
          </w:tcPr>
          <w:p>
            <w:pPr>
              <w:jc w:val="right"/>
              <w:ind w:right="59"/>
              <w:spacing w:after="0"/>
              <w:rPr>
                <w:sz w:val="20"/>
                <w:szCs w:val="20"/>
                <w:color w:val="auto"/>
              </w:rPr>
            </w:pPr>
            <w:r>
              <w:rPr>
                <w:rFonts w:ascii="Arial" w:cs="Arial" w:eastAsia="Arial" w:hAnsi="Arial"/>
                <w:sz w:val="11"/>
                <w:szCs w:val="11"/>
                <w:color w:val="51555C"/>
              </w:rPr>
              <w:t>(4)</w:t>
            </w:r>
          </w:p>
        </w:tc>
        <w:tc>
          <w:tcPr>
            <w:tcW w:w="1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51555C"/>
              </w:rPr>
              <w:t>245,576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51555C"/>
              </w:rPr>
              <w:t>2/18/2025</w:t>
            </w:r>
          </w:p>
        </w:tc>
        <w:tc>
          <w:tcPr>
            <w:tcW w:w="960" w:type="dxa"/>
            <w:vAlign w:val="bottom"/>
          </w:tcPr>
          <w:p>
            <w:pPr>
              <w:jc w:val="right"/>
              <w:ind w:right="1"/>
              <w:spacing w:after="0"/>
              <w:rPr>
                <w:sz w:val="20"/>
                <w:szCs w:val="20"/>
                <w:color w:val="auto"/>
              </w:rPr>
            </w:pPr>
            <w:r>
              <w:rPr>
                <w:rFonts w:ascii="Arial" w:cs="Arial" w:eastAsia="Arial" w:hAnsi="Arial"/>
                <w:sz w:val="16"/>
                <w:szCs w:val="16"/>
                <w:color w:val="51555C"/>
              </w:rPr>
              <w:t>1,469</w:t>
            </w:r>
          </w:p>
        </w:tc>
        <w:tc>
          <w:tcPr>
            <w:tcW w:w="1180" w:type="dxa"/>
            <w:vAlign w:val="bottom"/>
          </w:tcPr>
          <w:p>
            <w:pPr>
              <w:jc w:val="right"/>
              <w:ind w:right="200"/>
              <w:spacing w:after="0"/>
              <w:rPr>
                <w:sz w:val="20"/>
                <w:szCs w:val="20"/>
                <w:color w:val="auto"/>
              </w:rPr>
            </w:pPr>
            <w:r>
              <w:rPr>
                <w:rFonts w:ascii="Arial" w:cs="Arial" w:eastAsia="Arial" w:hAnsi="Arial"/>
                <w:sz w:val="16"/>
                <w:szCs w:val="16"/>
                <w:color w:val="51555C"/>
              </w:rPr>
              <w:t>2,938</w:t>
            </w:r>
          </w:p>
        </w:tc>
        <w:tc>
          <w:tcPr>
            <w:tcW w:w="760" w:type="dxa"/>
            <w:vAlign w:val="bottom"/>
          </w:tcPr>
          <w:p>
            <w:pPr>
              <w:jc w:val="right"/>
              <w:spacing w:after="0"/>
              <w:rPr>
                <w:sz w:val="20"/>
                <w:szCs w:val="20"/>
                <w:color w:val="auto"/>
              </w:rPr>
            </w:pPr>
            <w:r>
              <w:rPr>
                <w:rFonts w:ascii="Arial" w:cs="Arial" w:eastAsia="Arial" w:hAnsi="Arial"/>
                <w:sz w:val="16"/>
                <w:szCs w:val="16"/>
                <w:color w:val="51555C"/>
              </w:rPr>
              <w:t>5,876</w:t>
            </w:r>
          </w:p>
        </w:tc>
        <w:tc>
          <w:tcPr>
            <w:tcW w:w="280" w:type="dxa"/>
            <w:vAlign w:val="bottom"/>
          </w:tcPr>
          <w:p>
            <w:pPr>
              <w:jc w:val="right"/>
              <w:ind w:right="59"/>
              <w:spacing w:after="0"/>
              <w:rPr>
                <w:sz w:val="20"/>
                <w:szCs w:val="20"/>
                <w:color w:val="auto"/>
              </w:rPr>
            </w:pPr>
            <w:r>
              <w:rPr>
                <w:rFonts w:ascii="Arial" w:cs="Arial" w:eastAsia="Arial" w:hAnsi="Arial"/>
                <w:sz w:val="11"/>
                <w:szCs w:val="11"/>
                <w:color w:val="51555C"/>
              </w:rPr>
              <w:t>(5)</w:t>
            </w:r>
          </w:p>
        </w:tc>
        <w:tc>
          <w:tcPr>
            <w:tcW w:w="1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51555C"/>
              </w:rPr>
              <w:t>208,480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51555C"/>
              </w:rPr>
              <w:t>5/2/2025</w:t>
            </w:r>
          </w:p>
        </w:tc>
        <w:tc>
          <w:tcPr>
            <w:tcW w:w="9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100" w:type="dxa"/>
            <w:vAlign w:val="bottom"/>
            <w:gridSpan w:val="2"/>
          </w:tcPr>
          <w:p>
            <w:pPr>
              <w:jc w:val="right"/>
              <w:ind w:right="8"/>
              <w:spacing w:after="0"/>
              <w:rPr>
                <w:sz w:val="20"/>
                <w:szCs w:val="20"/>
                <w:color w:val="auto"/>
              </w:rPr>
            </w:pPr>
            <w:r>
              <w:rPr>
                <w:rFonts w:ascii="Arial" w:cs="Arial" w:eastAsia="Arial" w:hAnsi="Arial"/>
                <w:sz w:val="16"/>
                <w:szCs w:val="16"/>
                <w:color w:val="51555C"/>
              </w:rPr>
              <w:t>11,227</w:t>
            </w:r>
          </w:p>
        </w:tc>
        <w:tc>
          <w:tcPr>
            <w:tcW w:w="280" w:type="dxa"/>
            <w:vAlign w:val="bottom"/>
          </w:tcPr>
          <w:p>
            <w:pPr>
              <w:jc w:val="right"/>
              <w:ind w:right="86"/>
              <w:spacing w:after="0"/>
              <w:rPr>
                <w:sz w:val="20"/>
                <w:szCs w:val="20"/>
                <w:color w:val="auto"/>
              </w:rPr>
            </w:pPr>
            <w:r>
              <w:rPr>
                <w:rFonts w:ascii="Arial" w:cs="Arial" w:eastAsia="Arial" w:hAnsi="Arial"/>
                <w:sz w:val="11"/>
                <w:szCs w:val="11"/>
                <w:color w:val="51555C"/>
                <w:w w:val="88"/>
              </w:rPr>
              <w:t>(6)</w:t>
            </w:r>
          </w:p>
        </w:tc>
        <w:tc>
          <w:tcPr>
            <w:tcW w:w="2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51555C"/>
              </w:rPr>
              <w:t>689,338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51555C"/>
              </w:rPr>
              <w:t>5/2/2025</w:t>
            </w:r>
          </w:p>
        </w:tc>
        <w:tc>
          <w:tcPr>
            <w:tcW w:w="960" w:type="dxa"/>
            <w:vAlign w:val="bottom"/>
          </w:tcPr>
          <w:p>
            <w:pPr>
              <w:jc w:val="right"/>
              <w:ind w:right="1"/>
              <w:spacing w:after="0"/>
              <w:rPr>
                <w:sz w:val="20"/>
                <w:szCs w:val="20"/>
                <w:color w:val="auto"/>
              </w:rPr>
            </w:pPr>
            <w:r>
              <w:rPr>
                <w:rFonts w:ascii="Arial" w:cs="Arial" w:eastAsia="Arial" w:hAnsi="Arial"/>
                <w:sz w:val="16"/>
                <w:szCs w:val="16"/>
                <w:color w:val="51555C"/>
              </w:rPr>
              <w:t>301</w:t>
            </w:r>
          </w:p>
        </w:tc>
        <w:tc>
          <w:tcPr>
            <w:tcW w:w="1180" w:type="dxa"/>
            <w:vAlign w:val="bottom"/>
          </w:tcPr>
          <w:p>
            <w:pPr>
              <w:jc w:val="right"/>
              <w:ind w:right="200"/>
              <w:spacing w:after="0"/>
              <w:rPr>
                <w:sz w:val="20"/>
                <w:szCs w:val="20"/>
                <w:color w:val="auto"/>
              </w:rPr>
            </w:pPr>
            <w:r>
              <w:rPr>
                <w:rFonts w:ascii="Arial" w:cs="Arial" w:eastAsia="Arial" w:hAnsi="Arial"/>
                <w:sz w:val="16"/>
                <w:szCs w:val="16"/>
                <w:color w:val="51555C"/>
              </w:rPr>
              <w:t>602</w:t>
            </w:r>
          </w:p>
        </w:tc>
        <w:tc>
          <w:tcPr>
            <w:tcW w:w="760" w:type="dxa"/>
            <w:vAlign w:val="bottom"/>
          </w:tcPr>
          <w:p>
            <w:pPr>
              <w:jc w:val="right"/>
              <w:spacing w:after="0"/>
              <w:rPr>
                <w:sz w:val="20"/>
                <w:szCs w:val="20"/>
                <w:color w:val="auto"/>
              </w:rPr>
            </w:pPr>
            <w:r>
              <w:rPr>
                <w:rFonts w:ascii="Arial" w:cs="Arial" w:eastAsia="Arial" w:hAnsi="Arial"/>
                <w:sz w:val="16"/>
                <w:szCs w:val="16"/>
                <w:color w:val="51555C"/>
              </w:rPr>
              <w:t>1,204</w:t>
            </w:r>
          </w:p>
        </w:tc>
        <w:tc>
          <w:tcPr>
            <w:tcW w:w="280" w:type="dxa"/>
            <w:vAlign w:val="bottom"/>
          </w:tcPr>
          <w:p>
            <w:pPr>
              <w:jc w:val="right"/>
              <w:ind w:right="59"/>
              <w:spacing w:after="0"/>
              <w:rPr>
                <w:sz w:val="20"/>
                <w:szCs w:val="20"/>
                <w:color w:val="auto"/>
              </w:rPr>
            </w:pPr>
            <w:r>
              <w:rPr>
                <w:rFonts w:ascii="Arial" w:cs="Arial" w:eastAsia="Arial" w:hAnsi="Arial"/>
                <w:sz w:val="11"/>
                <w:szCs w:val="11"/>
                <w:color w:val="51555C"/>
              </w:rPr>
              <w:t>(7)</w:t>
            </w:r>
          </w:p>
        </w:tc>
        <w:tc>
          <w:tcPr>
            <w:tcW w:w="1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51555C"/>
              </w:rPr>
              <w:t>36,963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
        </w:trPr>
        <w:tc>
          <w:tcPr>
            <w:tcW w:w="3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12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Anthony W.</w:t>
            </w:r>
          </w:p>
        </w:tc>
        <w:tc>
          <w:tcPr>
            <w:tcW w:w="1100" w:type="dxa"/>
            <w:vAlign w:val="bottom"/>
            <w:tcBorders>
              <w:right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2/19/2025</w:t>
            </w:r>
          </w:p>
        </w:tc>
        <w:tc>
          <w:tcPr>
            <w:tcW w:w="960" w:type="dxa"/>
            <w:vAlign w:val="bottom"/>
            <w:shd w:val="clear" w:color="auto" w:fill="EBFBFF"/>
          </w:tcPr>
          <w:p>
            <w:pPr>
              <w:spacing w:after="0"/>
              <w:rPr>
                <w:sz w:val="17"/>
                <w:szCs w:val="17"/>
                <w:color w:val="auto"/>
              </w:rPr>
            </w:pPr>
          </w:p>
        </w:tc>
        <w:tc>
          <w:tcPr>
            <w:tcW w:w="1180" w:type="dxa"/>
            <w:vAlign w:val="bottom"/>
            <w:shd w:val="clear" w:color="auto" w:fill="EBFBFF"/>
          </w:tcPr>
          <w:p>
            <w:pPr>
              <w:spacing w:after="0"/>
              <w:rPr>
                <w:sz w:val="17"/>
                <w:szCs w:val="17"/>
                <w:color w:val="auto"/>
              </w:rPr>
            </w:pPr>
          </w:p>
        </w:tc>
        <w:tc>
          <w:tcPr>
            <w:tcW w:w="760" w:type="dxa"/>
            <w:vAlign w:val="bottom"/>
            <w:shd w:val="clear" w:color="auto" w:fill="EBFBFF"/>
          </w:tcPr>
          <w:p>
            <w:pPr>
              <w:spacing w:after="0"/>
              <w:rPr>
                <w:sz w:val="17"/>
                <w:szCs w:val="17"/>
                <w:color w:val="auto"/>
              </w:rPr>
            </w:pPr>
          </w:p>
        </w:tc>
        <w:tc>
          <w:tcPr>
            <w:tcW w:w="2100" w:type="dxa"/>
            <w:vAlign w:val="bottom"/>
            <w:gridSpan w:val="2"/>
            <w:shd w:val="clear" w:color="auto" w:fill="EBFBFF"/>
          </w:tcPr>
          <w:p>
            <w:pPr>
              <w:jc w:val="right"/>
              <w:ind w:right="8"/>
              <w:spacing w:after="0"/>
              <w:rPr>
                <w:sz w:val="20"/>
                <w:szCs w:val="20"/>
                <w:color w:val="auto"/>
              </w:rPr>
            </w:pPr>
            <w:r>
              <w:rPr>
                <w:rFonts w:ascii="Arial" w:cs="Arial" w:eastAsia="Arial" w:hAnsi="Arial"/>
                <w:sz w:val="16"/>
                <w:szCs w:val="16"/>
                <w:color w:val="51555C"/>
              </w:rPr>
              <w:t>19,550</w:t>
            </w:r>
          </w:p>
        </w:tc>
        <w:tc>
          <w:tcPr>
            <w:tcW w:w="280" w:type="dxa"/>
            <w:vAlign w:val="bottom"/>
            <w:shd w:val="clear" w:color="auto" w:fill="EBFBFF"/>
          </w:tcPr>
          <w:p>
            <w:pPr>
              <w:jc w:val="right"/>
              <w:ind w:right="86"/>
              <w:spacing w:after="0"/>
              <w:rPr>
                <w:sz w:val="20"/>
                <w:szCs w:val="20"/>
                <w:color w:val="auto"/>
              </w:rPr>
            </w:pPr>
            <w:r>
              <w:rPr>
                <w:rFonts w:ascii="Arial" w:cs="Arial" w:eastAsia="Arial" w:hAnsi="Arial"/>
                <w:sz w:val="11"/>
                <w:szCs w:val="11"/>
                <w:color w:val="51555C"/>
                <w:w w:val="88"/>
              </w:rPr>
              <w:t>(2)</w:t>
            </w:r>
          </w:p>
        </w:tc>
        <w:tc>
          <w:tcPr>
            <w:tcW w:w="280" w:type="dxa"/>
            <w:vAlign w:val="bottom"/>
            <w:shd w:val="clear" w:color="auto" w:fill="EBFBFF"/>
          </w:tcPr>
          <w:p>
            <w:pPr>
              <w:spacing w:after="0"/>
              <w:rPr>
                <w:sz w:val="17"/>
                <w:szCs w:val="17"/>
                <w:color w:val="auto"/>
              </w:rPr>
            </w:pPr>
          </w:p>
        </w:tc>
        <w:tc>
          <w:tcPr>
            <w:tcW w:w="14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1,339,566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12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Boor</w:t>
            </w:r>
          </w:p>
        </w:tc>
        <w:tc>
          <w:tcPr>
            <w:tcW w:w="1100" w:type="dxa"/>
            <w:vAlign w:val="bottom"/>
            <w:tcBorders>
              <w:right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2/19/2025</w:t>
            </w:r>
          </w:p>
        </w:tc>
        <w:tc>
          <w:tcPr>
            <w:tcW w:w="960" w:type="dxa"/>
            <w:vAlign w:val="bottom"/>
            <w:shd w:val="clear" w:color="auto" w:fill="EBFBFF"/>
          </w:tcPr>
          <w:p>
            <w:pPr>
              <w:jc w:val="right"/>
              <w:ind w:right="1"/>
              <w:spacing w:after="0"/>
              <w:rPr>
                <w:sz w:val="20"/>
                <w:szCs w:val="20"/>
                <w:color w:val="auto"/>
              </w:rPr>
            </w:pPr>
            <w:r>
              <w:rPr>
                <w:rFonts w:ascii="Arial" w:cs="Arial" w:eastAsia="Arial" w:hAnsi="Arial"/>
                <w:sz w:val="16"/>
                <w:szCs w:val="16"/>
                <w:color w:val="51555C"/>
              </w:rPr>
              <w:t>4,888</w:t>
            </w:r>
          </w:p>
        </w:tc>
        <w:tc>
          <w:tcPr>
            <w:tcW w:w="1180" w:type="dxa"/>
            <w:vAlign w:val="bottom"/>
            <w:shd w:val="clear" w:color="auto" w:fill="EBFBFF"/>
          </w:tcPr>
          <w:p>
            <w:pPr>
              <w:jc w:val="right"/>
              <w:ind w:right="200"/>
              <w:spacing w:after="0"/>
              <w:rPr>
                <w:sz w:val="20"/>
                <w:szCs w:val="20"/>
                <w:color w:val="auto"/>
              </w:rPr>
            </w:pPr>
            <w:r>
              <w:rPr>
                <w:rFonts w:ascii="Arial" w:cs="Arial" w:eastAsia="Arial" w:hAnsi="Arial"/>
                <w:sz w:val="16"/>
                <w:szCs w:val="16"/>
                <w:color w:val="51555C"/>
              </w:rPr>
              <w:t>9,775</w:t>
            </w:r>
          </w:p>
        </w:tc>
        <w:tc>
          <w:tcPr>
            <w:tcW w:w="7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19,550</w:t>
            </w:r>
          </w:p>
        </w:tc>
        <w:tc>
          <w:tcPr>
            <w:tcW w:w="280" w:type="dxa"/>
            <w:vAlign w:val="bottom"/>
            <w:shd w:val="clear" w:color="auto" w:fill="EBFBFF"/>
          </w:tcPr>
          <w:p>
            <w:pPr>
              <w:jc w:val="right"/>
              <w:ind w:right="59"/>
              <w:spacing w:after="0"/>
              <w:rPr>
                <w:sz w:val="20"/>
                <w:szCs w:val="20"/>
                <w:color w:val="auto"/>
              </w:rPr>
            </w:pPr>
            <w:r>
              <w:rPr>
                <w:rFonts w:ascii="Arial" w:cs="Arial" w:eastAsia="Arial" w:hAnsi="Arial"/>
                <w:sz w:val="11"/>
                <w:szCs w:val="11"/>
                <w:color w:val="51555C"/>
              </w:rPr>
              <w:t>(3)</w:t>
            </w:r>
          </w:p>
        </w:tc>
        <w:tc>
          <w:tcPr>
            <w:tcW w:w="1820" w:type="dxa"/>
            <w:vAlign w:val="bottom"/>
            <w:shd w:val="clear" w:color="auto" w:fill="EBFBFF"/>
          </w:tcPr>
          <w:p>
            <w:pPr>
              <w:spacing w:after="0"/>
              <w:rPr>
                <w:sz w:val="24"/>
                <w:szCs w:val="24"/>
                <w:color w:val="auto"/>
              </w:rPr>
            </w:pPr>
          </w:p>
        </w:tc>
        <w:tc>
          <w:tcPr>
            <w:tcW w:w="280" w:type="dxa"/>
            <w:vAlign w:val="bottom"/>
            <w:shd w:val="clear" w:color="auto" w:fill="EBFBFF"/>
          </w:tcPr>
          <w:p>
            <w:pPr>
              <w:spacing w:after="0"/>
              <w:rPr>
                <w:sz w:val="24"/>
                <w:szCs w:val="24"/>
                <w:color w:val="auto"/>
              </w:rPr>
            </w:pPr>
          </w:p>
        </w:tc>
        <w:tc>
          <w:tcPr>
            <w:tcW w:w="280" w:type="dxa"/>
            <w:vAlign w:val="bottom"/>
            <w:shd w:val="clear" w:color="auto" w:fill="EBFBFF"/>
          </w:tcPr>
          <w:p>
            <w:pPr>
              <w:spacing w:after="0"/>
              <w:rPr>
                <w:sz w:val="24"/>
                <w:szCs w:val="24"/>
                <w:color w:val="auto"/>
              </w:rPr>
            </w:pPr>
          </w:p>
        </w:tc>
        <w:tc>
          <w:tcPr>
            <w:tcW w:w="14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669,783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EBFBFF"/>
          </w:tcPr>
          <w:p>
            <w:pPr>
              <w:spacing w:after="0"/>
              <w:rPr>
                <w:sz w:val="22"/>
                <w:szCs w:val="22"/>
                <w:color w:val="auto"/>
              </w:rPr>
            </w:pPr>
          </w:p>
        </w:tc>
        <w:tc>
          <w:tcPr>
            <w:tcW w:w="1100" w:type="dxa"/>
            <w:vAlign w:val="bottom"/>
            <w:tcBorders>
              <w:right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2/19/2025</w:t>
            </w:r>
          </w:p>
        </w:tc>
        <w:tc>
          <w:tcPr>
            <w:tcW w:w="960" w:type="dxa"/>
            <w:vAlign w:val="bottom"/>
            <w:shd w:val="clear" w:color="auto" w:fill="EBFBFF"/>
          </w:tcPr>
          <w:p>
            <w:pPr>
              <w:jc w:val="right"/>
              <w:ind w:right="1"/>
              <w:spacing w:after="0"/>
              <w:rPr>
                <w:sz w:val="20"/>
                <w:szCs w:val="20"/>
                <w:color w:val="auto"/>
              </w:rPr>
            </w:pPr>
            <w:r>
              <w:rPr>
                <w:rFonts w:ascii="Arial" w:cs="Arial" w:eastAsia="Arial" w:hAnsi="Arial"/>
                <w:sz w:val="16"/>
                <w:szCs w:val="16"/>
                <w:color w:val="51555C"/>
              </w:rPr>
              <w:t>4,888</w:t>
            </w:r>
          </w:p>
        </w:tc>
        <w:tc>
          <w:tcPr>
            <w:tcW w:w="1180" w:type="dxa"/>
            <w:vAlign w:val="bottom"/>
            <w:shd w:val="clear" w:color="auto" w:fill="EBFBFF"/>
          </w:tcPr>
          <w:p>
            <w:pPr>
              <w:jc w:val="right"/>
              <w:ind w:right="200"/>
              <w:spacing w:after="0"/>
              <w:rPr>
                <w:sz w:val="20"/>
                <w:szCs w:val="20"/>
                <w:color w:val="auto"/>
              </w:rPr>
            </w:pPr>
            <w:r>
              <w:rPr>
                <w:rFonts w:ascii="Arial" w:cs="Arial" w:eastAsia="Arial" w:hAnsi="Arial"/>
                <w:sz w:val="16"/>
                <w:szCs w:val="16"/>
                <w:color w:val="51555C"/>
              </w:rPr>
              <w:t>9,775</w:t>
            </w:r>
          </w:p>
        </w:tc>
        <w:tc>
          <w:tcPr>
            <w:tcW w:w="7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19,550</w:t>
            </w:r>
          </w:p>
        </w:tc>
        <w:tc>
          <w:tcPr>
            <w:tcW w:w="280" w:type="dxa"/>
            <w:vAlign w:val="bottom"/>
            <w:shd w:val="clear" w:color="auto" w:fill="EBFBFF"/>
          </w:tcPr>
          <w:p>
            <w:pPr>
              <w:jc w:val="right"/>
              <w:ind w:right="59"/>
              <w:spacing w:after="0"/>
              <w:rPr>
                <w:sz w:val="20"/>
                <w:szCs w:val="20"/>
                <w:color w:val="auto"/>
              </w:rPr>
            </w:pPr>
            <w:r>
              <w:rPr>
                <w:rFonts w:ascii="Arial" w:cs="Arial" w:eastAsia="Arial" w:hAnsi="Arial"/>
                <w:sz w:val="11"/>
                <w:szCs w:val="11"/>
                <w:color w:val="51555C"/>
              </w:rPr>
              <w:t>(4)</w:t>
            </w:r>
          </w:p>
        </w:tc>
        <w:tc>
          <w:tcPr>
            <w:tcW w:w="1820" w:type="dxa"/>
            <w:vAlign w:val="bottom"/>
            <w:shd w:val="clear" w:color="auto" w:fill="EBFBFF"/>
          </w:tcPr>
          <w:p>
            <w:pPr>
              <w:spacing w:after="0"/>
              <w:rPr>
                <w:sz w:val="22"/>
                <w:szCs w:val="22"/>
                <w:color w:val="auto"/>
              </w:rPr>
            </w:pPr>
          </w:p>
        </w:tc>
        <w:tc>
          <w:tcPr>
            <w:tcW w:w="280" w:type="dxa"/>
            <w:vAlign w:val="bottom"/>
            <w:shd w:val="clear" w:color="auto" w:fill="EBFBFF"/>
          </w:tcPr>
          <w:p>
            <w:pPr>
              <w:spacing w:after="0"/>
              <w:rPr>
                <w:sz w:val="22"/>
                <w:szCs w:val="22"/>
                <w:color w:val="auto"/>
              </w:rPr>
            </w:pPr>
          </w:p>
        </w:tc>
        <w:tc>
          <w:tcPr>
            <w:tcW w:w="280" w:type="dxa"/>
            <w:vAlign w:val="bottom"/>
            <w:shd w:val="clear" w:color="auto" w:fill="EBFBFF"/>
          </w:tcPr>
          <w:p>
            <w:pPr>
              <w:spacing w:after="0"/>
              <w:rPr>
                <w:sz w:val="22"/>
                <w:szCs w:val="22"/>
                <w:color w:val="auto"/>
              </w:rPr>
            </w:pPr>
          </w:p>
        </w:tc>
        <w:tc>
          <w:tcPr>
            <w:tcW w:w="14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669,783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120" w:type="dxa"/>
            <w:vAlign w:val="bottom"/>
            <w:tcBorders>
              <w:bottom w:val="single" w:sz="8" w:color="EBFBFF"/>
            </w:tcBorders>
            <w:shd w:val="clear" w:color="auto" w:fill="EBFBFF"/>
          </w:tcPr>
          <w:p>
            <w:pPr>
              <w:spacing w:after="0"/>
              <w:rPr>
                <w:sz w:val="23"/>
                <w:szCs w:val="23"/>
                <w:color w:val="auto"/>
              </w:rPr>
            </w:pPr>
          </w:p>
        </w:tc>
        <w:tc>
          <w:tcPr>
            <w:tcW w:w="110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2/18/2025</w:t>
            </w:r>
          </w:p>
        </w:tc>
        <w:tc>
          <w:tcPr>
            <w:tcW w:w="960" w:type="dxa"/>
            <w:vAlign w:val="bottom"/>
            <w:tcBorders>
              <w:bottom w:val="single" w:sz="8" w:color="EBFBFF"/>
            </w:tcBorders>
            <w:shd w:val="clear" w:color="auto" w:fill="EBFBFF"/>
          </w:tcPr>
          <w:p>
            <w:pPr>
              <w:jc w:val="right"/>
              <w:ind w:right="1"/>
              <w:spacing w:after="0"/>
              <w:rPr>
                <w:sz w:val="20"/>
                <w:szCs w:val="20"/>
                <w:color w:val="auto"/>
              </w:rPr>
            </w:pPr>
            <w:r>
              <w:rPr>
                <w:rFonts w:ascii="Arial" w:cs="Arial" w:eastAsia="Arial" w:hAnsi="Arial"/>
                <w:sz w:val="16"/>
                <w:szCs w:val="16"/>
                <w:color w:val="51555C"/>
              </w:rPr>
              <w:t>2,540</w:t>
            </w:r>
          </w:p>
        </w:tc>
        <w:tc>
          <w:tcPr>
            <w:tcW w:w="1180" w:type="dxa"/>
            <w:vAlign w:val="bottom"/>
            <w:tcBorders>
              <w:bottom w:val="single" w:sz="8" w:color="EBFBFF"/>
            </w:tcBorders>
            <w:shd w:val="clear" w:color="auto" w:fill="EBFBFF"/>
          </w:tcPr>
          <w:p>
            <w:pPr>
              <w:jc w:val="right"/>
              <w:ind w:right="200"/>
              <w:spacing w:after="0"/>
              <w:rPr>
                <w:sz w:val="20"/>
                <w:szCs w:val="20"/>
                <w:color w:val="auto"/>
              </w:rPr>
            </w:pPr>
            <w:r>
              <w:rPr>
                <w:rFonts w:ascii="Arial" w:cs="Arial" w:eastAsia="Arial" w:hAnsi="Arial"/>
                <w:sz w:val="16"/>
                <w:szCs w:val="16"/>
                <w:color w:val="51555C"/>
              </w:rPr>
              <w:t>5,079</w:t>
            </w:r>
          </w:p>
        </w:tc>
        <w:tc>
          <w:tcPr>
            <w:tcW w:w="7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10,158</w:t>
            </w:r>
          </w:p>
        </w:tc>
        <w:tc>
          <w:tcPr>
            <w:tcW w:w="280" w:type="dxa"/>
            <w:vAlign w:val="bottom"/>
            <w:tcBorders>
              <w:bottom w:val="single" w:sz="8" w:color="EBFBFF"/>
            </w:tcBorders>
            <w:shd w:val="clear" w:color="auto" w:fill="EBFBFF"/>
          </w:tcPr>
          <w:p>
            <w:pPr>
              <w:jc w:val="right"/>
              <w:ind w:right="59"/>
              <w:spacing w:after="0"/>
              <w:rPr>
                <w:sz w:val="20"/>
                <w:szCs w:val="20"/>
                <w:color w:val="auto"/>
              </w:rPr>
            </w:pPr>
            <w:r>
              <w:rPr>
                <w:rFonts w:ascii="Arial" w:cs="Arial" w:eastAsia="Arial" w:hAnsi="Arial"/>
                <w:sz w:val="11"/>
                <w:szCs w:val="11"/>
                <w:color w:val="51555C"/>
              </w:rPr>
              <w:t>(5)</w:t>
            </w:r>
          </w:p>
        </w:tc>
        <w:tc>
          <w:tcPr>
            <w:tcW w:w="1820" w:type="dxa"/>
            <w:vAlign w:val="bottom"/>
            <w:tcBorders>
              <w:bottom w:val="single" w:sz="8" w:color="EBFBFF"/>
            </w:tcBorders>
            <w:shd w:val="clear" w:color="auto" w:fill="EBFBFF"/>
          </w:tcPr>
          <w:p>
            <w:pPr>
              <w:spacing w:after="0"/>
              <w:rPr>
                <w:sz w:val="23"/>
                <w:szCs w:val="23"/>
                <w:color w:val="auto"/>
              </w:rPr>
            </w:pPr>
          </w:p>
        </w:tc>
        <w:tc>
          <w:tcPr>
            <w:tcW w:w="280" w:type="dxa"/>
            <w:vAlign w:val="bottom"/>
            <w:tcBorders>
              <w:bottom w:val="single" w:sz="8" w:color="EBFBFF"/>
            </w:tcBorders>
            <w:shd w:val="clear" w:color="auto" w:fill="EBFBFF"/>
          </w:tcPr>
          <w:p>
            <w:pPr>
              <w:spacing w:after="0"/>
              <w:rPr>
                <w:sz w:val="23"/>
                <w:szCs w:val="23"/>
                <w:color w:val="auto"/>
              </w:rPr>
            </w:pPr>
          </w:p>
        </w:tc>
        <w:tc>
          <w:tcPr>
            <w:tcW w:w="280" w:type="dxa"/>
            <w:vAlign w:val="bottom"/>
            <w:tcBorders>
              <w:bottom w:val="single" w:sz="8" w:color="EBFBFF"/>
            </w:tcBorders>
            <w:shd w:val="clear" w:color="auto" w:fill="EBFBFF"/>
          </w:tcPr>
          <w:p>
            <w:pPr>
              <w:spacing w:after="0"/>
              <w:rPr>
                <w:sz w:val="23"/>
                <w:szCs w:val="23"/>
                <w:color w:val="auto"/>
              </w:rPr>
            </w:pPr>
          </w:p>
        </w:tc>
        <w:tc>
          <w:tcPr>
            <w:tcW w:w="14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360,406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120" w:type="dxa"/>
            <w:vAlign w:val="bottom"/>
          </w:tcPr>
          <w:p>
            <w:pPr>
              <w:ind w:left="20"/>
              <w:spacing w:after="0"/>
              <w:rPr>
                <w:sz w:val="20"/>
                <w:szCs w:val="20"/>
                <w:color w:val="auto"/>
              </w:rPr>
            </w:pPr>
            <w:r>
              <w:rPr>
                <w:rFonts w:ascii="Arial" w:cs="Arial" w:eastAsia="Arial" w:hAnsi="Arial"/>
                <w:sz w:val="16"/>
                <w:szCs w:val="16"/>
                <w:b w:val="1"/>
                <w:bCs w:val="1"/>
                <w:color w:val="51555C"/>
              </w:rPr>
              <w:t>David J.</w:t>
            </w:r>
          </w:p>
        </w:tc>
        <w:tc>
          <w:tcPr>
            <w:tcW w:w="1100" w:type="dxa"/>
            <w:vAlign w:val="bottom"/>
          </w:tcPr>
          <w:p>
            <w:pPr>
              <w:jc w:val="right"/>
              <w:spacing w:after="0"/>
              <w:rPr>
                <w:sz w:val="20"/>
                <w:szCs w:val="20"/>
                <w:color w:val="auto"/>
              </w:rPr>
            </w:pPr>
            <w:r>
              <w:rPr>
                <w:rFonts w:ascii="Arial" w:cs="Arial" w:eastAsia="Arial" w:hAnsi="Arial"/>
                <w:sz w:val="16"/>
                <w:szCs w:val="16"/>
                <w:color w:val="51555C"/>
              </w:rPr>
              <w:t>2/19/2025</w:t>
            </w: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00" w:type="dxa"/>
            <w:vAlign w:val="bottom"/>
            <w:gridSpan w:val="2"/>
          </w:tcPr>
          <w:p>
            <w:pPr>
              <w:jc w:val="right"/>
              <w:ind w:right="8"/>
              <w:spacing w:after="0"/>
              <w:rPr>
                <w:sz w:val="20"/>
                <w:szCs w:val="20"/>
                <w:color w:val="auto"/>
              </w:rPr>
            </w:pPr>
            <w:r>
              <w:rPr>
                <w:rFonts w:ascii="Arial" w:cs="Arial" w:eastAsia="Arial" w:hAnsi="Arial"/>
                <w:sz w:val="16"/>
                <w:szCs w:val="16"/>
                <w:color w:val="51555C"/>
              </w:rPr>
              <w:t>16,943</w:t>
            </w:r>
          </w:p>
        </w:tc>
        <w:tc>
          <w:tcPr>
            <w:tcW w:w="280" w:type="dxa"/>
            <w:vAlign w:val="bottom"/>
          </w:tcPr>
          <w:p>
            <w:pPr>
              <w:jc w:val="right"/>
              <w:ind w:right="86"/>
              <w:spacing w:after="0"/>
              <w:rPr>
                <w:sz w:val="20"/>
                <w:szCs w:val="20"/>
                <w:color w:val="auto"/>
              </w:rPr>
            </w:pPr>
            <w:r>
              <w:rPr>
                <w:rFonts w:ascii="Arial" w:cs="Arial" w:eastAsia="Arial" w:hAnsi="Arial"/>
                <w:sz w:val="11"/>
                <w:szCs w:val="11"/>
                <w:color w:val="51555C"/>
                <w:w w:val="88"/>
              </w:rPr>
              <w:t>(2)</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51555C"/>
              </w:rPr>
              <w:t>1,160,934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120" w:type="dxa"/>
            <w:vAlign w:val="bottom"/>
          </w:tcPr>
          <w:p>
            <w:pPr>
              <w:ind w:left="20"/>
              <w:spacing w:after="0"/>
              <w:rPr>
                <w:sz w:val="20"/>
                <w:szCs w:val="20"/>
                <w:color w:val="auto"/>
              </w:rPr>
            </w:pPr>
            <w:r>
              <w:rPr>
                <w:rFonts w:ascii="Arial" w:cs="Arial" w:eastAsia="Arial" w:hAnsi="Arial"/>
                <w:sz w:val="16"/>
                <w:szCs w:val="16"/>
                <w:b w:val="1"/>
                <w:bCs w:val="1"/>
                <w:color w:val="51555C"/>
              </w:rPr>
              <w:t>Benjamin</w:t>
            </w:r>
          </w:p>
        </w:tc>
        <w:tc>
          <w:tcPr>
            <w:tcW w:w="1100" w:type="dxa"/>
            <w:vAlign w:val="bottom"/>
          </w:tcPr>
          <w:p>
            <w:pPr>
              <w:jc w:val="right"/>
              <w:spacing w:after="0"/>
              <w:rPr>
                <w:sz w:val="20"/>
                <w:szCs w:val="20"/>
                <w:color w:val="auto"/>
              </w:rPr>
            </w:pPr>
            <w:r>
              <w:rPr>
                <w:rFonts w:ascii="Arial" w:cs="Arial" w:eastAsia="Arial" w:hAnsi="Arial"/>
                <w:sz w:val="16"/>
                <w:szCs w:val="16"/>
                <w:color w:val="51555C"/>
              </w:rPr>
              <w:t>2/19/2025</w:t>
            </w:r>
          </w:p>
        </w:tc>
        <w:tc>
          <w:tcPr>
            <w:tcW w:w="960" w:type="dxa"/>
            <w:vAlign w:val="bottom"/>
          </w:tcPr>
          <w:p>
            <w:pPr>
              <w:jc w:val="right"/>
              <w:ind w:right="1"/>
              <w:spacing w:after="0"/>
              <w:rPr>
                <w:sz w:val="20"/>
                <w:szCs w:val="20"/>
                <w:color w:val="auto"/>
              </w:rPr>
            </w:pPr>
            <w:r>
              <w:rPr>
                <w:rFonts w:ascii="Arial" w:cs="Arial" w:eastAsia="Arial" w:hAnsi="Arial"/>
                <w:sz w:val="16"/>
                <w:szCs w:val="16"/>
                <w:color w:val="51555C"/>
              </w:rPr>
              <w:t>4,236</w:t>
            </w:r>
          </w:p>
        </w:tc>
        <w:tc>
          <w:tcPr>
            <w:tcW w:w="1180" w:type="dxa"/>
            <w:vAlign w:val="bottom"/>
          </w:tcPr>
          <w:p>
            <w:pPr>
              <w:jc w:val="right"/>
              <w:ind w:right="200"/>
              <w:spacing w:after="0"/>
              <w:rPr>
                <w:sz w:val="20"/>
                <w:szCs w:val="20"/>
                <w:color w:val="auto"/>
              </w:rPr>
            </w:pPr>
            <w:r>
              <w:rPr>
                <w:rFonts w:ascii="Arial" w:cs="Arial" w:eastAsia="Arial" w:hAnsi="Arial"/>
                <w:sz w:val="16"/>
                <w:szCs w:val="16"/>
                <w:color w:val="51555C"/>
              </w:rPr>
              <w:t>8,472</w:t>
            </w:r>
          </w:p>
        </w:tc>
        <w:tc>
          <w:tcPr>
            <w:tcW w:w="760" w:type="dxa"/>
            <w:vAlign w:val="bottom"/>
          </w:tcPr>
          <w:p>
            <w:pPr>
              <w:jc w:val="right"/>
              <w:spacing w:after="0"/>
              <w:rPr>
                <w:sz w:val="20"/>
                <w:szCs w:val="20"/>
                <w:color w:val="auto"/>
              </w:rPr>
            </w:pPr>
            <w:r>
              <w:rPr>
                <w:rFonts w:ascii="Arial" w:cs="Arial" w:eastAsia="Arial" w:hAnsi="Arial"/>
                <w:sz w:val="16"/>
                <w:szCs w:val="16"/>
                <w:color w:val="51555C"/>
              </w:rPr>
              <w:t>16,944</w:t>
            </w:r>
          </w:p>
        </w:tc>
        <w:tc>
          <w:tcPr>
            <w:tcW w:w="280" w:type="dxa"/>
            <w:vAlign w:val="bottom"/>
          </w:tcPr>
          <w:p>
            <w:pPr>
              <w:jc w:val="right"/>
              <w:ind w:right="59"/>
              <w:spacing w:after="0"/>
              <w:rPr>
                <w:sz w:val="20"/>
                <w:szCs w:val="20"/>
                <w:color w:val="auto"/>
              </w:rPr>
            </w:pPr>
            <w:r>
              <w:rPr>
                <w:rFonts w:ascii="Arial" w:cs="Arial" w:eastAsia="Arial" w:hAnsi="Arial"/>
                <w:sz w:val="11"/>
                <w:szCs w:val="11"/>
                <w:color w:val="51555C"/>
              </w:rPr>
              <w:t>(3)</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51555C"/>
              </w:rPr>
              <w:t>580,501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51555C"/>
              </w:rPr>
              <w:t>2/19/2025</w:t>
            </w:r>
          </w:p>
        </w:tc>
        <w:tc>
          <w:tcPr>
            <w:tcW w:w="960" w:type="dxa"/>
            <w:vAlign w:val="bottom"/>
          </w:tcPr>
          <w:p>
            <w:pPr>
              <w:jc w:val="right"/>
              <w:ind w:right="1"/>
              <w:spacing w:after="0"/>
              <w:rPr>
                <w:sz w:val="20"/>
                <w:szCs w:val="20"/>
                <w:color w:val="auto"/>
              </w:rPr>
            </w:pPr>
            <w:r>
              <w:rPr>
                <w:rFonts w:ascii="Arial" w:cs="Arial" w:eastAsia="Arial" w:hAnsi="Arial"/>
                <w:sz w:val="16"/>
                <w:szCs w:val="16"/>
                <w:color w:val="51555C"/>
              </w:rPr>
              <w:t>4,236</w:t>
            </w:r>
          </w:p>
        </w:tc>
        <w:tc>
          <w:tcPr>
            <w:tcW w:w="1180" w:type="dxa"/>
            <w:vAlign w:val="bottom"/>
          </w:tcPr>
          <w:p>
            <w:pPr>
              <w:jc w:val="right"/>
              <w:ind w:right="200"/>
              <w:spacing w:after="0"/>
              <w:rPr>
                <w:sz w:val="20"/>
                <w:szCs w:val="20"/>
                <w:color w:val="auto"/>
              </w:rPr>
            </w:pPr>
            <w:r>
              <w:rPr>
                <w:rFonts w:ascii="Arial" w:cs="Arial" w:eastAsia="Arial" w:hAnsi="Arial"/>
                <w:sz w:val="16"/>
                <w:szCs w:val="16"/>
                <w:color w:val="51555C"/>
              </w:rPr>
              <w:t>8,472</w:t>
            </w:r>
          </w:p>
        </w:tc>
        <w:tc>
          <w:tcPr>
            <w:tcW w:w="760" w:type="dxa"/>
            <w:vAlign w:val="bottom"/>
          </w:tcPr>
          <w:p>
            <w:pPr>
              <w:jc w:val="right"/>
              <w:spacing w:after="0"/>
              <w:rPr>
                <w:sz w:val="20"/>
                <w:szCs w:val="20"/>
                <w:color w:val="auto"/>
              </w:rPr>
            </w:pPr>
            <w:r>
              <w:rPr>
                <w:rFonts w:ascii="Arial" w:cs="Arial" w:eastAsia="Arial" w:hAnsi="Arial"/>
                <w:sz w:val="16"/>
                <w:szCs w:val="16"/>
                <w:color w:val="51555C"/>
              </w:rPr>
              <w:t>16,944</w:t>
            </w:r>
          </w:p>
        </w:tc>
        <w:tc>
          <w:tcPr>
            <w:tcW w:w="280" w:type="dxa"/>
            <w:vAlign w:val="bottom"/>
          </w:tcPr>
          <w:p>
            <w:pPr>
              <w:jc w:val="right"/>
              <w:ind w:right="59"/>
              <w:spacing w:after="0"/>
              <w:rPr>
                <w:sz w:val="20"/>
                <w:szCs w:val="20"/>
                <w:color w:val="auto"/>
              </w:rPr>
            </w:pPr>
            <w:r>
              <w:rPr>
                <w:rFonts w:ascii="Arial" w:cs="Arial" w:eastAsia="Arial" w:hAnsi="Arial"/>
                <w:sz w:val="11"/>
                <w:szCs w:val="11"/>
                <w:color w:val="51555C"/>
              </w:rPr>
              <w:t>(4)</w:t>
            </w:r>
          </w:p>
        </w:tc>
        <w:tc>
          <w:tcPr>
            <w:tcW w:w="1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51555C"/>
              </w:rPr>
              <w:t>580,501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51555C"/>
              </w:rPr>
              <w:t>2/18/2025</w:t>
            </w:r>
          </w:p>
        </w:tc>
        <w:tc>
          <w:tcPr>
            <w:tcW w:w="960" w:type="dxa"/>
            <w:vAlign w:val="bottom"/>
          </w:tcPr>
          <w:p>
            <w:pPr>
              <w:jc w:val="right"/>
              <w:ind w:right="1"/>
              <w:spacing w:after="0"/>
              <w:rPr>
                <w:sz w:val="20"/>
                <w:szCs w:val="20"/>
                <w:color w:val="auto"/>
              </w:rPr>
            </w:pPr>
            <w:r>
              <w:rPr>
                <w:rFonts w:ascii="Arial" w:cs="Arial" w:eastAsia="Arial" w:hAnsi="Arial"/>
                <w:sz w:val="16"/>
                <w:szCs w:val="16"/>
                <w:color w:val="51555C"/>
              </w:rPr>
              <w:t>2,272</w:t>
            </w:r>
          </w:p>
        </w:tc>
        <w:tc>
          <w:tcPr>
            <w:tcW w:w="1180" w:type="dxa"/>
            <w:vAlign w:val="bottom"/>
          </w:tcPr>
          <w:p>
            <w:pPr>
              <w:jc w:val="right"/>
              <w:ind w:right="200"/>
              <w:spacing w:after="0"/>
              <w:rPr>
                <w:sz w:val="20"/>
                <w:szCs w:val="20"/>
                <w:color w:val="auto"/>
              </w:rPr>
            </w:pPr>
            <w:r>
              <w:rPr>
                <w:rFonts w:ascii="Arial" w:cs="Arial" w:eastAsia="Arial" w:hAnsi="Arial"/>
                <w:sz w:val="16"/>
                <w:szCs w:val="16"/>
                <w:color w:val="51555C"/>
              </w:rPr>
              <w:t>4,544</w:t>
            </w:r>
          </w:p>
        </w:tc>
        <w:tc>
          <w:tcPr>
            <w:tcW w:w="760" w:type="dxa"/>
            <w:vAlign w:val="bottom"/>
          </w:tcPr>
          <w:p>
            <w:pPr>
              <w:jc w:val="right"/>
              <w:spacing w:after="0"/>
              <w:rPr>
                <w:sz w:val="20"/>
                <w:szCs w:val="20"/>
                <w:color w:val="auto"/>
              </w:rPr>
            </w:pPr>
            <w:r>
              <w:rPr>
                <w:rFonts w:ascii="Arial" w:cs="Arial" w:eastAsia="Arial" w:hAnsi="Arial"/>
                <w:sz w:val="16"/>
                <w:szCs w:val="16"/>
                <w:color w:val="51555C"/>
              </w:rPr>
              <w:t>9,088</w:t>
            </w:r>
          </w:p>
        </w:tc>
        <w:tc>
          <w:tcPr>
            <w:tcW w:w="280" w:type="dxa"/>
            <w:vAlign w:val="bottom"/>
          </w:tcPr>
          <w:p>
            <w:pPr>
              <w:jc w:val="right"/>
              <w:ind w:right="59"/>
              <w:spacing w:after="0"/>
              <w:rPr>
                <w:sz w:val="20"/>
                <w:szCs w:val="20"/>
                <w:color w:val="auto"/>
              </w:rPr>
            </w:pPr>
            <w:r>
              <w:rPr>
                <w:rFonts w:ascii="Arial" w:cs="Arial" w:eastAsia="Arial" w:hAnsi="Arial"/>
                <w:sz w:val="11"/>
                <w:szCs w:val="11"/>
                <w:color w:val="51555C"/>
              </w:rPr>
              <w:t>(5)</w:t>
            </w:r>
          </w:p>
        </w:tc>
        <w:tc>
          <w:tcPr>
            <w:tcW w:w="1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51555C"/>
              </w:rPr>
              <w:t>322,442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
        </w:trPr>
        <w:tc>
          <w:tcPr>
            <w:tcW w:w="3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12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Kevin P.</w:t>
            </w:r>
          </w:p>
        </w:tc>
        <w:tc>
          <w:tcPr>
            <w:tcW w:w="1100" w:type="dxa"/>
            <w:vAlign w:val="bottom"/>
            <w:tcBorders>
              <w:right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2/19/2025</w:t>
            </w:r>
          </w:p>
        </w:tc>
        <w:tc>
          <w:tcPr>
            <w:tcW w:w="960" w:type="dxa"/>
            <w:vAlign w:val="bottom"/>
            <w:shd w:val="clear" w:color="auto" w:fill="EBFBFF"/>
          </w:tcPr>
          <w:p>
            <w:pPr>
              <w:spacing w:after="0"/>
              <w:rPr>
                <w:sz w:val="17"/>
                <w:szCs w:val="17"/>
                <w:color w:val="auto"/>
              </w:rPr>
            </w:pPr>
          </w:p>
        </w:tc>
        <w:tc>
          <w:tcPr>
            <w:tcW w:w="1180" w:type="dxa"/>
            <w:vAlign w:val="bottom"/>
            <w:shd w:val="clear" w:color="auto" w:fill="EBFBFF"/>
          </w:tcPr>
          <w:p>
            <w:pPr>
              <w:spacing w:after="0"/>
              <w:rPr>
                <w:sz w:val="17"/>
                <w:szCs w:val="17"/>
                <w:color w:val="auto"/>
              </w:rPr>
            </w:pPr>
          </w:p>
        </w:tc>
        <w:tc>
          <w:tcPr>
            <w:tcW w:w="760" w:type="dxa"/>
            <w:vAlign w:val="bottom"/>
            <w:shd w:val="clear" w:color="auto" w:fill="EBFBFF"/>
          </w:tcPr>
          <w:p>
            <w:pPr>
              <w:spacing w:after="0"/>
              <w:rPr>
                <w:sz w:val="17"/>
                <w:szCs w:val="17"/>
                <w:color w:val="auto"/>
              </w:rPr>
            </w:pPr>
          </w:p>
        </w:tc>
        <w:tc>
          <w:tcPr>
            <w:tcW w:w="2100" w:type="dxa"/>
            <w:vAlign w:val="bottom"/>
            <w:gridSpan w:val="2"/>
            <w:shd w:val="clear" w:color="auto" w:fill="EBFBFF"/>
          </w:tcPr>
          <w:p>
            <w:pPr>
              <w:jc w:val="right"/>
              <w:ind w:right="8"/>
              <w:spacing w:after="0"/>
              <w:rPr>
                <w:sz w:val="20"/>
                <w:szCs w:val="20"/>
                <w:color w:val="auto"/>
              </w:rPr>
            </w:pPr>
            <w:r>
              <w:rPr>
                <w:rFonts w:ascii="Arial" w:cs="Arial" w:eastAsia="Arial" w:hAnsi="Arial"/>
                <w:sz w:val="16"/>
                <w:szCs w:val="16"/>
                <w:color w:val="51555C"/>
              </w:rPr>
              <w:t>21,179</w:t>
            </w:r>
          </w:p>
        </w:tc>
        <w:tc>
          <w:tcPr>
            <w:tcW w:w="280" w:type="dxa"/>
            <w:vAlign w:val="bottom"/>
            <w:shd w:val="clear" w:color="auto" w:fill="EBFBFF"/>
          </w:tcPr>
          <w:p>
            <w:pPr>
              <w:jc w:val="right"/>
              <w:ind w:right="86"/>
              <w:spacing w:after="0"/>
              <w:rPr>
                <w:sz w:val="20"/>
                <w:szCs w:val="20"/>
                <w:color w:val="auto"/>
              </w:rPr>
            </w:pPr>
            <w:r>
              <w:rPr>
                <w:rFonts w:ascii="Arial" w:cs="Arial" w:eastAsia="Arial" w:hAnsi="Arial"/>
                <w:sz w:val="11"/>
                <w:szCs w:val="11"/>
                <w:color w:val="51555C"/>
                <w:w w:val="88"/>
              </w:rPr>
              <w:t>(2)</w:t>
            </w:r>
          </w:p>
        </w:tc>
        <w:tc>
          <w:tcPr>
            <w:tcW w:w="280" w:type="dxa"/>
            <w:vAlign w:val="bottom"/>
            <w:shd w:val="clear" w:color="auto" w:fill="EBFBFF"/>
          </w:tcPr>
          <w:p>
            <w:pPr>
              <w:spacing w:after="0"/>
              <w:rPr>
                <w:sz w:val="17"/>
                <w:szCs w:val="17"/>
                <w:color w:val="auto"/>
              </w:rPr>
            </w:pPr>
          </w:p>
        </w:tc>
        <w:tc>
          <w:tcPr>
            <w:tcW w:w="14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1,451,185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12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Gregoire</w:t>
            </w:r>
          </w:p>
        </w:tc>
        <w:tc>
          <w:tcPr>
            <w:tcW w:w="1100" w:type="dxa"/>
            <w:vAlign w:val="bottom"/>
            <w:tcBorders>
              <w:right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2/19/2025</w:t>
            </w:r>
          </w:p>
        </w:tc>
        <w:tc>
          <w:tcPr>
            <w:tcW w:w="960" w:type="dxa"/>
            <w:vAlign w:val="bottom"/>
            <w:shd w:val="clear" w:color="auto" w:fill="EBFBFF"/>
          </w:tcPr>
          <w:p>
            <w:pPr>
              <w:jc w:val="right"/>
              <w:ind w:right="1"/>
              <w:spacing w:after="0"/>
              <w:rPr>
                <w:sz w:val="20"/>
                <w:szCs w:val="20"/>
                <w:color w:val="auto"/>
              </w:rPr>
            </w:pPr>
            <w:r>
              <w:rPr>
                <w:rFonts w:ascii="Arial" w:cs="Arial" w:eastAsia="Arial" w:hAnsi="Arial"/>
                <w:sz w:val="16"/>
                <w:szCs w:val="16"/>
                <w:color w:val="51555C"/>
              </w:rPr>
              <w:t>5,295</w:t>
            </w:r>
          </w:p>
        </w:tc>
        <w:tc>
          <w:tcPr>
            <w:tcW w:w="1180" w:type="dxa"/>
            <w:vAlign w:val="bottom"/>
            <w:shd w:val="clear" w:color="auto" w:fill="EBFBFF"/>
          </w:tcPr>
          <w:p>
            <w:pPr>
              <w:jc w:val="right"/>
              <w:ind w:right="200"/>
              <w:spacing w:after="0"/>
              <w:rPr>
                <w:sz w:val="20"/>
                <w:szCs w:val="20"/>
                <w:color w:val="auto"/>
              </w:rPr>
            </w:pPr>
            <w:r>
              <w:rPr>
                <w:rFonts w:ascii="Arial" w:cs="Arial" w:eastAsia="Arial" w:hAnsi="Arial"/>
                <w:sz w:val="16"/>
                <w:szCs w:val="16"/>
                <w:color w:val="51555C"/>
              </w:rPr>
              <w:t>10,590</w:t>
            </w:r>
          </w:p>
        </w:tc>
        <w:tc>
          <w:tcPr>
            <w:tcW w:w="7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21,180</w:t>
            </w:r>
          </w:p>
        </w:tc>
        <w:tc>
          <w:tcPr>
            <w:tcW w:w="280" w:type="dxa"/>
            <w:vAlign w:val="bottom"/>
            <w:shd w:val="clear" w:color="auto" w:fill="EBFBFF"/>
          </w:tcPr>
          <w:p>
            <w:pPr>
              <w:jc w:val="right"/>
              <w:ind w:right="59"/>
              <w:spacing w:after="0"/>
              <w:rPr>
                <w:sz w:val="20"/>
                <w:szCs w:val="20"/>
                <w:color w:val="auto"/>
              </w:rPr>
            </w:pPr>
            <w:r>
              <w:rPr>
                <w:rFonts w:ascii="Arial" w:cs="Arial" w:eastAsia="Arial" w:hAnsi="Arial"/>
                <w:sz w:val="11"/>
                <w:szCs w:val="11"/>
                <w:color w:val="51555C"/>
              </w:rPr>
              <w:t>(3)</w:t>
            </w:r>
          </w:p>
        </w:tc>
        <w:tc>
          <w:tcPr>
            <w:tcW w:w="1820" w:type="dxa"/>
            <w:vAlign w:val="bottom"/>
            <w:shd w:val="clear" w:color="auto" w:fill="EBFBFF"/>
          </w:tcPr>
          <w:p>
            <w:pPr>
              <w:spacing w:after="0"/>
              <w:rPr>
                <w:sz w:val="24"/>
                <w:szCs w:val="24"/>
                <w:color w:val="auto"/>
              </w:rPr>
            </w:pPr>
          </w:p>
        </w:tc>
        <w:tc>
          <w:tcPr>
            <w:tcW w:w="280" w:type="dxa"/>
            <w:vAlign w:val="bottom"/>
            <w:shd w:val="clear" w:color="auto" w:fill="EBFBFF"/>
          </w:tcPr>
          <w:p>
            <w:pPr>
              <w:spacing w:after="0"/>
              <w:rPr>
                <w:sz w:val="24"/>
                <w:szCs w:val="24"/>
                <w:color w:val="auto"/>
              </w:rPr>
            </w:pPr>
          </w:p>
        </w:tc>
        <w:tc>
          <w:tcPr>
            <w:tcW w:w="280" w:type="dxa"/>
            <w:vAlign w:val="bottom"/>
            <w:shd w:val="clear" w:color="auto" w:fill="EBFBFF"/>
          </w:tcPr>
          <w:p>
            <w:pPr>
              <w:spacing w:after="0"/>
              <w:rPr>
                <w:sz w:val="24"/>
                <w:szCs w:val="24"/>
                <w:color w:val="auto"/>
              </w:rPr>
            </w:pPr>
          </w:p>
        </w:tc>
        <w:tc>
          <w:tcPr>
            <w:tcW w:w="14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725,627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20" w:type="dxa"/>
            <w:vAlign w:val="bottom"/>
            <w:shd w:val="clear" w:color="auto" w:fill="EBFBFF"/>
          </w:tcPr>
          <w:p>
            <w:pPr>
              <w:spacing w:after="0"/>
              <w:rPr>
                <w:sz w:val="22"/>
                <w:szCs w:val="22"/>
                <w:color w:val="auto"/>
              </w:rPr>
            </w:pPr>
          </w:p>
        </w:tc>
        <w:tc>
          <w:tcPr>
            <w:tcW w:w="1100" w:type="dxa"/>
            <w:vAlign w:val="bottom"/>
            <w:tcBorders>
              <w:right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2/19/2025</w:t>
            </w:r>
          </w:p>
        </w:tc>
        <w:tc>
          <w:tcPr>
            <w:tcW w:w="960" w:type="dxa"/>
            <w:vAlign w:val="bottom"/>
            <w:shd w:val="clear" w:color="auto" w:fill="EBFBFF"/>
          </w:tcPr>
          <w:p>
            <w:pPr>
              <w:jc w:val="right"/>
              <w:ind w:right="1"/>
              <w:spacing w:after="0"/>
              <w:rPr>
                <w:sz w:val="20"/>
                <w:szCs w:val="20"/>
                <w:color w:val="auto"/>
              </w:rPr>
            </w:pPr>
            <w:r>
              <w:rPr>
                <w:rFonts w:ascii="Arial" w:cs="Arial" w:eastAsia="Arial" w:hAnsi="Arial"/>
                <w:sz w:val="16"/>
                <w:szCs w:val="16"/>
                <w:color w:val="51555C"/>
              </w:rPr>
              <w:t>5,295</w:t>
            </w:r>
          </w:p>
        </w:tc>
        <w:tc>
          <w:tcPr>
            <w:tcW w:w="1180" w:type="dxa"/>
            <w:vAlign w:val="bottom"/>
            <w:shd w:val="clear" w:color="auto" w:fill="EBFBFF"/>
          </w:tcPr>
          <w:p>
            <w:pPr>
              <w:jc w:val="right"/>
              <w:ind w:right="200"/>
              <w:spacing w:after="0"/>
              <w:rPr>
                <w:sz w:val="20"/>
                <w:szCs w:val="20"/>
                <w:color w:val="auto"/>
              </w:rPr>
            </w:pPr>
            <w:r>
              <w:rPr>
                <w:rFonts w:ascii="Arial" w:cs="Arial" w:eastAsia="Arial" w:hAnsi="Arial"/>
                <w:sz w:val="16"/>
                <w:szCs w:val="16"/>
                <w:color w:val="51555C"/>
              </w:rPr>
              <w:t>10,590</w:t>
            </w:r>
          </w:p>
        </w:tc>
        <w:tc>
          <w:tcPr>
            <w:tcW w:w="7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21,180</w:t>
            </w:r>
          </w:p>
        </w:tc>
        <w:tc>
          <w:tcPr>
            <w:tcW w:w="280" w:type="dxa"/>
            <w:vAlign w:val="bottom"/>
            <w:shd w:val="clear" w:color="auto" w:fill="EBFBFF"/>
          </w:tcPr>
          <w:p>
            <w:pPr>
              <w:jc w:val="right"/>
              <w:ind w:right="59"/>
              <w:spacing w:after="0"/>
              <w:rPr>
                <w:sz w:val="20"/>
                <w:szCs w:val="20"/>
                <w:color w:val="auto"/>
              </w:rPr>
            </w:pPr>
            <w:r>
              <w:rPr>
                <w:rFonts w:ascii="Arial" w:cs="Arial" w:eastAsia="Arial" w:hAnsi="Arial"/>
                <w:sz w:val="11"/>
                <w:szCs w:val="11"/>
                <w:color w:val="51555C"/>
              </w:rPr>
              <w:t>(4)</w:t>
            </w:r>
          </w:p>
        </w:tc>
        <w:tc>
          <w:tcPr>
            <w:tcW w:w="1820" w:type="dxa"/>
            <w:vAlign w:val="bottom"/>
            <w:shd w:val="clear" w:color="auto" w:fill="EBFBFF"/>
          </w:tcPr>
          <w:p>
            <w:pPr>
              <w:spacing w:after="0"/>
              <w:rPr>
                <w:sz w:val="22"/>
                <w:szCs w:val="22"/>
                <w:color w:val="auto"/>
              </w:rPr>
            </w:pPr>
          </w:p>
        </w:tc>
        <w:tc>
          <w:tcPr>
            <w:tcW w:w="280" w:type="dxa"/>
            <w:vAlign w:val="bottom"/>
            <w:shd w:val="clear" w:color="auto" w:fill="EBFBFF"/>
          </w:tcPr>
          <w:p>
            <w:pPr>
              <w:spacing w:after="0"/>
              <w:rPr>
                <w:sz w:val="22"/>
                <w:szCs w:val="22"/>
                <w:color w:val="auto"/>
              </w:rPr>
            </w:pPr>
          </w:p>
        </w:tc>
        <w:tc>
          <w:tcPr>
            <w:tcW w:w="280" w:type="dxa"/>
            <w:vAlign w:val="bottom"/>
            <w:shd w:val="clear" w:color="auto" w:fill="EBFBFF"/>
          </w:tcPr>
          <w:p>
            <w:pPr>
              <w:spacing w:after="0"/>
              <w:rPr>
                <w:sz w:val="22"/>
                <w:szCs w:val="22"/>
                <w:color w:val="auto"/>
              </w:rPr>
            </w:pPr>
          </w:p>
        </w:tc>
        <w:tc>
          <w:tcPr>
            <w:tcW w:w="14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725,627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120" w:type="dxa"/>
            <w:vAlign w:val="bottom"/>
            <w:tcBorders>
              <w:bottom w:val="single" w:sz="8" w:color="EBFBFF"/>
            </w:tcBorders>
            <w:shd w:val="clear" w:color="auto" w:fill="EBFBFF"/>
          </w:tcPr>
          <w:p>
            <w:pPr>
              <w:spacing w:after="0"/>
              <w:rPr>
                <w:sz w:val="23"/>
                <w:szCs w:val="23"/>
                <w:color w:val="auto"/>
              </w:rPr>
            </w:pPr>
          </w:p>
        </w:tc>
        <w:tc>
          <w:tcPr>
            <w:tcW w:w="110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2/18/2025</w:t>
            </w:r>
          </w:p>
        </w:tc>
        <w:tc>
          <w:tcPr>
            <w:tcW w:w="960" w:type="dxa"/>
            <w:vAlign w:val="bottom"/>
            <w:tcBorders>
              <w:bottom w:val="single" w:sz="8" w:color="EBFBFF"/>
            </w:tcBorders>
            <w:shd w:val="clear" w:color="auto" w:fill="EBFBFF"/>
          </w:tcPr>
          <w:p>
            <w:pPr>
              <w:jc w:val="right"/>
              <w:ind w:right="1"/>
              <w:spacing w:after="0"/>
              <w:rPr>
                <w:sz w:val="20"/>
                <w:szCs w:val="20"/>
                <w:color w:val="auto"/>
              </w:rPr>
            </w:pPr>
            <w:r>
              <w:rPr>
                <w:rFonts w:ascii="Arial" w:cs="Arial" w:eastAsia="Arial" w:hAnsi="Arial"/>
                <w:sz w:val="16"/>
                <w:szCs w:val="16"/>
                <w:color w:val="51555C"/>
              </w:rPr>
              <w:t>2,400</w:t>
            </w:r>
          </w:p>
        </w:tc>
        <w:tc>
          <w:tcPr>
            <w:tcW w:w="1180" w:type="dxa"/>
            <w:vAlign w:val="bottom"/>
            <w:tcBorders>
              <w:bottom w:val="single" w:sz="8" w:color="EBFBFF"/>
            </w:tcBorders>
            <w:shd w:val="clear" w:color="auto" w:fill="EBFBFF"/>
          </w:tcPr>
          <w:p>
            <w:pPr>
              <w:jc w:val="right"/>
              <w:ind w:right="200"/>
              <w:spacing w:after="0"/>
              <w:rPr>
                <w:sz w:val="20"/>
                <w:szCs w:val="20"/>
                <w:color w:val="auto"/>
              </w:rPr>
            </w:pPr>
            <w:r>
              <w:rPr>
                <w:rFonts w:ascii="Arial" w:cs="Arial" w:eastAsia="Arial" w:hAnsi="Arial"/>
                <w:sz w:val="16"/>
                <w:szCs w:val="16"/>
                <w:color w:val="51555C"/>
              </w:rPr>
              <w:t>4,799</w:t>
            </w:r>
          </w:p>
        </w:tc>
        <w:tc>
          <w:tcPr>
            <w:tcW w:w="7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9,598</w:t>
            </w:r>
          </w:p>
        </w:tc>
        <w:tc>
          <w:tcPr>
            <w:tcW w:w="280" w:type="dxa"/>
            <w:vAlign w:val="bottom"/>
            <w:tcBorders>
              <w:bottom w:val="single" w:sz="8" w:color="EBFBFF"/>
            </w:tcBorders>
            <w:shd w:val="clear" w:color="auto" w:fill="EBFBFF"/>
          </w:tcPr>
          <w:p>
            <w:pPr>
              <w:jc w:val="right"/>
              <w:ind w:right="59"/>
              <w:spacing w:after="0"/>
              <w:rPr>
                <w:sz w:val="20"/>
                <w:szCs w:val="20"/>
                <w:color w:val="auto"/>
              </w:rPr>
            </w:pPr>
            <w:r>
              <w:rPr>
                <w:rFonts w:ascii="Arial" w:cs="Arial" w:eastAsia="Arial" w:hAnsi="Arial"/>
                <w:sz w:val="11"/>
                <w:szCs w:val="11"/>
                <w:color w:val="51555C"/>
              </w:rPr>
              <w:t>(5)</w:t>
            </w:r>
          </w:p>
        </w:tc>
        <w:tc>
          <w:tcPr>
            <w:tcW w:w="1820" w:type="dxa"/>
            <w:vAlign w:val="bottom"/>
            <w:tcBorders>
              <w:bottom w:val="single" w:sz="8" w:color="EBFBFF"/>
            </w:tcBorders>
            <w:shd w:val="clear" w:color="auto" w:fill="EBFBFF"/>
          </w:tcPr>
          <w:p>
            <w:pPr>
              <w:spacing w:after="0"/>
              <w:rPr>
                <w:sz w:val="23"/>
                <w:szCs w:val="23"/>
                <w:color w:val="auto"/>
              </w:rPr>
            </w:pPr>
          </w:p>
        </w:tc>
        <w:tc>
          <w:tcPr>
            <w:tcW w:w="280" w:type="dxa"/>
            <w:vAlign w:val="bottom"/>
            <w:tcBorders>
              <w:bottom w:val="single" w:sz="8" w:color="EBFBFF"/>
            </w:tcBorders>
            <w:shd w:val="clear" w:color="auto" w:fill="EBFBFF"/>
          </w:tcPr>
          <w:p>
            <w:pPr>
              <w:spacing w:after="0"/>
              <w:rPr>
                <w:sz w:val="23"/>
                <w:szCs w:val="23"/>
                <w:color w:val="auto"/>
              </w:rPr>
            </w:pPr>
          </w:p>
        </w:tc>
        <w:tc>
          <w:tcPr>
            <w:tcW w:w="280" w:type="dxa"/>
            <w:vAlign w:val="bottom"/>
            <w:tcBorders>
              <w:bottom w:val="single" w:sz="8" w:color="EBFBFF"/>
            </w:tcBorders>
            <w:shd w:val="clear" w:color="auto" w:fill="EBFBFF"/>
          </w:tcPr>
          <w:p>
            <w:pPr>
              <w:spacing w:after="0"/>
              <w:rPr>
                <w:sz w:val="23"/>
                <w:szCs w:val="23"/>
                <w:color w:val="auto"/>
              </w:rPr>
            </w:pPr>
          </w:p>
        </w:tc>
        <w:tc>
          <w:tcPr>
            <w:tcW w:w="14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340,537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120" w:type="dxa"/>
            <w:vAlign w:val="bottom"/>
          </w:tcPr>
          <w:p>
            <w:pPr>
              <w:ind w:left="20"/>
              <w:spacing w:after="0"/>
              <w:rPr>
                <w:sz w:val="20"/>
                <w:szCs w:val="20"/>
                <w:color w:val="auto"/>
              </w:rPr>
            </w:pPr>
            <w:r>
              <w:rPr>
                <w:rFonts w:ascii="Arial" w:cs="Arial" w:eastAsia="Arial" w:hAnsi="Arial"/>
                <w:sz w:val="16"/>
                <w:szCs w:val="16"/>
                <w:b w:val="1"/>
                <w:bCs w:val="1"/>
                <w:color w:val="51555C"/>
              </w:rPr>
              <w:t>Kevin R.</w:t>
            </w:r>
          </w:p>
        </w:tc>
        <w:tc>
          <w:tcPr>
            <w:tcW w:w="1100" w:type="dxa"/>
            <w:vAlign w:val="bottom"/>
          </w:tcPr>
          <w:p>
            <w:pPr>
              <w:jc w:val="right"/>
              <w:spacing w:after="0"/>
              <w:rPr>
                <w:sz w:val="20"/>
                <w:szCs w:val="20"/>
                <w:color w:val="auto"/>
              </w:rPr>
            </w:pPr>
            <w:r>
              <w:rPr>
                <w:rFonts w:ascii="Arial" w:cs="Arial" w:eastAsia="Arial" w:hAnsi="Arial"/>
                <w:sz w:val="16"/>
                <w:szCs w:val="16"/>
                <w:color w:val="51555C"/>
              </w:rPr>
              <w:t>2/19/2025</w:t>
            </w: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00" w:type="dxa"/>
            <w:vAlign w:val="bottom"/>
            <w:gridSpan w:val="2"/>
          </w:tcPr>
          <w:p>
            <w:pPr>
              <w:jc w:val="right"/>
              <w:ind w:right="8"/>
              <w:spacing w:after="0"/>
              <w:rPr>
                <w:sz w:val="20"/>
                <w:szCs w:val="20"/>
                <w:color w:val="auto"/>
              </w:rPr>
            </w:pPr>
            <w:r>
              <w:rPr>
                <w:rFonts w:ascii="Arial" w:cs="Arial" w:eastAsia="Arial" w:hAnsi="Arial"/>
                <w:sz w:val="16"/>
                <w:szCs w:val="16"/>
                <w:color w:val="51555C"/>
              </w:rPr>
              <w:t>15,640</w:t>
            </w:r>
          </w:p>
        </w:tc>
        <w:tc>
          <w:tcPr>
            <w:tcW w:w="280" w:type="dxa"/>
            <w:vAlign w:val="bottom"/>
          </w:tcPr>
          <w:p>
            <w:pPr>
              <w:jc w:val="right"/>
              <w:ind w:right="86"/>
              <w:spacing w:after="0"/>
              <w:rPr>
                <w:sz w:val="20"/>
                <w:szCs w:val="20"/>
                <w:color w:val="auto"/>
              </w:rPr>
            </w:pPr>
            <w:r>
              <w:rPr>
                <w:rFonts w:ascii="Arial" w:cs="Arial" w:eastAsia="Arial" w:hAnsi="Arial"/>
                <w:sz w:val="11"/>
                <w:szCs w:val="11"/>
                <w:color w:val="51555C"/>
                <w:w w:val="88"/>
              </w:rPr>
              <w:t>(2)</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51555C"/>
              </w:rPr>
              <w:t>1,071,653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120" w:type="dxa"/>
            <w:vAlign w:val="bottom"/>
          </w:tcPr>
          <w:p>
            <w:pPr>
              <w:ind w:left="20"/>
              <w:spacing w:after="0"/>
              <w:rPr>
                <w:sz w:val="20"/>
                <w:szCs w:val="20"/>
                <w:color w:val="auto"/>
              </w:rPr>
            </w:pPr>
            <w:r>
              <w:rPr>
                <w:rFonts w:ascii="Arial" w:cs="Arial" w:eastAsia="Arial" w:hAnsi="Arial"/>
                <w:sz w:val="16"/>
                <w:szCs w:val="16"/>
                <w:b w:val="1"/>
                <w:bCs w:val="1"/>
                <w:color w:val="51555C"/>
              </w:rPr>
              <w:t>McDearis</w:t>
            </w:r>
          </w:p>
        </w:tc>
        <w:tc>
          <w:tcPr>
            <w:tcW w:w="1100" w:type="dxa"/>
            <w:vAlign w:val="bottom"/>
          </w:tcPr>
          <w:p>
            <w:pPr>
              <w:jc w:val="right"/>
              <w:spacing w:after="0"/>
              <w:rPr>
                <w:sz w:val="20"/>
                <w:szCs w:val="20"/>
                <w:color w:val="auto"/>
              </w:rPr>
            </w:pPr>
            <w:r>
              <w:rPr>
                <w:rFonts w:ascii="Arial" w:cs="Arial" w:eastAsia="Arial" w:hAnsi="Arial"/>
                <w:sz w:val="16"/>
                <w:szCs w:val="16"/>
                <w:color w:val="51555C"/>
              </w:rPr>
              <w:t>2/19/2025</w:t>
            </w:r>
          </w:p>
        </w:tc>
        <w:tc>
          <w:tcPr>
            <w:tcW w:w="960" w:type="dxa"/>
            <w:vAlign w:val="bottom"/>
          </w:tcPr>
          <w:p>
            <w:pPr>
              <w:jc w:val="right"/>
              <w:ind w:right="1"/>
              <w:spacing w:after="0"/>
              <w:rPr>
                <w:sz w:val="20"/>
                <w:szCs w:val="20"/>
                <w:color w:val="auto"/>
              </w:rPr>
            </w:pPr>
            <w:r>
              <w:rPr>
                <w:rFonts w:ascii="Arial" w:cs="Arial" w:eastAsia="Arial" w:hAnsi="Arial"/>
                <w:sz w:val="16"/>
                <w:szCs w:val="16"/>
                <w:color w:val="51555C"/>
              </w:rPr>
              <w:t>3,910</w:t>
            </w:r>
          </w:p>
        </w:tc>
        <w:tc>
          <w:tcPr>
            <w:tcW w:w="1180" w:type="dxa"/>
            <w:vAlign w:val="bottom"/>
          </w:tcPr>
          <w:p>
            <w:pPr>
              <w:jc w:val="right"/>
              <w:ind w:right="200"/>
              <w:spacing w:after="0"/>
              <w:rPr>
                <w:sz w:val="20"/>
                <w:szCs w:val="20"/>
                <w:color w:val="auto"/>
              </w:rPr>
            </w:pPr>
            <w:r>
              <w:rPr>
                <w:rFonts w:ascii="Arial" w:cs="Arial" w:eastAsia="Arial" w:hAnsi="Arial"/>
                <w:sz w:val="16"/>
                <w:szCs w:val="16"/>
                <w:color w:val="51555C"/>
              </w:rPr>
              <w:t>7,820</w:t>
            </w:r>
          </w:p>
        </w:tc>
        <w:tc>
          <w:tcPr>
            <w:tcW w:w="760" w:type="dxa"/>
            <w:vAlign w:val="bottom"/>
          </w:tcPr>
          <w:p>
            <w:pPr>
              <w:jc w:val="right"/>
              <w:spacing w:after="0"/>
              <w:rPr>
                <w:sz w:val="20"/>
                <w:szCs w:val="20"/>
                <w:color w:val="auto"/>
              </w:rPr>
            </w:pPr>
            <w:r>
              <w:rPr>
                <w:rFonts w:ascii="Arial" w:cs="Arial" w:eastAsia="Arial" w:hAnsi="Arial"/>
                <w:sz w:val="16"/>
                <w:szCs w:val="16"/>
                <w:color w:val="51555C"/>
              </w:rPr>
              <w:t>15,640</w:t>
            </w:r>
          </w:p>
        </w:tc>
        <w:tc>
          <w:tcPr>
            <w:tcW w:w="280" w:type="dxa"/>
            <w:vAlign w:val="bottom"/>
          </w:tcPr>
          <w:p>
            <w:pPr>
              <w:jc w:val="right"/>
              <w:ind w:right="59"/>
              <w:spacing w:after="0"/>
              <w:rPr>
                <w:sz w:val="20"/>
                <w:szCs w:val="20"/>
                <w:color w:val="auto"/>
              </w:rPr>
            </w:pPr>
            <w:r>
              <w:rPr>
                <w:rFonts w:ascii="Arial" w:cs="Arial" w:eastAsia="Arial" w:hAnsi="Arial"/>
                <w:sz w:val="11"/>
                <w:szCs w:val="11"/>
                <w:color w:val="51555C"/>
              </w:rPr>
              <w:t>(3)</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51555C"/>
              </w:rPr>
              <w:t>535,826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51555C"/>
              </w:rPr>
              <w:t>2/19/2025</w:t>
            </w:r>
          </w:p>
        </w:tc>
        <w:tc>
          <w:tcPr>
            <w:tcW w:w="960" w:type="dxa"/>
            <w:vAlign w:val="bottom"/>
          </w:tcPr>
          <w:p>
            <w:pPr>
              <w:jc w:val="right"/>
              <w:ind w:right="1"/>
              <w:spacing w:after="0"/>
              <w:rPr>
                <w:sz w:val="20"/>
                <w:szCs w:val="20"/>
                <w:color w:val="auto"/>
              </w:rPr>
            </w:pPr>
            <w:r>
              <w:rPr>
                <w:rFonts w:ascii="Arial" w:cs="Arial" w:eastAsia="Arial" w:hAnsi="Arial"/>
                <w:sz w:val="16"/>
                <w:szCs w:val="16"/>
                <w:color w:val="51555C"/>
              </w:rPr>
              <w:t>3,910</w:t>
            </w:r>
          </w:p>
        </w:tc>
        <w:tc>
          <w:tcPr>
            <w:tcW w:w="1180" w:type="dxa"/>
            <w:vAlign w:val="bottom"/>
          </w:tcPr>
          <w:p>
            <w:pPr>
              <w:jc w:val="right"/>
              <w:ind w:right="200"/>
              <w:spacing w:after="0"/>
              <w:rPr>
                <w:sz w:val="20"/>
                <w:szCs w:val="20"/>
                <w:color w:val="auto"/>
              </w:rPr>
            </w:pPr>
            <w:r>
              <w:rPr>
                <w:rFonts w:ascii="Arial" w:cs="Arial" w:eastAsia="Arial" w:hAnsi="Arial"/>
                <w:sz w:val="16"/>
                <w:szCs w:val="16"/>
                <w:color w:val="51555C"/>
              </w:rPr>
              <w:t>7,820</w:t>
            </w:r>
          </w:p>
        </w:tc>
        <w:tc>
          <w:tcPr>
            <w:tcW w:w="760" w:type="dxa"/>
            <w:vAlign w:val="bottom"/>
          </w:tcPr>
          <w:p>
            <w:pPr>
              <w:jc w:val="right"/>
              <w:spacing w:after="0"/>
              <w:rPr>
                <w:sz w:val="20"/>
                <w:szCs w:val="20"/>
                <w:color w:val="auto"/>
              </w:rPr>
            </w:pPr>
            <w:r>
              <w:rPr>
                <w:rFonts w:ascii="Arial" w:cs="Arial" w:eastAsia="Arial" w:hAnsi="Arial"/>
                <w:sz w:val="16"/>
                <w:szCs w:val="16"/>
                <w:color w:val="51555C"/>
              </w:rPr>
              <w:t>15,640</w:t>
            </w:r>
          </w:p>
        </w:tc>
        <w:tc>
          <w:tcPr>
            <w:tcW w:w="280" w:type="dxa"/>
            <w:vAlign w:val="bottom"/>
          </w:tcPr>
          <w:p>
            <w:pPr>
              <w:jc w:val="right"/>
              <w:ind w:right="59"/>
              <w:spacing w:after="0"/>
              <w:rPr>
                <w:sz w:val="20"/>
                <w:szCs w:val="20"/>
                <w:color w:val="auto"/>
              </w:rPr>
            </w:pPr>
            <w:r>
              <w:rPr>
                <w:rFonts w:ascii="Arial" w:cs="Arial" w:eastAsia="Arial" w:hAnsi="Arial"/>
                <w:sz w:val="11"/>
                <w:szCs w:val="11"/>
                <w:color w:val="51555C"/>
              </w:rPr>
              <w:t>(4)</w:t>
            </w:r>
          </w:p>
        </w:tc>
        <w:tc>
          <w:tcPr>
            <w:tcW w:w="1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51555C"/>
              </w:rPr>
              <w:t>535,826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51555C"/>
              </w:rPr>
              <w:t>2/18/2025</w:t>
            </w:r>
          </w:p>
        </w:tc>
        <w:tc>
          <w:tcPr>
            <w:tcW w:w="960" w:type="dxa"/>
            <w:vAlign w:val="bottom"/>
          </w:tcPr>
          <w:p>
            <w:pPr>
              <w:jc w:val="right"/>
              <w:ind w:right="1"/>
              <w:spacing w:after="0"/>
              <w:rPr>
                <w:sz w:val="20"/>
                <w:szCs w:val="20"/>
                <w:color w:val="auto"/>
              </w:rPr>
            </w:pPr>
            <w:r>
              <w:rPr>
                <w:rFonts w:ascii="Arial" w:cs="Arial" w:eastAsia="Arial" w:hAnsi="Arial"/>
                <w:sz w:val="16"/>
                <w:szCs w:val="16"/>
                <w:color w:val="51555C"/>
              </w:rPr>
              <w:t>2,326</w:t>
            </w:r>
          </w:p>
        </w:tc>
        <w:tc>
          <w:tcPr>
            <w:tcW w:w="1180" w:type="dxa"/>
            <w:vAlign w:val="bottom"/>
          </w:tcPr>
          <w:p>
            <w:pPr>
              <w:jc w:val="right"/>
              <w:ind w:right="200"/>
              <w:spacing w:after="0"/>
              <w:rPr>
                <w:sz w:val="20"/>
                <w:szCs w:val="20"/>
                <w:color w:val="auto"/>
              </w:rPr>
            </w:pPr>
            <w:r>
              <w:rPr>
                <w:rFonts w:ascii="Arial" w:cs="Arial" w:eastAsia="Arial" w:hAnsi="Arial"/>
                <w:sz w:val="16"/>
                <w:szCs w:val="16"/>
                <w:color w:val="51555C"/>
              </w:rPr>
              <w:t>4,652</w:t>
            </w:r>
          </w:p>
        </w:tc>
        <w:tc>
          <w:tcPr>
            <w:tcW w:w="760" w:type="dxa"/>
            <w:vAlign w:val="bottom"/>
          </w:tcPr>
          <w:p>
            <w:pPr>
              <w:jc w:val="right"/>
              <w:spacing w:after="0"/>
              <w:rPr>
                <w:sz w:val="20"/>
                <w:szCs w:val="20"/>
                <w:color w:val="auto"/>
              </w:rPr>
            </w:pPr>
            <w:r>
              <w:rPr>
                <w:rFonts w:ascii="Arial" w:cs="Arial" w:eastAsia="Arial" w:hAnsi="Arial"/>
                <w:sz w:val="16"/>
                <w:szCs w:val="16"/>
                <w:color w:val="51555C"/>
              </w:rPr>
              <w:t>9,304</w:t>
            </w:r>
          </w:p>
        </w:tc>
        <w:tc>
          <w:tcPr>
            <w:tcW w:w="280" w:type="dxa"/>
            <w:vAlign w:val="bottom"/>
          </w:tcPr>
          <w:p>
            <w:pPr>
              <w:jc w:val="right"/>
              <w:ind w:right="59"/>
              <w:spacing w:after="0"/>
              <w:rPr>
                <w:sz w:val="20"/>
                <w:szCs w:val="20"/>
                <w:color w:val="auto"/>
              </w:rPr>
            </w:pPr>
            <w:r>
              <w:rPr>
                <w:rFonts w:ascii="Arial" w:cs="Arial" w:eastAsia="Arial" w:hAnsi="Arial"/>
                <w:sz w:val="11"/>
                <w:szCs w:val="11"/>
                <w:color w:val="51555C"/>
              </w:rPr>
              <w:t>(5)</w:t>
            </w:r>
          </w:p>
        </w:tc>
        <w:tc>
          <w:tcPr>
            <w:tcW w:w="1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51555C"/>
              </w:rPr>
              <w:t>330,106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
        </w:trPr>
        <w:tc>
          <w:tcPr>
            <w:tcW w:w="3120" w:type="dxa"/>
            <w:vAlign w:val="bottom"/>
            <w:tcBorders>
              <w:bottom w:val="single" w:sz="8" w:color="0CD973"/>
            </w:tcBorders>
          </w:tcPr>
          <w:p>
            <w:pPr>
              <w:spacing w:after="0"/>
              <w:rPr>
                <w:sz w:val="2"/>
                <w:szCs w:val="2"/>
                <w:color w:val="auto"/>
              </w:rPr>
            </w:pPr>
          </w:p>
        </w:tc>
        <w:tc>
          <w:tcPr>
            <w:tcW w:w="1100" w:type="dxa"/>
            <w:vAlign w:val="bottom"/>
            <w:tcBorders>
              <w:bottom w:val="single" w:sz="8" w:color="0CD973"/>
            </w:tcBorders>
          </w:tcPr>
          <w:p>
            <w:pPr>
              <w:spacing w:after="0"/>
              <w:rPr>
                <w:sz w:val="2"/>
                <w:szCs w:val="2"/>
                <w:color w:val="auto"/>
              </w:rPr>
            </w:pPr>
          </w:p>
        </w:tc>
        <w:tc>
          <w:tcPr>
            <w:tcW w:w="960" w:type="dxa"/>
            <w:vAlign w:val="bottom"/>
            <w:tcBorders>
              <w:bottom w:val="single" w:sz="8" w:color="0CD973"/>
            </w:tcBorders>
          </w:tcPr>
          <w:p>
            <w:pPr>
              <w:spacing w:after="0"/>
              <w:rPr>
                <w:sz w:val="2"/>
                <w:szCs w:val="2"/>
                <w:color w:val="auto"/>
              </w:rPr>
            </w:pPr>
          </w:p>
        </w:tc>
        <w:tc>
          <w:tcPr>
            <w:tcW w:w="1180" w:type="dxa"/>
            <w:vAlign w:val="bottom"/>
            <w:tcBorders>
              <w:bottom w:val="single" w:sz="8" w:color="0CD973"/>
            </w:tcBorders>
          </w:tcPr>
          <w:p>
            <w:pPr>
              <w:spacing w:after="0"/>
              <w:rPr>
                <w:sz w:val="2"/>
                <w:szCs w:val="2"/>
                <w:color w:val="auto"/>
              </w:rPr>
            </w:pPr>
          </w:p>
        </w:tc>
        <w:tc>
          <w:tcPr>
            <w:tcW w:w="760" w:type="dxa"/>
            <w:vAlign w:val="bottom"/>
            <w:tcBorders>
              <w:bottom w:val="single" w:sz="8" w:color="0CD973"/>
            </w:tcBorders>
          </w:tcPr>
          <w:p>
            <w:pPr>
              <w:spacing w:after="0"/>
              <w:rPr>
                <w:sz w:val="2"/>
                <w:szCs w:val="2"/>
                <w:color w:val="auto"/>
              </w:rPr>
            </w:pPr>
          </w:p>
        </w:tc>
        <w:tc>
          <w:tcPr>
            <w:tcW w:w="280" w:type="dxa"/>
            <w:vAlign w:val="bottom"/>
            <w:tcBorders>
              <w:bottom w:val="single" w:sz="8" w:color="0CD973"/>
            </w:tcBorders>
          </w:tcPr>
          <w:p>
            <w:pPr>
              <w:spacing w:after="0"/>
              <w:rPr>
                <w:sz w:val="2"/>
                <w:szCs w:val="2"/>
                <w:color w:val="auto"/>
              </w:rPr>
            </w:pPr>
          </w:p>
        </w:tc>
        <w:tc>
          <w:tcPr>
            <w:tcW w:w="1820" w:type="dxa"/>
            <w:vAlign w:val="bottom"/>
            <w:tcBorders>
              <w:bottom w:val="single" w:sz="8" w:color="0CD973"/>
            </w:tcBorders>
          </w:tcPr>
          <w:p>
            <w:pPr>
              <w:spacing w:after="0"/>
              <w:rPr>
                <w:sz w:val="2"/>
                <w:szCs w:val="2"/>
                <w:color w:val="auto"/>
              </w:rPr>
            </w:pPr>
          </w:p>
        </w:tc>
        <w:tc>
          <w:tcPr>
            <w:tcW w:w="280" w:type="dxa"/>
            <w:vAlign w:val="bottom"/>
            <w:tcBorders>
              <w:bottom w:val="single" w:sz="8" w:color="0CD973"/>
            </w:tcBorders>
          </w:tcPr>
          <w:p>
            <w:pPr>
              <w:spacing w:after="0"/>
              <w:rPr>
                <w:sz w:val="2"/>
                <w:szCs w:val="2"/>
                <w:color w:val="auto"/>
              </w:rPr>
            </w:pPr>
          </w:p>
        </w:tc>
        <w:tc>
          <w:tcPr>
            <w:tcW w:w="280" w:type="dxa"/>
            <w:vAlign w:val="bottom"/>
            <w:tcBorders>
              <w:bottom w:val="single" w:sz="8" w:color="0CD973"/>
            </w:tcBorders>
          </w:tcPr>
          <w:p>
            <w:pPr>
              <w:spacing w:after="0"/>
              <w:rPr>
                <w:sz w:val="2"/>
                <w:szCs w:val="2"/>
                <w:color w:val="auto"/>
              </w:rPr>
            </w:pPr>
          </w:p>
        </w:tc>
        <w:tc>
          <w:tcPr>
            <w:tcW w:w="146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-4645660</wp:posOffset>
            </wp:positionV>
            <wp:extent cx="204025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52" w:lineRule="exact"/>
        <w:rPr>
          <w:sz w:val="20"/>
          <w:szCs w:val="20"/>
          <w:color w:val="auto"/>
        </w:rPr>
      </w:pPr>
    </w:p>
    <w:p>
      <w:pPr>
        <w:ind w:left="340" w:right="20" w:hanging="332"/>
        <w:spacing w:after="0" w:line="272" w:lineRule="auto"/>
        <w:tabs>
          <w:tab w:leader="none" w:pos="354" w:val="left"/>
        </w:tabs>
        <w:numPr>
          <w:ilvl w:val="0"/>
          <w:numId w:val="65"/>
        </w:numPr>
        <w:rPr>
          <w:rFonts w:ascii="Arial" w:cs="Arial" w:eastAsia="Arial" w:hAnsi="Arial"/>
          <w:sz w:val="14"/>
          <w:szCs w:val="14"/>
          <w:color w:val="51555C"/>
        </w:rPr>
      </w:pPr>
      <w:r>
        <w:rPr>
          <w:rFonts w:ascii="Arial" w:cs="Arial" w:eastAsia="Arial" w:hAnsi="Arial"/>
          <w:sz w:val="14"/>
          <w:szCs w:val="14"/>
          <w:color w:val="51555C"/>
        </w:rPr>
        <w:t>The grant date fair value of the equity awards is calculated in accordance with FASB ASC Topic 718. See Note 13 of the financial statements included in our Annual Report on Form 10-K for the fiscal year ended December 31, 2025, filed with the SEC on February 18, 2026.</w:t>
      </w:r>
    </w:p>
    <w:p>
      <w:pPr>
        <w:ind w:left="340" w:right="40" w:hanging="332"/>
        <w:spacing w:after="0" w:line="261" w:lineRule="auto"/>
        <w:tabs>
          <w:tab w:leader="none" w:pos="354" w:val="left"/>
        </w:tabs>
        <w:numPr>
          <w:ilvl w:val="0"/>
          <w:numId w:val="65"/>
        </w:numPr>
        <w:rPr>
          <w:rFonts w:ascii="Arial" w:cs="Arial" w:eastAsia="Arial" w:hAnsi="Arial"/>
          <w:sz w:val="14"/>
          <w:szCs w:val="14"/>
          <w:color w:val="51555C"/>
        </w:rPr>
      </w:pPr>
      <w:r>
        <w:rPr>
          <w:rFonts w:ascii="Arial" w:cs="Arial" w:eastAsia="Arial" w:hAnsi="Arial"/>
          <w:sz w:val="14"/>
          <w:szCs w:val="14"/>
          <w:color w:val="51555C"/>
        </w:rPr>
        <w:t>On February 19, 2025, each of our NEOs was granted the number of RSAs or RSUs set forth next to their names in the table. These RSAs or RSUs vest in three equal annual installments beginning on the first anniversary of the date of grant, subject to the NEO's continued employment.</w:t>
      </w:r>
    </w:p>
    <w:p>
      <w:pPr>
        <w:ind w:left="340" w:right="20" w:hanging="332"/>
        <w:spacing w:after="0" w:line="251" w:lineRule="auto"/>
        <w:tabs>
          <w:tab w:leader="none" w:pos="354" w:val="left"/>
        </w:tabs>
        <w:numPr>
          <w:ilvl w:val="0"/>
          <w:numId w:val="65"/>
        </w:numPr>
        <w:rPr>
          <w:rFonts w:ascii="Arial" w:cs="Arial" w:eastAsia="Arial" w:hAnsi="Arial"/>
          <w:sz w:val="14"/>
          <w:szCs w:val="14"/>
          <w:color w:val="51555C"/>
        </w:rPr>
      </w:pPr>
      <w:r>
        <w:rPr>
          <w:rFonts w:ascii="Arial" w:cs="Arial" w:eastAsia="Arial" w:hAnsi="Arial"/>
          <w:sz w:val="14"/>
          <w:szCs w:val="14"/>
          <w:color w:val="51555C"/>
        </w:rPr>
        <w:t>50% of the 2025 LTI PRSUs were granted to our NEOs on February 19, 2025 and, subject to the achievement of pre-established, one-year performance metrics, vest as to any earned shares in three annual installments starting in February 2026, subject to the NEO's continued employment, as described on page 45 of this Proxy Statement.</w:t>
      </w:r>
    </w:p>
    <w:p>
      <w:pPr>
        <w:jc w:val="both"/>
        <w:ind w:left="340" w:right="40" w:hanging="332"/>
        <w:spacing w:after="0" w:line="261" w:lineRule="auto"/>
        <w:tabs>
          <w:tab w:leader="none" w:pos="354" w:val="left"/>
        </w:tabs>
        <w:numPr>
          <w:ilvl w:val="0"/>
          <w:numId w:val="65"/>
        </w:numPr>
        <w:rPr>
          <w:rFonts w:ascii="Arial" w:cs="Arial" w:eastAsia="Arial" w:hAnsi="Arial"/>
          <w:sz w:val="14"/>
          <w:szCs w:val="14"/>
          <w:color w:val="51555C"/>
        </w:rPr>
      </w:pPr>
      <w:r>
        <w:rPr>
          <w:rFonts w:ascii="Arial" w:cs="Arial" w:eastAsia="Arial" w:hAnsi="Arial"/>
          <w:sz w:val="14"/>
          <w:szCs w:val="14"/>
          <w:color w:val="51555C"/>
        </w:rPr>
        <w:t>50% of the 2025 LTI PRSUs were granted to our NEOs on February 19, 2025 and, subject to the achievement of pre-established, three-year performance metrics, vest as to any earned shares in three annual installments starting in February 2026, subject to the NEO's continued employment, as described on page 45 of this Proxy Statement.</w:t>
      </w:r>
    </w:p>
    <w:p>
      <w:pPr>
        <w:jc w:val="both"/>
        <w:ind w:left="340" w:right="20" w:hanging="332"/>
        <w:spacing w:after="0" w:line="256" w:lineRule="auto"/>
        <w:tabs>
          <w:tab w:leader="none" w:pos="354" w:val="left"/>
        </w:tabs>
        <w:numPr>
          <w:ilvl w:val="0"/>
          <w:numId w:val="65"/>
        </w:numPr>
        <w:rPr>
          <w:rFonts w:ascii="Arial" w:cs="Arial" w:eastAsia="Arial" w:hAnsi="Arial"/>
          <w:sz w:val="14"/>
          <w:szCs w:val="14"/>
          <w:color w:val="51555C"/>
        </w:rPr>
      </w:pPr>
      <w:r>
        <w:rPr>
          <w:rFonts w:ascii="Arial" w:cs="Arial" w:eastAsia="Arial" w:hAnsi="Arial"/>
          <w:sz w:val="14"/>
          <w:szCs w:val="14"/>
          <w:color w:val="51555C"/>
        </w:rPr>
        <w:t>On February 18, 2025, the Company granted the 2025 STI PRSUs, as discussed above. Mr. Gianoni’s target STI opportunity was equal to 100% of his base salary on January 1, 2025, pursuant to his employment agreement. The target STI opportunity for Mr. Anderson was prorated at 60% from January 1, 2025 through April 30, 2025 and 75% from May 1, 2025 through December 31, 2025 based on his base salary on January 1, 2025. The target STI opportunities for Messrs. Boor, Benjamin, Gregoire and McDearis were equal to 75% of the base salary of each individual on January 1, 2025. The maximum award for 2025 for each NEO was equal to twice his target.</w:t>
      </w:r>
    </w:p>
    <w:p>
      <w:pPr>
        <w:spacing w:after="0" w:line="1" w:lineRule="exact"/>
        <w:rPr>
          <w:rFonts w:ascii="Arial" w:cs="Arial" w:eastAsia="Arial" w:hAnsi="Arial"/>
          <w:sz w:val="14"/>
          <w:szCs w:val="14"/>
          <w:color w:val="51555C"/>
        </w:rPr>
      </w:pPr>
    </w:p>
    <w:p>
      <w:pPr>
        <w:ind w:left="340" w:right="20" w:hanging="332"/>
        <w:spacing w:after="0" w:line="251" w:lineRule="auto"/>
        <w:tabs>
          <w:tab w:leader="none" w:pos="354" w:val="left"/>
        </w:tabs>
        <w:numPr>
          <w:ilvl w:val="0"/>
          <w:numId w:val="65"/>
        </w:numPr>
        <w:rPr>
          <w:rFonts w:ascii="Arial" w:cs="Arial" w:eastAsia="Arial" w:hAnsi="Arial"/>
          <w:sz w:val="14"/>
          <w:szCs w:val="14"/>
          <w:color w:val="51555C"/>
        </w:rPr>
      </w:pPr>
      <w:r>
        <w:rPr>
          <w:rFonts w:ascii="Arial" w:cs="Arial" w:eastAsia="Arial" w:hAnsi="Arial"/>
          <w:sz w:val="14"/>
          <w:szCs w:val="14"/>
          <w:color w:val="51555C"/>
        </w:rPr>
        <w:t>On May 2, 2025, Mr. Anderson was granted the number of RSAs or RSUs set forth next to his name in the table. These RSAs or RSUs vest in three equal annual installments beginning on the first anniversary of the date of grant, subject to his continued employment.</w:t>
      </w:r>
    </w:p>
    <w:p>
      <w:pPr>
        <w:ind w:left="340" w:right="40" w:hanging="332"/>
        <w:spacing w:after="0" w:line="262" w:lineRule="auto"/>
        <w:tabs>
          <w:tab w:leader="none" w:pos="354" w:val="left"/>
        </w:tabs>
        <w:numPr>
          <w:ilvl w:val="0"/>
          <w:numId w:val="65"/>
        </w:numPr>
        <w:rPr>
          <w:rFonts w:ascii="Arial" w:cs="Arial" w:eastAsia="Arial" w:hAnsi="Arial"/>
          <w:sz w:val="14"/>
          <w:szCs w:val="14"/>
          <w:color w:val="51555C"/>
        </w:rPr>
      </w:pPr>
      <w:r>
        <w:rPr>
          <w:rFonts w:ascii="Arial" w:cs="Arial" w:eastAsia="Arial" w:hAnsi="Arial"/>
          <w:sz w:val="14"/>
          <w:szCs w:val="14"/>
          <w:color w:val="51555C"/>
        </w:rPr>
        <w:t>On May 2, 2025, Mr. Anderson was granted a prorated May 2025 Promotion STI award. To the extent earned, the May 2025 Promotion STI PRSUs will vest on May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339725</wp:posOffset>
            </wp:positionV>
            <wp:extent cx="702945" cy="1117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02945" cy="11176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55</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00" w:right="319" w:bottom="1440" w:gutter="0" w:footer="0" w:header="0"/>
        </w:sectPr>
      </w:pPr>
    </w:p>
    <w:bookmarkStart w:id="57" w:name="page58"/>
    <w:bookmarkEnd w:id="57"/>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EXECUTIVE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100"/>
          </w:cols>
          <w:pgMar w:left="320" w:top="33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OUTSTANDING EQUITY AWARDS AT 2025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sets forth information with respect to unvested RSAs, RSUs and PRSUs held by our NEOs as of December 31, 2025.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51555C"/>
        </w:rPr>
        <w:t>The Company does not currently grant option awards.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80" w:type="dxa"/>
            <w:vAlign w:val="bottom"/>
            <w:tcBorders>
              <w:top w:val="single" w:sz="8" w:color="004054"/>
              <w:bottom w:val="single" w:sz="8" w:color="004054"/>
            </w:tcBorders>
            <w:shd w:val="clear" w:color="auto" w:fill="004054"/>
          </w:tcPr>
          <w:p>
            <w:pPr>
              <w:spacing w:after="0"/>
              <w:rPr>
                <w:sz w:val="20"/>
                <w:szCs w:val="20"/>
                <w:color w:val="auto"/>
              </w:rPr>
            </w:pPr>
          </w:p>
        </w:tc>
        <w:tc>
          <w:tcPr>
            <w:tcW w:w="920" w:type="dxa"/>
            <w:vAlign w:val="bottom"/>
            <w:tcBorders>
              <w:top w:val="single" w:sz="8" w:color="004054"/>
              <w:bottom w:val="single" w:sz="8" w:color="004054"/>
              <w:right w:val="single" w:sz="8" w:color="006880"/>
            </w:tcBorders>
            <w:shd w:val="clear" w:color="auto" w:fill="004054"/>
          </w:tcPr>
          <w:p>
            <w:pPr>
              <w:spacing w:after="0"/>
              <w:rPr>
                <w:sz w:val="20"/>
                <w:szCs w:val="20"/>
                <w:color w:val="auto"/>
              </w:rPr>
            </w:pPr>
          </w:p>
        </w:tc>
        <w:tc>
          <w:tcPr>
            <w:tcW w:w="1500" w:type="dxa"/>
            <w:vAlign w:val="bottom"/>
            <w:tcBorders>
              <w:top w:val="single" w:sz="8" w:color="006880"/>
              <w:bottom w:val="single" w:sz="8" w:color="004054"/>
            </w:tcBorders>
            <w:shd w:val="clear" w:color="auto" w:fill="006880"/>
          </w:tcPr>
          <w:p>
            <w:pPr>
              <w:spacing w:after="0"/>
              <w:rPr>
                <w:sz w:val="20"/>
                <w:szCs w:val="20"/>
                <w:color w:val="auto"/>
              </w:rPr>
            </w:pPr>
          </w:p>
        </w:tc>
        <w:tc>
          <w:tcPr>
            <w:tcW w:w="340" w:type="dxa"/>
            <w:vAlign w:val="bottom"/>
            <w:tcBorders>
              <w:top w:val="single" w:sz="8" w:color="006880"/>
              <w:bottom w:val="single" w:sz="8" w:color="004054"/>
            </w:tcBorders>
            <w:shd w:val="clear" w:color="auto" w:fill="006880"/>
          </w:tcPr>
          <w:p>
            <w:pPr>
              <w:spacing w:after="0"/>
              <w:rPr>
                <w:sz w:val="20"/>
                <w:szCs w:val="20"/>
                <w:color w:val="auto"/>
              </w:rPr>
            </w:pPr>
          </w:p>
        </w:tc>
        <w:tc>
          <w:tcPr>
            <w:tcW w:w="1520" w:type="dxa"/>
            <w:vAlign w:val="bottom"/>
            <w:tcBorders>
              <w:top w:val="single" w:sz="8" w:color="006880"/>
              <w:bottom w:val="single" w:sz="8" w:color="004054"/>
            </w:tcBorders>
            <w:shd w:val="clear" w:color="auto" w:fill="006880"/>
          </w:tcPr>
          <w:p>
            <w:pPr>
              <w:spacing w:after="0"/>
              <w:rPr>
                <w:sz w:val="20"/>
                <w:szCs w:val="20"/>
                <w:color w:val="auto"/>
              </w:rPr>
            </w:pPr>
          </w:p>
        </w:tc>
        <w:tc>
          <w:tcPr>
            <w:tcW w:w="2480" w:type="dxa"/>
            <w:vAlign w:val="bottom"/>
            <w:tcBorders>
              <w:top w:val="single" w:sz="8" w:color="006880"/>
              <w:bottom w:val="single" w:sz="8" w:color="004054"/>
            </w:tcBorders>
            <w:shd w:val="clear" w:color="auto" w:fill="006880"/>
          </w:tcPr>
          <w:p>
            <w:pPr>
              <w:jc w:val="right"/>
              <w:ind w:right="920"/>
              <w:spacing w:after="0"/>
              <w:rPr>
                <w:sz w:val="20"/>
                <w:szCs w:val="20"/>
                <w:color w:val="auto"/>
              </w:rPr>
            </w:pPr>
            <w:r>
              <w:rPr>
                <w:rFonts w:ascii="Arial" w:cs="Arial" w:eastAsia="Arial" w:hAnsi="Arial"/>
                <w:sz w:val="14"/>
                <w:szCs w:val="14"/>
                <w:b w:val="1"/>
                <w:bCs w:val="1"/>
                <w:color w:val="FFFFFF"/>
              </w:rPr>
              <w:t>Stock Awards</w:t>
            </w:r>
          </w:p>
        </w:tc>
        <w:tc>
          <w:tcPr>
            <w:tcW w:w="400" w:type="dxa"/>
            <w:vAlign w:val="bottom"/>
            <w:tcBorders>
              <w:top w:val="single" w:sz="8" w:color="006880"/>
              <w:bottom w:val="single" w:sz="8" w:color="004054"/>
            </w:tcBorders>
            <w:shd w:val="clear" w:color="auto" w:fill="006880"/>
          </w:tcPr>
          <w:p>
            <w:pPr>
              <w:spacing w:after="0"/>
              <w:rPr>
                <w:sz w:val="20"/>
                <w:szCs w:val="20"/>
                <w:color w:val="auto"/>
              </w:rPr>
            </w:pPr>
          </w:p>
        </w:tc>
        <w:tc>
          <w:tcPr>
            <w:tcW w:w="2500" w:type="dxa"/>
            <w:vAlign w:val="bottom"/>
            <w:tcBorders>
              <w:top w:val="single" w:sz="8" w:color="006880"/>
              <w:bottom w:val="single" w:sz="8" w:color="004054"/>
            </w:tcBorders>
            <w:shd w:val="clear" w:color="auto" w:fill="006880"/>
          </w:tcPr>
          <w:p>
            <w:pPr>
              <w:spacing w:after="0"/>
              <w:rPr>
                <w:sz w:val="20"/>
                <w:szCs w:val="20"/>
                <w:color w:val="auto"/>
              </w:rPr>
            </w:pPr>
          </w:p>
        </w:tc>
        <w:tc>
          <w:tcPr>
            <w:tcW w:w="20" w:type="dxa"/>
            <w:vAlign w:val="bottom"/>
            <w:tcBorders>
              <w:top w:val="single" w:sz="8" w:color="006880"/>
              <w:bottom w:val="single" w:sz="8" w:color="006880"/>
            </w:tcBorders>
            <w:shd w:val="clear" w:color="auto" w:fill="006880"/>
          </w:tcPr>
          <w:p>
            <w:pPr>
              <w:spacing w:after="0"/>
              <w:rPr>
                <w:sz w:val="20"/>
                <w:szCs w:val="20"/>
                <w:color w:val="auto"/>
              </w:rPr>
            </w:pPr>
          </w:p>
        </w:tc>
      </w:tr>
      <w:tr>
        <w:trPr>
          <w:trHeight w:val="180"/>
        </w:trPr>
        <w:tc>
          <w:tcPr>
            <w:tcW w:w="1580" w:type="dxa"/>
            <w:vAlign w:val="bottom"/>
            <w:shd w:val="clear" w:color="auto" w:fill="004054"/>
          </w:tcPr>
          <w:p>
            <w:pPr>
              <w:spacing w:after="0"/>
              <w:rPr>
                <w:sz w:val="15"/>
                <w:szCs w:val="15"/>
                <w:color w:val="auto"/>
              </w:rPr>
            </w:pPr>
          </w:p>
        </w:tc>
        <w:tc>
          <w:tcPr>
            <w:tcW w:w="920" w:type="dxa"/>
            <w:vAlign w:val="bottom"/>
            <w:tcBorders>
              <w:right w:val="single" w:sz="8" w:color="004054"/>
            </w:tcBorders>
            <w:shd w:val="clear" w:color="auto" w:fill="004054"/>
          </w:tcPr>
          <w:p>
            <w:pPr>
              <w:spacing w:after="0"/>
              <w:rPr>
                <w:sz w:val="15"/>
                <w:szCs w:val="15"/>
                <w:color w:val="auto"/>
              </w:rPr>
            </w:pPr>
          </w:p>
        </w:tc>
        <w:tc>
          <w:tcPr>
            <w:tcW w:w="15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 of Shares</w:t>
            </w:r>
          </w:p>
        </w:tc>
        <w:tc>
          <w:tcPr>
            <w:tcW w:w="340" w:type="dxa"/>
            <w:vAlign w:val="bottom"/>
            <w:shd w:val="clear" w:color="auto" w:fill="004054"/>
          </w:tcPr>
          <w:p>
            <w:pPr>
              <w:spacing w:after="0"/>
              <w:rPr>
                <w:sz w:val="15"/>
                <w:szCs w:val="15"/>
                <w:color w:val="auto"/>
              </w:rPr>
            </w:pPr>
          </w:p>
        </w:tc>
        <w:tc>
          <w:tcPr>
            <w:tcW w:w="15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Market Value of</w:t>
            </w:r>
          </w:p>
        </w:tc>
        <w:tc>
          <w:tcPr>
            <w:tcW w:w="24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Equity Incentive Plan Awards:</w:t>
            </w:r>
          </w:p>
        </w:tc>
        <w:tc>
          <w:tcPr>
            <w:tcW w:w="400" w:type="dxa"/>
            <w:vAlign w:val="bottom"/>
            <w:shd w:val="clear" w:color="auto" w:fill="004054"/>
          </w:tcPr>
          <w:p>
            <w:pPr>
              <w:spacing w:after="0"/>
              <w:rPr>
                <w:sz w:val="15"/>
                <w:szCs w:val="15"/>
                <w:color w:val="auto"/>
              </w:rPr>
            </w:pPr>
          </w:p>
        </w:tc>
        <w:tc>
          <w:tcPr>
            <w:tcW w:w="25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Equity Incentive Plan Awards:</w:t>
            </w:r>
          </w:p>
        </w:tc>
        <w:tc>
          <w:tcPr>
            <w:tcW w:w="20" w:type="dxa"/>
            <w:vAlign w:val="bottom"/>
            <w:shd w:val="clear" w:color="auto" w:fill="004054"/>
          </w:tcPr>
          <w:p>
            <w:pPr>
              <w:spacing w:after="0"/>
              <w:rPr>
                <w:sz w:val="15"/>
                <w:szCs w:val="15"/>
                <w:color w:val="auto"/>
              </w:rPr>
            </w:pPr>
          </w:p>
        </w:tc>
      </w:tr>
      <w:tr>
        <w:trPr>
          <w:trHeight w:val="176"/>
        </w:trPr>
        <w:tc>
          <w:tcPr>
            <w:tcW w:w="1580" w:type="dxa"/>
            <w:vAlign w:val="bottom"/>
            <w:shd w:val="clear" w:color="auto" w:fill="004054"/>
          </w:tcPr>
          <w:p>
            <w:pPr>
              <w:spacing w:after="0"/>
              <w:rPr>
                <w:sz w:val="15"/>
                <w:szCs w:val="15"/>
                <w:color w:val="auto"/>
              </w:rPr>
            </w:pPr>
          </w:p>
        </w:tc>
        <w:tc>
          <w:tcPr>
            <w:tcW w:w="920" w:type="dxa"/>
            <w:vAlign w:val="bottom"/>
            <w:tcBorders>
              <w:right w:val="single" w:sz="8" w:color="004054"/>
            </w:tcBorders>
            <w:shd w:val="clear" w:color="auto" w:fill="004054"/>
          </w:tcPr>
          <w:p>
            <w:pPr>
              <w:spacing w:after="0"/>
              <w:rPr>
                <w:sz w:val="15"/>
                <w:szCs w:val="15"/>
                <w:color w:val="auto"/>
              </w:rPr>
            </w:pPr>
          </w:p>
        </w:tc>
        <w:tc>
          <w:tcPr>
            <w:tcW w:w="15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or Units of Stock</w:t>
            </w:r>
          </w:p>
        </w:tc>
        <w:tc>
          <w:tcPr>
            <w:tcW w:w="340" w:type="dxa"/>
            <w:vAlign w:val="bottom"/>
            <w:shd w:val="clear" w:color="auto" w:fill="004054"/>
          </w:tcPr>
          <w:p>
            <w:pPr>
              <w:spacing w:after="0"/>
              <w:rPr>
                <w:sz w:val="15"/>
                <w:szCs w:val="15"/>
                <w:color w:val="auto"/>
              </w:rPr>
            </w:pPr>
          </w:p>
        </w:tc>
        <w:tc>
          <w:tcPr>
            <w:tcW w:w="15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Shares or Units of</w:t>
            </w:r>
          </w:p>
        </w:tc>
        <w:tc>
          <w:tcPr>
            <w:tcW w:w="24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 of Unearned Shares,</w:t>
            </w:r>
          </w:p>
        </w:tc>
        <w:tc>
          <w:tcPr>
            <w:tcW w:w="400" w:type="dxa"/>
            <w:vAlign w:val="bottom"/>
            <w:shd w:val="clear" w:color="auto" w:fill="004054"/>
          </w:tcPr>
          <w:p>
            <w:pPr>
              <w:spacing w:after="0"/>
              <w:rPr>
                <w:sz w:val="15"/>
                <w:szCs w:val="15"/>
                <w:color w:val="auto"/>
              </w:rPr>
            </w:pPr>
          </w:p>
        </w:tc>
        <w:tc>
          <w:tcPr>
            <w:tcW w:w="25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Market or Payout Value of</w:t>
            </w:r>
          </w:p>
        </w:tc>
        <w:tc>
          <w:tcPr>
            <w:tcW w:w="20" w:type="dxa"/>
            <w:vAlign w:val="bottom"/>
            <w:shd w:val="clear" w:color="auto" w:fill="004054"/>
          </w:tcPr>
          <w:p>
            <w:pPr>
              <w:spacing w:after="0"/>
              <w:rPr>
                <w:sz w:val="15"/>
                <w:szCs w:val="15"/>
                <w:color w:val="auto"/>
              </w:rPr>
            </w:pPr>
          </w:p>
        </w:tc>
      </w:tr>
      <w:tr>
        <w:trPr>
          <w:trHeight w:val="173"/>
        </w:trPr>
        <w:tc>
          <w:tcPr>
            <w:tcW w:w="1580" w:type="dxa"/>
            <w:vAlign w:val="bottom"/>
            <w:shd w:val="clear" w:color="auto" w:fill="004054"/>
          </w:tcPr>
          <w:p>
            <w:pPr>
              <w:spacing w:after="0"/>
              <w:rPr>
                <w:sz w:val="15"/>
                <w:szCs w:val="15"/>
                <w:color w:val="auto"/>
              </w:rPr>
            </w:pPr>
          </w:p>
        </w:tc>
        <w:tc>
          <w:tcPr>
            <w:tcW w:w="920" w:type="dxa"/>
            <w:vAlign w:val="bottom"/>
            <w:tcBorders>
              <w:right w:val="single" w:sz="8" w:color="004054"/>
            </w:tcBorders>
            <w:shd w:val="clear" w:color="auto" w:fill="004054"/>
          </w:tcPr>
          <w:p>
            <w:pPr>
              <w:spacing w:after="0"/>
              <w:rPr>
                <w:sz w:val="15"/>
                <w:szCs w:val="15"/>
                <w:color w:val="auto"/>
              </w:rPr>
            </w:pPr>
          </w:p>
        </w:tc>
        <w:tc>
          <w:tcPr>
            <w:tcW w:w="15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That Have</w:t>
            </w:r>
          </w:p>
        </w:tc>
        <w:tc>
          <w:tcPr>
            <w:tcW w:w="340" w:type="dxa"/>
            <w:vAlign w:val="bottom"/>
            <w:shd w:val="clear" w:color="auto" w:fill="004054"/>
          </w:tcPr>
          <w:p>
            <w:pPr>
              <w:spacing w:after="0"/>
              <w:rPr>
                <w:sz w:val="15"/>
                <w:szCs w:val="15"/>
                <w:color w:val="auto"/>
              </w:rPr>
            </w:pPr>
          </w:p>
        </w:tc>
        <w:tc>
          <w:tcPr>
            <w:tcW w:w="15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Stock That Have</w:t>
            </w:r>
          </w:p>
        </w:tc>
        <w:tc>
          <w:tcPr>
            <w:tcW w:w="24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Units or Other Rights That</w:t>
            </w:r>
          </w:p>
        </w:tc>
        <w:tc>
          <w:tcPr>
            <w:tcW w:w="400" w:type="dxa"/>
            <w:vAlign w:val="bottom"/>
            <w:shd w:val="clear" w:color="auto" w:fill="004054"/>
          </w:tcPr>
          <w:p>
            <w:pPr>
              <w:spacing w:after="0"/>
              <w:rPr>
                <w:sz w:val="15"/>
                <w:szCs w:val="15"/>
                <w:color w:val="auto"/>
              </w:rPr>
            </w:pPr>
          </w:p>
        </w:tc>
        <w:tc>
          <w:tcPr>
            <w:tcW w:w="25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Unearned Shares, Units or Other</w:t>
            </w:r>
          </w:p>
        </w:tc>
        <w:tc>
          <w:tcPr>
            <w:tcW w:w="20" w:type="dxa"/>
            <w:vAlign w:val="bottom"/>
            <w:shd w:val="clear" w:color="auto" w:fill="004054"/>
          </w:tcPr>
          <w:p>
            <w:pPr>
              <w:spacing w:after="0"/>
              <w:rPr>
                <w:sz w:val="15"/>
                <w:szCs w:val="15"/>
                <w:color w:val="auto"/>
              </w:rPr>
            </w:pPr>
          </w:p>
        </w:tc>
      </w:tr>
      <w:tr>
        <w:trPr>
          <w:trHeight w:val="178"/>
        </w:trPr>
        <w:tc>
          <w:tcPr>
            <w:tcW w:w="1580" w:type="dxa"/>
            <w:vAlign w:val="bottom"/>
            <w:shd w:val="clear" w:color="auto" w:fill="004054"/>
          </w:tcPr>
          <w:p>
            <w:pPr>
              <w:spacing w:after="0"/>
              <w:rPr>
                <w:sz w:val="15"/>
                <w:szCs w:val="15"/>
                <w:color w:val="auto"/>
              </w:rPr>
            </w:pPr>
          </w:p>
        </w:tc>
        <w:tc>
          <w:tcPr>
            <w:tcW w:w="920" w:type="dxa"/>
            <w:vAlign w:val="bottom"/>
            <w:tcBorders>
              <w:right w:val="single" w:sz="8" w:color="004054"/>
            </w:tcBorders>
            <w:shd w:val="clear" w:color="auto" w:fill="004054"/>
          </w:tcPr>
          <w:p>
            <w:pPr>
              <w:spacing w:after="0"/>
              <w:rPr>
                <w:sz w:val="15"/>
                <w:szCs w:val="15"/>
                <w:color w:val="auto"/>
              </w:rPr>
            </w:pPr>
          </w:p>
        </w:tc>
        <w:tc>
          <w:tcPr>
            <w:tcW w:w="15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Not Vested</w:t>
            </w:r>
          </w:p>
        </w:tc>
        <w:tc>
          <w:tcPr>
            <w:tcW w:w="340" w:type="dxa"/>
            <w:vAlign w:val="bottom"/>
            <w:shd w:val="clear" w:color="auto" w:fill="004054"/>
          </w:tcPr>
          <w:p>
            <w:pPr>
              <w:spacing w:after="0"/>
              <w:rPr>
                <w:sz w:val="15"/>
                <w:szCs w:val="15"/>
                <w:color w:val="auto"/>
              </w:rPr>
            </w:pPr>
          </w:p>
        </w:tc>
        <w:tc>
          <w:tcPr>
            <w:tcW w:w="1520" w:type="dxa"/>
            <w:vAlign w:val="bottom"/>
            <w:shd w:val="clear" w:color="auto" w:fill="004054"/>
          </w:tcPr>
          <w:p>
            <w:pPr>
              <w:jc w:val="right"/>
              <w:spacing w:after="0" w:line="178" w:lineRule="exact"/>
              <w:rPr>
                <w:sz w:val="20"/>
                <w:szCs w:val="20"/>
                <w:color w:val="auto"/>
              </w:rPr>
            </w:pPr>
            <w:r>
              <w:rPr>
                <w:rFonts w:ascii="Arial" w:cs="Arial" w:eastAsia="Arial" w:hAnsi="Arial"/>
                <w:sz w:val="14"/>
                <w:szCs w:val="14"/>
                <w:b w:val="1"/>
                <w:bCs w:val="1"/>
                <w:color w:val="FFFFFF"/>
              </w:rPr>
              <w:t>Not Vested</w:t>
            </w:r>
            <w:r>
              <w:rPr>
                <w:rFonts w:ascii="Arial" w:cs="Arial" w:eastAsia="Arial" w:hAnsi="Arial"/>
                <w:sz w:val="18"/>
                <w:szCs w:val="18"/>
                <w:b w:val="1"/>
                <w:bCs w:val="1"/>
                <w:color w:val="FFFFFF"/>
                <w:vertAlign w:val="superscript"/>
              </w:rPr>
              <w:t>(1)</w:t>
            </w:r>
          </w:p>
        </w:tc>
        <w:tc>
          <w:tcPr>
            <w:tcW w:w="24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Have Not Vested</w:t>
            </w:r>
          </w:p>
        </w:tc>
        <w:tc>
          <w:tcPr>
            <w:tcW w:w="400" w:type="dxa"/>
            <w:vAlign w:val="bottom"/>
            <w:shd w:val="clear" w:color="auto" w:fill="004054"/>
          </w:tcPr>
          <w:p>
            <w:pPr>
              <w:spacing w:after="0"/>
              <w:rPr>
                <w:sz w:val="15"/>
                <w:szCs w:val="15"/>
                <w:color w:val="auto"/>
              </w:rPr>
            </w:pPr>
          </w:p>
        </w:tc>
        <w:tc>
          <w:tcPr>
            <w:tcW w:w="2500" w:type="dxa"/>
            <w:vAlign w:val="bottom"/>
            <w:shd w:val="clear" w:color="auto" w:fill="004054"/>
          </w:tcPr>
          <w:p>
            <w:pPr>
              <w:jc w:val="right"/>
              <w:spacing w:after="0" w:line="178" w:lineRule="exact"/>
              <w:rPr>
                <w:sz w:val="20"/>
                <w:szCs w:val="20"/>
                <w:color w:val="auto"/>
              </w:rPr>
            </w:pPr>
            <w:r>
              <w:rPr>
                <w:rFonts w:ascii="Arial" w:cs="Arial" w:eastAsia="Arial" w:hAnsi="Arial"/>
                <w:sz w:val="14"/>
                <w:szCs w:val="14"/>
                <w:b w:val="1"/>
                <w:bCs w:val="1"/>
                <w:color w:val="FFFFFF"/>
              </w:rPr>
              <w:t>Rights That Have Not Vested</w:t>
            </w:r>
            <w:r>
              <w:rPr>
                <w:rFonts w:ascii="Arial" w:cs="Arial" w:eastAsia="Arial" w:hAnsi="Arial"/>
                <w:sz w:val="18"/>
                <w:szCs w:val="18"/>
                <w:b w:val="1"/>
                <w:bCs w:val="1"/>
                <w:color w:val="FFFFFF"/>
                <w:vertAlign w:val="superscript"/>
              </w:rPr>
              <w:t>(1)</w:t>
            </w:r>
          </w:p>
        </w:tc>
        <w:tc>
          <w:tcPr>
            <w:tcW w:w="20" w:type="dxa"/>
            <w:vAlign w:val="bottom"/>
            <w:shd w:val="clear" w:color="auto" w:fill="004054"/>
          </w:tcPr>
          <w:p>
            <w:pPr>
              <w:spacing w:after="0"/>
              <w:rPr>
                <w:sz w:val="15"/>
                <w:szCs w:val="15"/>
                <w:color w:val="auto"/>
              </w:rPr>
            </w:pPr>
          </w:p>
        </w:tc>
      </w:tr>
      <w:tr>
        <w:trPr>
          <w:trHeight w:val="205"/>
        </w:trPr>
        <w:tc>
          <w:tcPr>
            <w:tcW w:w="15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Name</w:t>
            </w:r>
          </w:p>
        </w:tc>
        <w:tc>
          <w:tcPr>
            <w:tcW w:w="920" w:type="dxa"/>
            <w:vAlign w:val="bottom"/>
            <w:tcBorders>
              <w:bottom w:val="single" w:sz="8" w:color="004054"/>
              <w:right w:val="single" w:sz="8" w:color="004054"/>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Grant Date</w:t>
            </w:r>
          </w:p>
        </w:tc>
        <w:tc>
          <w:tcPr>
            <w:tcW w:w="15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004054"/>
            </w:tcBorders>
            <w:shd w:val="clear" w:color="auto" w:fill="004054"/>
          </w:tcPr>
          <w:p>
            <w:pPr>
              <w:spacing w:after="0"/>
              <w:rPr>
                <w:sz w:val="17"/>
                <w:szCs w:val="17"/>
                <w:color w:val="auto"/>
              </w:rPr>
            </w:pPr>
          </w:p>
        </w:tc>
        <w:tc>
          <w:tcPr>
            <w:tcW w:w="15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w:t>
            </w:r>
          </w:p>
        </w:tc>
        <w:tc>
          <w:tcPr>
            <w:tcW w:w="24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w:t>
            </w:r>
          </w:p>
        </w:tc>
        <w:tc>
          <w:tcPr>
            <w:tcW w:w="400" w:type="dxa"/>
            <w:vAlign w:val="bottom"/>
            <w:tcBorders>
              <w:bottom w:val="single" w:sz="8" w:color="004054"/>
            </w:tcBorders>
            <w:shd w:val="clear" w:color="auto" w:fill="004054"/>
          </w:tcPr>
          <w:p>
            <w:pPr>
              <w:spacing w:after="0"/>
              <w:rPr>
                <w:sz w:val="17"/>
                <w:szCs w:val="17"/>
                <w:color w:val="auto"/>
              </w:rPr>
            </w:pPr>
          </w:p>
        </w:tc>
        <w:tc>
          <w:tcPr>
            <w:tcW w:w="25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004054"/>
            </w:tcBorders>
            <w:shd w:val="clear" w:color="auto" w:fill="004054"/>
          </w:tcPr>
          <w:p>
            <w:pPr>
              <w:spacing w:after="0"/>
              <w:rPr>
                <w:sz w:val="17"/>
                <w:szCs w:val="17"/>
                <w:color w:val="auto"/>
              </w:rPr>
            </w:pPr>
          </w:p>
        </w:tc>
      </w:tr>
      <w:tr>
        <w:trPr>
          <w:trHeight w:val="202"/>
        </w:trPr>
        <w:tc>
          <w:tcPr>
            <w:tcW w:w="158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Michael P.</w:t>
            </w:r>
          </w:p>
        </w:tc>
        <w:tc>
          <w:tcPr>
            <w:tcW w:w="920" w:type="dxa"/>
            <w:vAlign w:val="bottom"/>
            <w:tcBorders>
              <w:right w:val="single" w:sz="8" w:color="EBFBFF"/>
            </w:tcBorders>
            <w:shd w:val="clear" w:color="auto" w:fill="EBFBFF"/>
          </w:tcPr>
          <w:p>
            <w:pPr>
              <w:jc w:val="center"/>
              <w:spacing w:after="0"/>
              <w:rPr>
                <w:sz w:val="20"/>
                <w:szCs w:val="20"/>
                <w:color w:val="auto"/>
              </w:rPr>
            </w:pPr>
            <w:r>
              <w:rPr>
                <w:rFonts w:ascii="Arial" w:cs="Arial" w:eastAsia="Arial" w:hAnsi="Arial"/>
                <w:sz w:val="14"/>
                <w:szCs w:val="14"/>
                <w:color w:val="51555C"/>
              </w:rPr>
              <w:t>2/18/2025</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10,687</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(2)</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676,701</w:t>
            </w:r>
          </w:p>
        </w:tc>
        <w:tc>
          <w:tcPr>
            <w:tcW w:w="24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400" w:type="dxa"/>
            <w:vAlign w:val="bottom"/>
            <w:shd w:val="clear" w:color="auto" w:fill="EBFBFF"/>
          </w:tcPr>
          <w:p>
            <w:pPr>
              <w:spacing w:after="0"/>
              <w:rPr>
                <w:sz w:val="17"/>
                <w:szCs w:val="17"/>
                <w:color w:val="auto"/>
              </w:rPr>
            </w:pP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17"/>
                <w:szCs w:val="17"/>
                <w:color w:val="auto"/>
              </w:rPr>
            </w:pPr>
          </w:p>
        </w:tc>
      </w:tr>
      <w:tr>
        <w:trPr>
          <w:trHeight w:val="269"/>
        </w:trPr>
        <w:tc>
          <w:tcPr>
            <w:tcW w:w="158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Gianoni</w:t>
            </w:r>
          </w:p>
        </w:tc>
        <w:tc>
          <w:tcPr>
            <w:tcW w:w="920" w:type="dxa"/>
            <w:vAlign w:val="bottom"/>
            <w:tcBorders>
              <w:right w:val="single" w:sz="8" w:color="EBFBFF"/>
            </w:tcBorders>
            <w:shd w:val="clear" w:color="auto" w:fill="EBFBFF"/>
          </w:tcPr>
          <w:p>
            <w:pPr>
              <w:jc w:val="center"/>
              <w:spacing w:after="0"/>
              <w:rPr>
                <w:sz w:val="20"/>
                <w:szCs w:val="20"/>
                <w:color w:val="auto"/>
              </w:rPr>
            </w:pPr>
            <w:r>
              <w:rPr>
                <w:rFonts w:ascii="Arial" w:cs="Arial" w:eastAsia="Arial" w:hAnsi="Arial"/>
                <w:sz w:val="14"/>
                <w:szCs w:val="14"/>
                <w:color w:val="51555C"/>
              </w:rPr>
              <w:t>2/19/2025</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32,582</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(3)</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2,063,092</w:t>
            </w:r>
          </w:p>
        </w:tc>
        <w:tc>
          <w:tcPr>
            <w:tcW w:w="24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400" w:type="dxa"/>
            <w:vAlign w:val="bottom"/>
            <w:shd w:val="clear" w:color="auto" w:fill="EBFBFF"/>
          </w:tcPr>
          <w:p>
            <w:pPr>
              <w:spacing w:after="0"/>
              <w:rPr>
                <w:sz w:val="23"/>
                <w:szCs w:val="23"/>
                <w:color w:val="auto"/>
              </w:rPr>
            </w:pP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3"/>
                <w:szCs w:val="23"/>
                <w:color w:val="auto"/>
              </w:rPr>
            </w:pPr>
          </w:p>
        </w:tc>
      </w:tr>
      <w:tr>
        <w:trPr>
          <w:trHeight w:val="243"/>
        </w:trPr>
        <w:tc>
          <w:tcPr>
            <w:tcW w:w="1580" w:type="dxa"/>
            <w:vAlign w:val="bottom"/>
            <w:shd w:val="clear" w:color="auto" w:fill="EBFBFF"/>
          </w:tcPr>
          <w:p>
            <w:pPr>
              <w:spacing w:after="0"/>
              <w:rPr>
                <w:sz w:val="21"/>
                <w:szCs w:val="21"/>
                <w:color w:val="auto"/>
              </w:rPr>
            </w:pPr>
          </w:p>
        </w:tc>
        <w:tc>
          <w:tcPr>
            <w:tcW w:w="920" w:type="dxa"/>
            <w:vAlign w:val="bottom"/>
            <w:tcBorders>
              <w:right w:val="single" w:sz="8" w:color="EBFBFF"/>
            </w:tcBorders>
            <w:shd w:val="clear" w:color="auto" w:fill="EBFBFF"/>
          </w:tcPr>
          <w:p>
            <w:pPr>
              <w:jc w:val="center"/>
              <w:spacing w:after="0"/>
              <w:rPr>
                <w:sz w:val="20"/>
                <w:szCs w:val="20"/>
                <w:color w:val="auto"/>
              </w:rPr>
            </w:pPr>
            <w:r>
              <w:rPr>
                <w:rFonts w:ascii="Arial" w:cs="Arial" w:eastAsia="Arial" w:hAnsi="Arial"/>
                <w:sz w:val="14"/>
                <w:szCs w:val="14"/>
                <w:color w:val="51555C"/>
              </w:rPr>
              <w:t>2/19/2025</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16,294</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(4)</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1,031,736</w:t>
            </w:r>
          </w:p>
        </w:tc>
        <w:tc>
          <w:tcPr>
            <w:tcW w:w="24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400" w:type="dxa"/>
            <w:vAlign w:val="bottom"/>
            <w:shd w:val="clear" w:color="auto" w:fill="EBFBFF"/>
          </w:tcPr>
          <w:p>
            <w:pPr>
              <w:spacing w:after="0"/>
              <w:rPr>
                <w:sz w:val="21"/>
                <w:szCs w:val="21"/>
                <w:color w:val="auto"/>
              </w:rPr>
            </w:pP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1"/>
                <w:szCs w:val="21"/>
                <w:color w:val="auto"/>
              </w:rPr>
            </w:pPr>
          </w:p>
        </w:tc>
      </w:tr>
      <w:tr>
        <w:trPr>
          <w:trHeight w:val="243"/>
        </w:trPr>
        <w:tc>
          <w:tcPr>
            <w:tcW w:w="1580" w:type="dxa"/>
            <w:vAlign w:val="bottom"/>
            <w:shd w:val="clear" w:color="auto" w:fill="EBFBFF"/>
          </w:tcPr>
          <w:p>
            <w:pPr>
              <w:spacing w:after="0"/>
              <w:rPr>
                <w:sz w:val="21"/>
                <w:szCs w:val="21"/>
                <w:color w:val="auto"/>
              </w:rPr>
            </w:pPr>
          </w:p>
        </w:tc>
        <w:tc>
          <w:tcPr>
            <w:tcW w:w="920" w:type="dxa"/>
            <w:vAlign w:val="bottom"/>
            <w:tcBorders>
              <w:right w:val="single" w:sz="8" w:color="EBFBFF"/>
            </w:tcBorders>
            <w:shd w:val="clear" w:color="auto" w:fill="EBFBFF"/>
          </w:tcPr>
          <w:p>
            <w:pPr>
              <w:jc w:val="center"/>
              <w:spacing w:after="0"/>
              <w:rPr>
                <w:sz w:val="20"/>
                <w:szCs w:val="20"/>
                <w:color w:val="auto"/>
              </w:rPr>
            </w:pPr>
            <w:r>
              <w:rPr>
                <w:rFonts w:ascii="Arial" w:cs="Arial" w:eastAsia="Arial" w:hAnsi="Arial"/>
                <w:sz w:val="14"/>
                <w:szCs w:val="14"/>
                <w:color w:val="51555C"/>
              </w:rPr>
              <w:t>2/19/2025</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5,690</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(5)</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360,291</w:t>
            </w:r>
          </w:p>
        </w:tc>
        <w:tc>
          <w:tcPr>
            <w:tcW w:w="24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21,720</w:t>
            </w:r>
          </w:p>
        </w:tc>
        <w:tc>
          <w:tcPr>
            <w:tcW w:w="400" w:type="dxa"/>
            <w:vAlign w:val="bottom"/>
            <w:shd w:val="clear" w:color="auto" w:fill="EBFBFF"/>
          </w:tcPr>
          <w:p>
            <w:pPr>
              <w:jc w:val="right"/>
              <w:ind w:right="66"/>
              <w:spacing w:after="0"/>
              <w:rPr>
                <w:sz w:val="20"/>
                <w:szCs w:val="20"/>
                <w:color w:val="auto"/>
              </w:rPr>
            </w:pPr>
            <w:r>
              <w:rPr>
                <w:rFonts w:ascii="Arial" w:cs="Arial" w:eastAsia="Arial" w:hAnsi="Arial"/>
                <w:sz w:val="11"/>
                <w:szCs w:val="11"/>
                <w:color w:val="51555C"/>
                <w:w w:val="96"/>
              </w:rPr>
              <w:t>(6)(7)</w:t>
            </w: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1,375,310</w:t>
            </w:r>
          </w:p>
        </w:tc>
        <w:tc>
          <w:tcPr>
            <w:tcW w:w="20" w:type="dxa"/>
            <w:vAlign w:val="bottom"/>
          </w:tcPr>
          <w:p>
            <w:pPr>
              <w:spacing w:after="0"/>
              <w:rPr>
                <w:sz w:val="21"/>
                <w:szCs w:val="21"/>
                <w:color w:val="auto"/>
              </w:rPr>
            </w:pPr>
          </w:p>
        </w:tc>
      </w:tr>
      <w:tr>
        <w:trPr>
          <w:trHeight w:val="243"/>
        </w:trPr>
        <w:tc>
          <w:tcPr>
            <w:tcW w:w="1580" w:type="dxa"/>
            <w:vAlign w:val="bottom"/>
            <w:shd w:val="clear" w:color="auto" w:fill="EBFBFF"/>
          </w:tcPr>
          <w:p>
            <w:pPr>
              <w:spacing w:after="0"/>
              <w:rPr>
                <w:sz w:val="21"/>
                <w:szCs w:val="21"/>
                <w:color w:val="auto"/>
              </w:rPr>
            </w:pPr>
          </w:p>
        </w:tc>
        <w:tc>
          <w:tcPr>
            <w:tcW w:w="920" w:type="dxa"/>
            <w:vAlign w:val="bottom"/>
            <w:tcBorders>
              <w:right w:val="single" w:sz="8" w:color="EBFBFF"/>
            </w:tcBorders>
            <w:shd w:val="clear" w:color="auto" w:fill="EBFBFF"/>
          </w:tcPr>
          <w:p>
            <w:pPr>
              <w:jc w:val="center"/>
              <w:spacing w:after="0"/>
              <w:rPr>
                <w:sz w:val="20"/>
                <w:szCs w:val="20"/>
                <w:color w:val="auto"/>
              </w:rPr>
            </w:pPr>
            <w:r>
              <w:rPr>
                <w:rFonts w:ascii="Arial" w:cs="Arial" w:eastAsia="Arial" w:hAnsi="Arial"/>
                <w:sz w:val="14"/>
                <w:szCs w:val="14"/>
                <w:color w:val="51555C"/>
              </w:rPr>
              <w:t>2/21/2024</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43,014</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(3)</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2,723,646</w:t>
            </w:r>
          </w:p>
        </w:tc>
        <w:tc>
          <w:tcPr>
            <w:tcW w:w="24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400" w:type="dxa"/>
            <w:vAlign w:val="bottom"/>
            <w:shd w:val="clear" w:color="auto" w:fill="EBFBFF"/>
          </w:tcPr>
          <w:p>
            <w:pPr>
              <w:spacing w:after="0"/>
              <w:rPr>
                <w:sz w:val="21"/>
                <w:szCs w:val="21"/>
                <w:color w:val="auto"/>
              </w:rPr>
            </w:pP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1"/>
                <w:szCs w:val="21"/>
                <w:color w:val="auto"/>
              </w:rPr>
            </w:pPr>
          </w:p>
        </w:tc>
      </w:tr>
      <w:tr>
        <w:trPr>
          <w:trHeight w:val="243"/>
        </w:trPr>
        <w:tc>
          <w:tcPr>
            <w:tcW w:w="1580" w:type="dxa"/>
            <w:vAlign w:val="bottom"/>
            <w:shd w:val="clear" w:color="auto" w:fill="EBFBFF"/>
          </w:tcPr>
          <w:p>
            <w:pPr>
              <w:spacing w:after="0"/>
              <w:rPr>
                <w:sz w:val="21"/>
                <w:szCs w:val="21"/>
                <w:color w:val="auto"/>
              </w:rPr>
            </w:pPr>
          </w:p>
        </w:tc>
        <w:tc>
          <w:tcPr>
            <w:tcW w:w="920" w:type="dxa"/>
            <w:vAlign w:val="bottom"/>
            <w:tcBorders>
              <w:right w:val="single" w:sz="8" w:color="EBFBFF"/>
            </w:tcBorders>
            <w:shd w:val="clear" w:color="auto" w:fill="EBFBFF"/>
          </w:tcPr>
          <w:p>
            <w:pPr>
              <w:jc w:val="center"/>
              <w:spacing w:after="0"/>
              <w:rPr>
                <w:sz w:val="20"/>
                <w:szCs w:val="20"/>
                <w:color w:val="auto"/>
              </w:rPr>
            </w:pPr>
            <w:r>
              <w:rPr>
                <w:rFonts w:ascii="Arial" w:cs="Arial" w:eastAsia="Arial" w:hAnsi="Arial"/>
                <w:sz w:val="14"/>
                <w:szCs w:val="14"/>
                <w:color w:val="51555C"/>
              </w:rPr>
              <w:t>2/21/2024</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19,637</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(4)</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1,243,415</w:t>
            </w:r>
          </w:p>
        </w:tc>
        <w:tc>
          <w:tcPr>
            <w:tcW w:w="24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400" w:type="dxa"/>
            <w:vAlign w:val="bottom"/>
            <w:shd w:val="clear" w:color="auto" w:fill="EBFBFF"/>
          </w:tcPr>
          <w:p>
            <w:pPr>
              <w:spacing w:after="0"/>
              <w:rPr>
                <w:sz w:val="21"/>
                <w:szCs w:val="21"/>
                <w:color w:val="auto"/>
              </w:rPr>
            </w:pP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1"/>
                <w:szCs w:val="21"/>
                <w:color w:val="auto"/>
              </w:rPr>
            </w:pPr>
          </w:p>
        </w:tc>
      </w:tr>
      <w:tr>
        <w:trPr>
          <w:trHeight w:val="243"/>
        </w:trPr>
        <w:tc>
          <w:tcPr>
            <w:tcW w:w="1580" w:type="dxa"/>
            <w:vAlign w:val="bottom"/>
            <w:shd w:val="clear" w:color="auto" w:fill="EBFBFF"/>
          </w:tcPr>
          <w:p>
            <w:pPr>
              <w:spacing w:after="0"/>
              <w:rPr>
                <w:sz w:val="21"/>
                <w:szCs w:val="21"/>
                <w:color w:val="auto"/>
              </w:rPr>
            </w:pPr>
          </w:p>
        </w:tc>
        <w:tc>
          <w:tcPr>
            <w:tcW w:w="920" w:type="dxa"/>
            <w:vAlign w:val="bottom"/>
            <w:tcBorders>
              <w:right w:val="single" w:sz="8" w:color="EBFBFF"/>
            </w:tcBorders>
            <w:shd w:val="clear" w:color="auto" w:fill="EBFBFF"/>
          </w:tcPr>
          <w:p>
            <w:pPr>
              <w:jc w:val="center"/>
              <w:spacing w:after="0"/>
              <w:rPr>
                <w:sz w:val="20"/>
                <w:szCs w:val="20"/>
                <w:color w:val="auto"/>
              </w:rPr>
            </w:pPr>
            <w:r>
              <w:rPr>
                <w:rFonts w:ascii="Arial" w:cs="Arial" w:eastAsia="Arial" w:hAnsi="Arial"/>
                <w:sz w:val="14"/>
                <w:szCs w:val="14"/>
                <w:color w:val="51555C"/>
              </w:rPr>
              <w:t>2/21/2024</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11,170</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(5)</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707,284</w:t>
            </w:r>
          </w:p>
        </w:tc>
        <w:tc>
          <w:tcPr>
            <w:tcW w:w="24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21,508</w:t>
            </w:r>
          </w:p>
        </w:tc>
        <w:tc>
          <w:tcPr>
            <w:tcW w:w="400" w:type="dxa"/>
            <w:vAlign w:val="bottom"/>
            <w:shd w:val="clear" w:color="auto" w:fill="EBFBFF"/>
          </w:tcPr>
          <w:p>
            <w:pPr>
              <w:jc w:val="right"/>
              <w:ind w:right="66"/>
              <w:spacing w:after="0"/>
              <w:rPr>
                <w:sz w:val="20"/>
                <w:szCs w:val="20"/>
                <w:color w:val="auto"/>
              </w:rPr>
            </w:pPr>
            <w:r>
              <w:rPr>
                <w:rFonts w:ascii="Arial" w:cs="Arial" w:eastAsia="Arial" w:hAnsi="Arial"/>
                <w:sz w:val="11"/>
                <w:szCs w:val="11"/>
                <w:color w:val="51555C"/>
                <w:w w:val="96"/>
              </w:rPr>
              <w:t>(6)(8)</w:t>
            </w: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1,361,887</w:t>
            </w:r>
          </w:p>
        </w:tc>
        <w:tc>
          <w:tcPr>
            <w:tcW w:w="20" w:type="dxa"/>
            <w:vAlign w:val="bottom"/>
          </w:tcPr>
          <w:p>
            <w:pPr>
              <w:spacing w:after="0"/>
              <w:rPr>
                <w:sz w:val="21"/>
                <w:szCs w:val="21"/>
                <w:color w:val="auto"/>
              </w:rPr>
            </w:pPr>
          </w:p>
        </w:tc>
      </w:tr>
      <w:tr>
        <w:trPr>
          <w:trHeight w:val="243"/>
        </w:trPr>
        <w:tc>
          <w:tcPr>
            <w:tcW w:w="1580" w:type="dxa"/>
            <w:vAlign w:val="bottom"/>
            <w:shd w:val="clear" w:color="auto" w:fill="EBFBFF"/>
          </w:tcPr>
          <w:p>
            <w:pPr>
              <w:spacing w:after="0"/>
              <w:rPr>
                <w:sz w:val="21"/>
                <w:szCs w:val="21"/>
                <w:color w:val="auto"/>
              </w:rPr>
            </w:pPr>
          </w:p>
        </w:tc>
        <w:tc>
          <w:tcPr>
            <w:tcW w:w="920" w:type="dxa"/>
            <w:vAlign w:val="bottom"/>
            <w:tcBorders>
              <w:right w:val="single" w:sz="8" w:color="EBFBFF"/>
            </w:tcBorders>
            <w:shd w:val="clear" w:color="auto" w:fill="EBFBFF"/>
          </w:tcPr>
          <w:p>
            <w:pPr>
              <w:jc w:val="center"/>
              <w:spacing w:after="0"/>
              <w:rPr>
                <w:sz w:val="20"/>
                <w:szCs w:val="20"/>
                <w:color w:val="auto"/>
              </w:rPr>
            </w:pPr>
            <w:r>
              <w:rPr>
                <w:rFonts w:ascii="Arial" w:cs="Arial" w:eastAsia="Arial" w:hAnsi="Arial"/>
                <w:sz w:val="14"/>
                <w:szCs w:val="14"/>
                <w:color w:val="51555C"/>
              </w:rPr>
              <w:t>2/13/2023</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21,787</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(3)</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1,379,553</w:t>
            </w:r>
          </w:p>
        </w:tc>
        <w:tc>
          <w:tcPr>
            <w:tcW w:w="24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400" w:type="dxa"/>
            <w:vAlign w:val="bottom"/>
            <w:shd w:val="clear" w:color="auto" w:fill="EBFBFF"/>
          </w:tcPr>
          <w:p>
            <w:pPr>
              <w:spacing w:after="0"/>
              <w:rPr>
                <w:sz w:val="21"/>
                <w:szCs w:val="21"/>
                <w:color w:val="auto"/>
              </w:rPr>
            </w:pP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1"/>
                <w:szCs w:val="21"/>
                <w:color w:val="auto"/>
              </w:rPr>
            </w:pPr>
          </w:p>
        </w:tc>
      </w:tr>
      <w:tr>
        <w:trPr>
          <w:trHeight w:val="243"/>
        </w:trPr>
        <w:tc>
          <w:tcPr>
            <w:tcW w:w="1580" w:type="dxa"/>
            <w:vAlign w:val="bottom"/>
            <w:shd w:val="clear" w:color="auto" w:fill="EBFBFF"/>
          </w:tcPr>
          <w:p>
            <w:pPr>
              <w:spacing w:after="0"/>
              <w:rPr>
                <w:sz w:val="21"/>
                <w:szCs w:val="21"/>
                <w:color w:val="auto"/>
              </w:rPr>
            </w:pPr>
          </w:p>
        </w:tc>
        <w:tc>
          <w:tcPr>
            <w:tcW w:w="920" w:type="dxa"/>
            <w:vAlign w:val="bottom"/>
            <w:tcBorders>
              <w:right w:val="single" w:sz="8" w:color="EBFBFF"/>
            </w:tcBorders>
            <w:shd w:val="clear" w:color="auto" w:fill="EBFBFF"/>
          </w:tcPr>
          <w:p>
            <w:pPr>
              <w:jc w:val="center"/>
              <w:spacing w:after="0"/>
              <w:rPr>
                <w:sz w:val="20"/>
                <w:szCs w:val="20"/>
                <w:color w:val="auto"/>
              </w:rPr>
            </w:pPr>
            <w:r>
              <w:rPr>
                <w:rFonts w:ascii="Arial" w:cs="Arial" w:eastAsia="Arial" w:hAnsi="Arial"/>
                <w:sz w:val="14"/>
                <w:szCs w:val="14"/>
                <w:color w:val="51555C"/>
              </w:rPr>
              <w:t>2/13/2023</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10,687</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(4)</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676,701</w:t>
            </w:r>
          </w:p>
        </w:tc>
        <w:tc>
          <w:tcPr>
            <w:tcW w:w="24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400" w:type="dxa"/>
            <w:vAlign w:val="bottom"/>
            <w:shd w:val="clear" w:color="auto" w:fill="EBFBFF"/>
          </w:tcPr>
          <w:p>
            <w:pPr>
              <w:spacing w:after="0"/>
              <w:rPr>
                <w:sz w:val="21"/>
                <w:szCs w:val="21"/>
                <w:color w:val="auto"/>
              </w:rPr>
            </w:pP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1"/>
                <w:szCs w:val="21"/>
                <w:color w:val="auto"/>
              </w:rPr>
            </w:pPr>
          </w:p>
        </w:tc>
      </w:tr>
      <w:tr>
        <w:trPr>
          <w:trHeight w:val="258"/>
        </w:trPr>
        <w:tc>
          <w:tcPr>
            <w:tcW w:w="1580" w:type="dxa"/>
            <w:vAlign w:val="bottom"/>
            <w:shd w:val="clear" w:color="auto" w:fill="EBFBFF"/>
          </w:tcPr>
          <w:p>
            <w:pPr>
              <w:spacing w:after="0"/>
              <w:rPr>
                <w:sz w:val="22"/>
                <w:szCs w:val="22"/>
                <w:color w:val="auto"/>
              </w:rPr>
            </w:pPr>
          </w:p>
        </w:tc>
        <w:tc>
          <w:tcPr>
            <w:tcW w:w="920" w:type="dxa"/>
            <w:vAlign w:val="bottom"/>
            <w:tcBorders>
              <w:right w:val="single" w:sz="8" w:color="EBFBFF"/>
            </w:tcBorders>
            <w:shd w:val="clear" w:color="auto" w:fill="EBFBFF"/>
          </w:tcPr>
          <w:p>
            <w:pPr>
              <w:jc w:val="center"/>
              <w:spacing w:after="0"/>
              <w:rPr>
                <w:sz w:val="20"/>
                <w:szCs w:val="20"/>
                <w:color w:val="auto"/>
              </w:rPr>
            </w:pPr>
            <w:r>
              <w:rPr>
                <w:rFonts w:ascii="Arial" w:cs="Arial" w:eastAsia="Arial" w:hAnsi="Arial"/>
                <w:sz w:val="14"/>
                <w:szCs w:val="14"/>
                <w:color w:val="51555C"/>
              </w:rPr>
              <w:t>2/13/2023</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15,629</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(5)</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989,628</w:t>
            </w:r>
          </w:p>
        </w:tc>
        <w:tc>
          <w:tcPr>
            <w:tcW w:w="24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400" w:type="dxa"/>
            <w:vAlign w:val="bottom"/>
            <w:shd w:val="clear" w:color="auto" w:fill="EBFBFF"/>
          </w:tcPr>
          <w:p>
            <w:pPr>
              <w:spacing w:after="0"/>
              <w:rPr>
                <w:sz w:val="22"/>
                <w:szCs w:val="22"/>
                <w:color w:val="auto"/>
              </w:rPr>
            </w:pP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02"/>
        </w:trPr>
        <w:tc>
          <w:tcPr>
            <w:tcW w:w="1580" w:type="dxa"/>
            <w:vAlign w:val="bottom"/>
          </w:tcPr>
          <w:p>
            <w:pPr>
              <w:ind w:left="20"/>
              <w:spacing w:after="0"/>
              <w:rPr>
                <w:sz w:val="20"/>
                <w:szCs w:val="20"/>
                <w:color w:val="auto"/>
              </w:rPr>
            </w:pPr>
            <w:r>
              <w:rPr>
                <w:rFonts w:ascii="Arial" w:cs="Arial" w:eastAsia="Arial" w:hAnsi="Arial"/>
                <w:sz w:val="16"/>
                <w:szCs w:val="16"/>
                <w:b w:val="1"/>
                <w:bCs w:val="1"/>
                <w:color w:val="51555C"/>
              </w:rPr>
              <w:t>Chad M.</w:t>
            </w:r>
          </w:p>
        </w:tc>
        <w:tc>
          <w:tcPr>
            <w:tcW w:w="920" w:type="dxa"/>
            <w:vAlign w:val="bottom"/>
          </w:tcPr>
          <w:p>
            <w:pPr>
              <w:jc w:val="center"/>
              <w:spacing w:after="0"/>
              <w:rPr>
                <w:sz w:val="20"/>
                <w:szCs w:val="20"/>
                <w:color w:val="auto"/>
              </w:rPr>
            </w:pPr>
            <w:r>
              <w:rPr>
                <w:rFonts w:ascii="Arial" w:cs="Arial" w:eastAsia="Arial" w:hAnsi="Arial"/>
                <w:sz w:val="14"/>
                <w:szCs w:val="14"/>
                <w:color w:val="51555C"/>
              </w:rPr>
              <w:t>2/18/2025</w:t>
            </w:r>
          </w:p>
        </w:tc>
        <w:tc>
          <w:tcPr>
            <w:tcW w:w="1500" w:type="dxa"/>
            <w:vAlign w:val="bottom"/>
          </w:tcPr>
          <w:p>
            <w:pPr>
              <w:jc w:val="right"/>
              <w:spacing w:after="0"/>
              <w:rPr>
                <w:sz w:val="20"/>
                <w:szCs w:val="20"/>
                <w:color w:val="auto"/>
              </w:rPr>
            </w:pPr>
            <w:r>
              <w:rPr>
                <w:rFonts w:ascii="Arial" w:cs="Arial" w:eastAsia="Arial" w:hAnsi="Arial"/>
                <w:sz w:val="16"/>
                <w:szCs w:val="16"/>
                <w:color w:val="51555C"/>
              </w:rPr>
              <w:t>3,006</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(2)</w:t>
            </w:r>
          </w:p>
        </w:tc>
        <w:tc>
          <w:tcPr>
            <w:tcW w:w="1520" w:type="dxa"/>
            <w:vAlign w:val="bottom"/>
          </w:tcPr>
          <w:p>
            <w:pPr>
              <w:jc w:val="right"/>
              <w:spacing w:after="0"/>
              <w:rPr>
                <w:sz w:val="20"/>
                <w:szCs w:val="20"/>
                <w:color w:val="auto"/>
              </w:rPr>
            </w:pPr>
            <w:r>
              <w:rPr>
                <w:rFonts w:ascii="Arial" w:cs="Arial" w:eastAsia="Arial" w:hAnsi="Arial"/>
                <w:sz w:val="16"/>
                <w:szCs w:val="16"/>
                <w:color w:val="51555C"/>
              </w:rPr>
              <w:t>190,340</w:t>
            </w:r>
          </w:p>
        </w:tc>
        <w:tc>
          <w:tcPr>
            <w:tcW w:w="2480" w:type="dxa"/>
            <w:vAlign w:val="bottom"/>
          </w:tcPr>
          <w:p>
            <w:pPr>
              <w:jc w:val="right"/>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17"/>
                <w:szCs w:val="17"/>
                <w:color w:val="auto"/>
              </w:rPr>
            </w:pPr>
          </w:p>
        </w:tc>
      </w:tr>
      <w:tr>
        <w:trPr>
          <w:trHeight w:val="282"/>
        </w:trPr>
        <w:tc>
          <w:tcPr>
            <w:tcW w:w="1580" w:type="dxa"/>
            <w:vAlign w:val="bottom"/>
          </w:tcPr>
          <w:p>
            <w:pPr>
              <w:ind w:left="20"/>
              <w:spacing w:after="0"/>
              <w:rPr>
                <w:sz w:val="20"/>
                <w:szCs w:val="20"/>
                <w:color w:val="auto"/>
              </w:rPr>
            </w:pPr>
            <w:r>
              <w:rPr>
                <w:rFonts w:ascii="Arial" w:cs="Arial" w:eastAsia="Arial" w:hAnsi="Arial"/>
                <w:sz w:val="16"/>
                <w:szCs w:val="16"/>
                <w:b w:val="1"/>
                <w:bCs w:val="1"/>
                <w:color w:val="51555C"/>
              </w:rPr>
              <w:t>Anderson</w:t>
            </w:r>
          </w:p>
        </w:tc>
        <w:tc>
          <w:tcPr>
            <w:tcW w:w="920" w:type="dxa"/>
            <w:vAlign w:val="bottom"/>
          </w:tcPr>
          <w:p>
            <w:pPr>
              <w:jc w:val="center"/>
              <w:spacing w:after="0"/>
              <w:rPr>
                <w:sz w:val="20"/>
                <w:szCs w:val="20"/>
                <w:color w:val="auto"/>
              </w:rPr>
            </w:pPr>
            <w:r>
              <w:rPr>
                <w:rFonts w:ascii="Arial" w:cs="Arial" w:eastAsia="Arial" w:hAnsi="Arial"/>
                <w:sz w:val="14"/>
                <w:szCs w:val="14"/>
                <w:color w:val="51555C"/>
              </w:rPr>
              <w:t>2/19/2025</w:t>
            </w:r>
          </w:p>
        </w:tc>
        <w:tc>
          <w:tcPr>
            <w:tcW w:w="1500" w:type="dxa"/>
            <w:vAlign w:val="bottom"/>
          </w:tcPr>
          <w:p>
            <w:pPr>
              <w:jc w:val="right"/>
              <w:spacing w:after="0"/>
              <w:rPr>
                <w:sz w:val="20"/>
                <w:szCs w:val="20"/>
                <w:color w:val="auto"/>
              </w:rPr>
            </w:pPr>
            <w:r>
              <w:rPr>
                <w:rFonts w:ascii="Arial" w:cs="Arial" w:eastAsia="Arial" w:hAnsi="Arial"/>
                <w:sz w:val="16"/>
                <w:szCs w:val="16"/>
                <w:color w:val="51555C"/>
              </w:rPr>
              <w:t>7,168</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(3)</w:t>
            </w:r>
          </w:p>
        </w:tc>
        <w:tc>
          <w:tcPr>
            <w:tcW w:w="1520" w:type="dxa"/>
            <w:vAlign w:val="bottom"/>
          </w:tcPr>
          <w:p>
            <w:pPr>
              <w:jc w:val="right"/>
              <w:spacing w:after="0"/>
              <w:rPr>
                <w:sz w:val="20"/>
                <w:szCs w:val="20"/>
                <w:color w:val="auto"/>
              </w:rPr>
            </w:pPr>
            <w:r>
              <w:rPr>
                <w:rFonts w:ascii="Arial" w:cs="Arial" w:eastAsia="Arial" w:hAnsi="Arial"/>
                <w:sz w:val="16"/>
                <w:szCs w:val="16"/>
                <w:color w:val="51555C"/>
              </w:rPr>
              <w:t>453,878</w:t>
            </w:r>
          </w:p>
        </w:tc>
        <w:tc>
          <w:tcPr>
            <w:tcW w:w="2480" w:type="dxa"/>
            <w:vAlign w:val="bottom"/>
          </w:tcPr>
          <w:p>
            <w:pPr>
              <w:jc w:val="right"/>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4"/>
                <w:szCs w:val="24"/>
                <w:color w:val="auto"/>
              </w:rPr>
            </w:pPr>
          </w:p>
        </w:tc>
      </w:tr>
      <w:tr>
        <w:trPr>
          <w:trHeight w:val="257"/>
        </w:trPr>
        <w:tc>
          <w:tcPr>
            <w:tcW w:w="158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51555C"/>
              </w:rPr>
              <w:t>2/19/2025</w:t>
            </w:r>
          </w:p>
        </w:tc>
        <w:tc>
          <w:tcPr>
            <w:tcW w:w="1500" w:type="dxa"/>
            <w:vAlign w:val="bottom"/>
          </w:tcPr>
          <w:p>
            <w:pPr>
              <w:jc w:val="right"/>
              <w:spacing w:after="0"/>
              <w:rPr>
                <w:sz w:val="20"/>
                <w:szCs w:val="20"/>
                <w:color w:val="auto"/>
              </w:rPr>
            </w:pPr>
            <w:r>
              <w:rPr>
                <w:rFonts w:ascii="Arial" w:cs="Arial" w:eastAsia="Arial" w:hAnsi="Arial"/>
                <w:sz w:val="16"/>
                <w:szCs w:val="16"/>
                <w:color w:val="51555C"/>
              </w:rPr>
              <w:t>3,587</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(4)</w:t>
            </w:r>
          </w:p>
        </w:tc>
        <w:tc>
          <w:tcPr>
            <w:tcW w:w="1520" w:type="dxa"/>
            <w:vAlign w:val="bottom"/>
          </w:tcPr>
          <w:p>
            <w:pPr>
              <w:jc w:val="right"/>
              <w:spacing w:after="0"/>
              <w:rPr>
                <w:sz w:val="20"/>
                <w:szCs w:val="20"/>
                <w:color w:val="auto"/>
              </w:rPr>
            </w:pPr>
            <w:r>
              <w:rPr>
                <w:rFonts w:ascii="Arial" w:cs="Arial" w:eastAsia="Arial" w:hAnsi="Arial"/>
                <w:sz w:val="16"/>
                <w:szCs w:val="16"/>
                <w:color w:val="51555C"/>
              </w:rPr>
              <w:t>227,129</w:t>
            </w:r>
          </w:p>
        </w:tc>
        <w:tc>
          <w:tcPr>
            <w:tcW w:w="2480" w:type="dxa"/>
            <w:vAlign w:val="bottom"/>
          </w:tcPr>
          <w:p>
            <w:pPr>
              <w:jc w:val="right"/>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7"/>
        </w:trPr>
        <w:tc>
          <w:tcPr>
            <w:tcW w:w="158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51555C"/>
              </w:rPr>
              <w:t>2/19/2025</w:t>
            </w:r>
          </w:p>
        </w:tc>
        <w:tc>
          <w:tcPr>
            <w:tcW w:w="1500" w:type="dxa"/>
            <w:vAlign w:val="bottom"/>
          </w:tcPr>
          <w:p>
            <w:pPr>
              <w:jc w:val="right"/>
              <w:spacing w:after="0"/>
              <w:rPr>
                <w:sz w:val="20"/>
                <w:szCs w:val="20"/>
                <w:color w:val="auto"/>
              </w:rPr>
            </w:pPr>
            <w:r>
              <w:rPr>
                <w:rFonts w:ascii="Arial" w:cs="Arial" w:eastAsia="Arial" w:hAnsi="Arial"/>
                <w:sz w:val="16"/>
                <w:szCs w:val="16"/>
                <w:color w:val="51555C"/>
              </w:rPr>
              <w:t>1,252</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(5)</w:t>
            </w:r>
          </w:p>
        </w:tc>
        <w:tc>
          <w:tcPr>
            <w:tcW w:w="1520" w:type="dxa"/>
            <w:vAlign w:val="bottom"/>
          </w:tcPr>
          <w:p>
            <w:pPr>
              <w:jc w:val="right"/>
              <w:spacing w:after="0"/>
              <w:rPr>
                <w:sz w:val="20"/>
                <w:szCs w:val="20"/>
                <w:color w:val="auto"/>
              </w:rPr>
            </w:pPr>
            <w:r>
              <w:rPr>
                <w:rFonts w:ascii="Arial" w:cs="Arial" w:eastAsia="Arial" w:hAnsi="Arial"/>
                <w:sz w:val="16"/>
                <w:szCs w:val="16"/>
                <w:color w:val="51555C"/>
              </w:rPr>
              <w:t>79,277</w:t>
            </w:r>
          </w:p>
        </w:tc>
        <w:tc>
          <w:tcPr>
            <w:tcW w:w="2480" w:type="dxa"/>
            <w:vAlign w:val="bottom"/>
          </w:tcPr>
          <w:p>
            <w:pPr>
              <w:jc w:val="right"/>
              <w:spacing w:after="0"/>
              <w:rPr>
                <w:sz w:val="20"/>
                <w:szCs w:val="20"/>
                <w:color w:val="auto"/>
              </w:rPr>
            </w:pPr>
            <w:r>
              <w:rPr>
                <w:rFonts w:ascii="Arial" w:cs="Arial" w:eastAsia="Arial" w:hAnsi="Arial"/>
                <w:sz w:val="16"/>
                <w:szCs w:val="16"/>
                <w:color w:val="51555C"/>
              </w:rPr>
              <w:t>4,778</w:t>
            </w:r>
          </w:p>
        </w:tc>
        <w:tc>
          <w:tcPr>
            <w:tcW w:w="400" w:type="dxa"/>
            <w:vAlign w:val="bottom"/>
          </w:tcPr>
          <w:p>
            <w:pPr>
              <w:jc w:val="right"/>
              <w:ind w:right="66"/>
              <w:spacing w:after="0"/>
              <w:rPr>
                <w:sz w:val="20"/>
                <w:szCs w:val="20"/>
                <w:color w:val="auto"/>
              </w:rPr>
            </w:pPr>
            <w:r>
              <w:rPr>
                <w:rFonts w:ascii="Arial" w:cs="Arial" w:eastAsia="Arial" w:hAnsi="Arial"/>
                <w:sz w:val="11"/>
                <w:szCs w:val="11"/>
                <w:color w:val="51555C"/>
                <w:w w:val="96"/>
              </w:rPr>
              <w:t>(6)(7)</w:t>
            </w:r>
          </w:p>
        </w:tc>
        <w:tc>
          <w:tcPr>
            <w:tcW w:w="2500" w:type="dxa"/>
            <w:vAlign w:val="bottom"/>
          </w:tcPr>
          <w:p>
            <w:pPr>
              <w:jc w:val="right"/>
              <w:spacing w:after="0"/>
              <w:rPr>
                <w:sz w:val="20"/>
                <w:szCs w:val="20"/>
                <w:color w:val="auto"/>
              </w:rPr>
            </w:pPr>
            <w:r>
              <w:rPr>
                <w:rFonts w:ascii="Arial" w:cs="Arial" w:eastAsia="Arial" w:hAnsi="Arial"/>
                <w:sz w:val="16"/>
                <w:szCs w:val="16"/>
                <w:color w:val="51555C"/>
              </w:rPr>
              <w:t>302,543</w:t>
            </w:r>
          </w:p>
        </w:tc>
        <w:tc>
          <w:tcPr>
            <w:tcW w:w="20" w:type="dxa"/>
            <w:vAlign w:val="bottom"/>
          </w:tcPr>
          <w:p>
            <w:pPr>
              <w:spacing w:after="0"/>
              <w:rPr>
                <w:sz w:val="22"/>
                <w:szCs w:val="22"/>
                <w:color w:val="auto"/>
              </w:rPr>
            </w:pPr>
          </w:p>
        </w:tc>
      </w:tr>
      <w:tr>
        <w:trPr>
          <w:trHeight w:val="256"/>
        </w:trPr>
        <w:tc>
          <w:tcPr>
            <w:tcW w:w="158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51555C"/>
              </w:rPr>
              <w:t>5/2/2025</w:t>
            </w:r>
          </w:p>
        </w:tc>
        <w:tc>
          <w:tcPr>
            <w:tcW w:w="1500" w:type="dxa"/>
            <w:vAlign w:val="bottom"/>
          </w:tcPr>
          <w:p>
            <w:pPr>
              <w:jc w:val="right"/>
              <w:spacing w:after="0"/>
              <w:rPr>
                <w:sz w:val="20"/>
                <w:szCs w:val="20"/>
                <w:color w:val="auto"/>
              </w:rPr>
            </w:pPr>
            <w:r>
              <w:rPr>
                <w:rFonts w:ascii="Arial" w:cs="Arial" w:eastAsia="Arial" w:hAnsi="Arial"/>
                <w:sz w:val="16"/>
                <w:szCs w:val="16"/>
                <w:color w:val="51555C"/>
              </w:rPr>
              <w:t>616</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(2)</w:t>
            </w:r>
          </w:p>
        </w:tc>
        <w:tc>
          <w:tcPr>
            <w:tcW w:w="1520" w:type="dxa"/>
            <w:vAlign w:val="bottom"/>
          </w:tcPr>
          <w:p>
            <w:pPr>
              <w:jc w:val="right"/>
              <w:spacing w:after="0"/>
              <w:rPr>
                <w:sz w:val="20"/>
                <w:szCs w:val="20"/>
                <w:color w:val="auto"/>
              </w:rPr>
            </w:pPr>
            <w:r>
              <w:rPr>
                <w:rFonts w:ascii="Arial" w:cs="Arial" w:eastAsia="Arial" w:hAnsi="Arial"/>
                <w:sz w:val="16"/>
                <w:szCs w:val="16"/>
                <w:color w:val="51555C"/>
              </w:rPr>
              <w:t>39,005</w:t>
            </w:r>
          </w:p>
        </w:tc>
        <w:tc>
          <w:tcPr>
            <w:tcW w:w="2480" w:type="dxa"/>
            <w:vAlign w:val="bottom"/>
          </w:tcPr>
          <w:p>
            <w:pPr>
              <w:jc w:val="right"/>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7"/>
        </w:trPr>
        <w:tc>
          <w:tcPr>
            <w:tcW w:w="158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51555C"/>
              </w:rPr>
              <w:t>5/2/2025</w:t>
            </w:r>
          </w:p>
        </w:tc>
        <w:tc>
          <w:tcPr>
            <w:tcW w:w="1500" w:type="dxa"/>
            <w:vAlign w:val="bottom"/>
          </w:tcPr>
          <w:p>
            <w:pPr>
              <w:jc w:val="right"/>
              <w:spacing w:after="0"/>
              <w:rPr>
                <w:sz w:val="20"/>
                <w:szCs w:val="20"/>
                <w:color w:val="auto"/>
              </w:rPr>
            </w:pPr>
            <w:r>
              <w:rPr>
                <w:rFonts w:ascii="Arial" w:cs="Arial" w:eastAsia="Arial" w:hAnsi="Arial"/>
                <w:sz w:val="16"/>
                <w:szCs w:val="16"/>
                <w:color w:val="51555C"/>
              </w:rPr>
              <w:t>11,227</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(3)</w:t>
            </w:r>
          </w:p>
        </w:tc>
        <w:tc>
          <w:tcPr>
            <w:tcW w:w="1520" w:type="dxa"/>
            <w:vAlign w:val="bottom"/>
          </w:tcPr>
          <w:p>
            <w:pPr>
              <w:jc w:val="right"/>
              <w:spacing w:after="0"/>
              <w:rPr>
                <w:sz w:val="20"/>
                <w:szCs w:val="20"/>
                <w:color w:val="auto"/>
              </w:rPr>
            </w:pPr>
            <w:r>
              <w:rPr>
                <w:rFonts w:ascii="Arial" w:cs="Arial" w:eastAsia="Arial" w:hAnsi="Arial"/>
                <w:sz w:val="16"/>
                <w:szCs w:val="16"/>
                <w:color w:val="51555C"/>
              </w:rPr>
              <w:t>710,894</w:t>
            </w:r>
          </w:p>
        </w:tc>
        <w:tc>
          <w:tcPr>
            <w:tcW w:w="2480" w:type="dxa"/>
            <w:vAlign w:val="bottom"/>
          </w:tcPr>
          <w:p>
            <w:pPr>
              <w:jc w:val="right"/>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6"/>
        </w:trPr>
        <w:tc>
          <w:tcPr>
            <w:tcW w:w="158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51555C"/>
              </w:rPr>
              <w:t>2/21/2024</w:t>
            </w:r>
          </w:p>
        </w:tc>
        <w:tc>
          <w:tcPr>
            <w:tcW w:w="1500" w:type="dxa"/>
            <w:vAlign w:val="bottom"/>
          </w:tcPr>
          <w:p>
            <w:pPr>
              <w:jc w:val="right"/>
              <w:spacing w:after="0"/>
              <w:rPr>
                <w:sz w:val="20"/>
                <w:szCs w:val="20"/>
                <w:color w:val="auto"/>
              </w:rPr>
            </w:pPr>
            <w:r>
              <w:rPr>
                <w:rFonts w:ascii="Arial" w:cs="Arial" w:eastAsia="Arial" w:hAnsi="Arial"/>
                <w:sz w:val="16"/>
                <w:szCs w:val="16"/>
                <w:color w:val="51555C"/>
              </w:rPr>
              <w:t>4,916</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(3)</w:t>
            </w:r>
          </w:p>
        </w:tc>
        <w:tc>
          <w:tcPr>
            <w:tcW w:w="1520" w:type="dxa"/>
            <w:vAlign w:val="bottom"/>
          </w:tcPr>
          <w:p>
            <w:pPr>
              <w:jc w:val="right"/>
              <w:spacing w:after="0"/>
              <w:rPr>
                <w:sz w:val="20"/>
                <w:szCs w:val="20"/>
                <w:color w:val="auto"/>
              </w:rPr>
            </w:pPr>
            <w:r>
              <w:rPr>
                <w:rFonts w:ascii="Arial" w:cs="Arial" w:eastAsia="Arial" w:hAnsi="Arial"/>
                <w:sz w:val="16"/>
                <w:szCs w:val="16"/>
                <w:color w:val="51555C"/>
              </w:rPr>
              <w:t>311,281</w:t>
            </w:r>
          </w:p>
        </w:tc>
        <w:tc>
          <w:tcPr>
            <w:tcW w:w="2480" w:type="dxa"/>
            <w:vAlign w:val="bottom"/>
          </w:tcPr>
          <w:p>
            <w:pPr>
              <w:jc w:val="right"/>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7"/>
        </w:trPr>
        <w:tc>
          <w:tcPr>
            <w:tcW w:w="158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51555C"/>
              </w:rPr>
              <w:t>8/13/2024</w:t>
            </w:r>
          </w:p>
        </w:tc>
        <w:tc>
          <w:tcPr>
            <w:tcW w:w="1500" w:type="dxa"/>
            <w:vAlign w:val="bottom"/>
          </w:tcPr>
          <w:p>
            <w:pPr>
              <w:jc w:val="right"/>
              <w:spacing w:after="0"/>
              <w:rPr>
                <w:sz w:val="20"/>
                <w:szCs w:val="20"/>
                <w:color w:val="auto"/>
              </w:rPr>
            </w:pPr>
            <w:r>
              <w:rPr>
                <w:rFonts w:ascii="Arial" w:cs="Arial" w:eastAsia="Arial" w:hAnsi="Arial"/>
                <w:sz w:val="16"/>
                <w:szCs w:val="16"/>
                <w:color w:val="51555C"/>
              </w:rPr>
              <w:t>2,596</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(3)</w:t>
            </w:r>
          </w:p>
        </w:tc>
        <w:tc>
          <w:tcPr>
            <w:tcW w:w="1520" w:type="dxa"/>
            <w:vAlign w:val="bottom"/>
          </w:tcPr>
          <w:p>
            <w:pPr>
              <w:jc w:val="right"/>
              <w:spacing w:after="0"/>
              <w:rPr>
                <w:sz w:val="20"/>
                <w:szCs w:val="20"/>
                <w:color w:val="auto"/>
              </w:rPr>
            </w:pPr>
            <w:r>
              <w:rPr>
                <w:rFonts w:ascii="Arial" w:cs="Arial" w:eastAsia="Arial" w:hAnsi="Arial"/>
                <w:sz w:val="16"/>
                <w:szCs w:val="16"/>
                <w:color w:val="51555C"/>
              </w:rPr>
              <w:t>164,379</w:t>
            </w:r>
          </w:p>
        </w:tc>
        <w:tc>
          <w:tcPr>
            <w:tcW w:w="2480" w:type="dxa"/>
            <w:vAlign w:val="bottom"/>
          </w:tcPr>
          <w:p>
            <w:pPr>
              <w:jc w:val="right"/>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6"/>
        </w:trPr>
        <w:tc>
          <w:tcPr>
            <w:tcW w:w="158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51555C"/>
              </w:rPr>
              <w:t>2/21/2024</w:t>
            </w:r>
          </w:p>
        </w:tc>
        <w:tc>
          <w:tcPr>
            <w:tcW w:w="1500" w:type="dxa"/>
            <w:vAlign w:val="bottom"/>
          </w:tcPr>
          <w:p>
            <w:pPr>
              <w:jc w:val="right"/>
              <w:spacing w:after="0"/>
              <w:rPr>
                <w:sz w:val="20"/>
                <w:szCs w:val="20"/>
                <w:color w:val="auto"/>
              </w:rPr>
            </w:pPr>
            <w:r>
              <w:rPr>
                <w:rFonts w:ascii="Arial" w:cs="Arial" w:eastAsia="Arial" w:hAnsi="Arial"/>
                <w:sz w:val="16"/>
                <w:szCs w:val="16"/>
                <w:color w:val="51555C"/>
              </w:rPr>
              <w:t>749</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(4)</w:t>
            </w:r>
          </w:p>
        </w:tc>
        <w:tc>
          <w:tcPr>
            <w:tcW w:w="1520" w:type="dxa"/>
            <w:vAlign w:val="bottom"/>
          </w:tcPr>
          <w:p>
            <w:pPr>
              <w:jc w:val="right"/>
              <w:spacing w:after="0"/>
              <w:rPr>
                <w:sz w:val="20"/>
                <w:szCs w:val="20"/>
                <w:color w:val="auto"/>
              </w:rPr>
            </w:pPr>
            <w:r>
              <w:rPr>
                <w:rFonts w:ascii="Arial" w:cs="Arial" w:eastAsia="Arial" w:hAnsi="Arial"/>
                <w:sz w:val="16"/>
                <w:szCs w:val="16"/>
                <w:color w:val="51555C"/>
              </w:rPr>
              <w:t>47,427</w:t>
            </w:r>
          </w:p>
        </w:tc>
        <w:tc>
          <w:tcPr>
            <w:tcW w:w="2480" w:type="dxa"/>
            <w:vAlign w:val="bottom"/>
          </w:tcPr>
          <w:p>
            <w:pPr>
              <w:jc w:val="right"/>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7"/>
        </w:trPr>
        <w:tc>
          <w:tcPr>
            <w:tcW w:w="158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51555C"/>
              </w:rPr>
              <w:t>2/21/2024</w:t>
            </w:r>
          </w:p>
        </w:tc>
        <w:tc>
          <w:tcPr>
            <w:tcW w:w="1500" w:type="dxa"/>
            <w:vAlign w:val="bottom"/>
          </w:tcPr>
          <w:p>
            <w:pPr>
              <w:jc w:val="right"/>
              <w:spacing w:after="0"/>
              <w:rPr>
                <w:sz w:val="20"/>
                <w:szCs w:val="20"/>
                <w:color w:val="auto"/>
              </w:rPr>
            </w:pPr>
            <w:r>
              <w:rPr>
                <w:rFonts w:ascii="Arial" w:cs="Arial" w:eastAsia="Arial" w:hAnsi="Arial"/>
                <w:sz w:val="16"/>
                <w:szCs w:val="16"/>
                <w:color w:val="51555C"/>
              </w:rPr>
              <w:t>425</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(5)</w:t>
            </w:r>
          </w:p>
        </w:tc>
        <w:tc>
          <w:tcPr>
            <w:tcW w:w="1520" w:type="dxa"/>
            <w:vAlign w:val="bottom"/>
          </w:tcPr>
          <w:p>
            <w:pPr>
              <w:jc w:val="right"/>
              <w:spacing w:after="0"/>
              <w:rPr>
                <w:sz w:val="20"/>
                <w:szCs w:val="20"/>
                <w:color w:val="auto"/>
              </w:rPr>
            </w:pPr>
            <w:r>
              <w:rPr>
                <w:rFonts w:ascii="Arial" w:cs="Arial" w:eastAsia="Arial" w:hAnsi="Arial"/>
                <w:sz w:val="16"/>
                <w:szCs w:val="16"/>
                <w:color w:val="51555C"/>
              </w:rPr>
              <w:t>26,911</w:t>
            </w:r>
          </w:p>
        </w:tc>
        <w:tc>
          <w:tcPr>
            <w:tcW w:w="2480" w:type="dxa"/>
            <w:vAlign w:val="bottom"/>
          </w:tcPr>
          <w:p>
            <w:pPr>
              <w:jc w:val="right"/>
              <w:spacing w:after="0"/>
              <w:rPr>
                <w:sz w:val="20"/>
                <w:szCs w:val="20"/>
                <w:color w:val="auto"/>
              </w:rPr>
            </w:pPr>
            <w:r>
              <w:rPr>
                <w:rFonts w:ascii="Arial" w:cs="Arial" w:eastAsia="Arial" w:hAnsi="Arial"/>
                <w:sz w:val="16"/>
                <w:szCs w:val="16"/>
                <w:color w:val="51555C"/>
              </w:rPr>
              <w:t>820</w:t>
            </w:r>
          </w:p>
        </w:tc>
        <w:tc>
          <w:tcPr>
            <w:tcW w:w="400" w:type="dxa"/>
            <w:vAlign w:val="bottom"/>
          </w:tcPr>
          <w:p>
            <w:pPr>
              <w:jc w:val="right"/>
              <w:ind w:right="66"/>
              <w:spacing w:after="0"/>
              <w:rPr>
                <w:sz w:val="20"/>
                <w:szCs w:val="20"/>
                <w:color w:val="auto"/>
              </w:rPr>
            </w:pPr>
            <w:r>
              <w:rPr>
                <w:rFonts w:ascii="Arial" w:cs="Arial" w:eastAsia="Arial" w:hAnsi="Arial"/>
                <w:sz w:val="11"/>
                <w:szCs w:val="11"/>
                <w:color w:val="51555C"/>
                <w:w w:val="96"/>
              </w:rPr>
              <w:t>(6)(8)</w:t>
            </w:r>
          </w:p>
        </w:tc>
        <w:tc>
          <w:tcPr>
            <w:tcW w:w="2500" w:type="dxa"/>
            <w:vAlign w:val="bottom"/>
          </w:tcPr>
          <w:p>
            <w:pPr>
              <w:jc w:val="right"/>
              <w:spacing w:after="0"/>
              <w:rPr>
                <w:sz w:val="20"/>
                <w:szCs w:val="20"/>
                <w:color w:val="auto"/>
              </w:rPr>
            </w:pPr>
            <w:r>
              <w:rPr>
                <w:rFonts w:ascii="Arial" w:cs="Arial" w:eastAsia="Arial" w:hAnsi="Arial"/>
                <w:sz w:val="16"/>
                <w:szCs w:val="16"/>
                <w:color w:val="51555C"/>
              </w:rPr>
              <w:t>51,922</w:t>
            </w:r>
          </w:p>
        </w:tc>
        <w:tc>
          <w:tcPr>
            <w:tcW w:w="20" w:type="dxa"/>
            <w:vAlign w:val="bottom"/>
          </w:tcPr>
          <w:p>
            <w:pPr>
              <w:spacing w:after="0"/>
              <w:rPr>
                <w:sz w:val="22"/>
                <w:szCs w:val="22"/>
                <w:color w:val="auto"/>
              </w:rPr>
            </w:pPr>
          </w:p>
        </w:tc>
      </w:tr>
      <w:tr>
        <w:trPr>
          <w:trHeight w:val="256"/>
        </w:trPr>
        <w:tc>
          <w:tcPr>
            <w:tcW w:w="158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51555C"/>
              </w:rPr>
              <w:t>2/13/2023</w:t>
            </w:r>
          </w:p>
        </w:tc>
        <w:tc>
          <w:tcPr>
            <w:tcW w:w="1500" w:type="dxa"/>
            <w:vAlign w:val="bottom"/>
          </w:tcPr>
          <w:p>
            <w:pPr>
              <w:jc w:val="right"/>
              <w:spacing w:after="0"/>
              <w:rPr>
                <w:sz w:val="20"/>
                <w:szCs w:val="20"/>
                <w:color w:val="auto"/>
              </w:rPr>
            </w:pPr>
            <w:r>
              <w:rPr>
                <w:rFonts w:ascii="Arial" w:cs="Arial" w:eastAsia="Arial" w:hAnsi="Arial"/>
                <w:sz w:val="16"/>
                <w:szCs w:val="16"/>
                <w:color w:val="51555C"/>
              </w:rPr>
              <w:t>3,268</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(3)</w:t>
            </w:r>
          </w:p>
        </w:tc>
        <w:tc>
          <w:tcPr>
            <w:tcW w:w="1520" w:type="dxa"/>
            <w:vAlign w:val="bottom"/>
          </w:tcPr>
          <w:p>
            <w:pPr>
              <w:jc w:val="right"/>
              <w:spacing w:after="0"/>
              <w:rPr>
                <w:sz w:val="20"/>
                <w:szCs w:val="20"/>
                <w:color w:val="auto"/>
              </w:rPr>
            </w:pPr>
            <w:r>
              <w:rPr>
                <w:rFonts w:ascii="Arial" w:cs="Arial" w:eastAsia="Arial" w:hAnsi="Arial"/>
                <w:sz w:val="16"/>
                <w:szCs w:val="16"/>
                <w:color w:val="51555C"/>
              </w:rPr>
              <w:t>206,930</w:t>
            </w:r>
          </w:p>
        </w:tc>
        <w:tc>
          <w:tcPr>
            <w:tcW w:w="2480" w:type="dxa"/>
            <w:vAlign w:val="bottom"/>
          </w:tcPr>
          <w:p>
            <w:pPr>
              <w:jc w:val="right"/>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7"/>
        </w:trPr>
        <w:tc>
          <w:tcPr>
            <w:tcW w:w="158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51555C"/>
              </w:rPr>
              <w:t>2/13/2023</w:t>
            </w:r>
          </w:p>
        </w:tc>
        <w:tc>
          <w:tcPr>
            <w:tcW w:w="1500" w:type="dxa"/>
            <w:vAlign w:val="bottom"/>
          </w:tcPr>
          <w:p>
            <w:pPr>
              <w:jc w:val="right"/>
              <w:spacing w:after="0"/>
              <w:rPr>
                <w:sz w:val="20"/>
                <w:szCs w:val="20"/>
                <w:color w:val="auto"/>
              </w:rPr>
            </w:pPr>
            <w:r>
              <w:rPr>
                <w:rFonts w:ascii="Arial" w:cs="Arial" w:eastAsia="Arial" w:hAnsi="Arial"/>
                <w:sz w:val="16"/>
                <w:szCs w:val="16"/>
                <w:color w:val="51555C"/>
              </w:rPr>
              <w:t>535</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(4)</w:t>
            </w:r>
          </w:p>
        </w:tc>
        <w:tc>
          <w:tcPr>
            <w:tcW w:w="1520" w:type="dxa"/>
            <w:vAlign w:val="bottom"/>
          </w:tcPr>
          <w:p>
            <w:pPr>
              <w:jc w:val="right"/>
              <w:spacing w:after="0"/>
              <w:rPr>
                <w:sz w:val="20"/>
                <w:szCs w:val="20"/>
                <w:color w:val="auto"/>
              </w:rPr>
            </w:pPr>
            <w:r>
              <w:rPr>
                <w:rFonts w:ascii="Arial" w:cs="Arial" w:eastAsia="Arial" w:hAnsi="Arial"/>
                <w:sz w:val="16"/>
                <w:szCs w:val="16"/>
                <w:color w:val="51555C"/>
              </w:rPr>
              <w:t>33,876</w:t>
            </w:r>
          </w:p>
        </w:tc>
        <w:tc>
          <w:tcPr>
            <w:tcW w:w="2480" w:type="dxa"/>
            <w:vAlign w:val="bottom"/>
          </w:tcPr>
          <w:p>
            <w:pPr>
              <w:jc w:val="right"/>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7"/>
        </w:trPr>
        <w:tc>
          <w:tcPr>
            <w:tcW w:w="158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51555C"/>
              </w:rPr>
              <w:t>2/13/2023</w:t>
            </w:r>
          </w:p>
        </w:tc>
        <w:tc>
          <w:tcPr>
            <w:tcW w:w="1500" w:type="dxa"/>
            <w:vAlign w:val="bottom"/>
          </w:tcPr>
          <w:p>
            <w:pPr>
              <w:jc w:val="right"/>
              <w:spacing w:after="0"/>
              <w:rPr>
                <w:sz w:val="20"/>
                <w:szCs w:val="20"/>
                <w:color w:val="auto"/>
              </w:rPr>
            </w:pPr>
            <w:r>
              <w:rPr>
                <w:rFonts w:ascii="Arial" w:cs="Arial" w:eastAsia="Arial" w:hAnsi="Arial"/>
                <w:sz w:val="16"/>
                <w:szCs w:val="16"/>
                <w:color w:val="51555C"/>
              </w:rPr>
              <w:t>782</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(5)</w:t>
            </w:r>
          </w:p>
        </w:tc>
        <w:tc>
          <w:tcPr>
            <w:tcW w:w="1520" w:type="dxa"/>
            <w:vAlign w:val="bottom"/>
          </w:tcPr>
          <w:p>
            <w:pPr>
              <w:jc w:val="right"/>
              <w:spacing w:after="0"/>
              <w:rPr>
                <w:sz w:val="20"/>
                <w:szCs w:val="20"/>
                <w:color w:val="auto"/>
              </w:rPr>
            </w:pPr>
            <w:r>
              <w:rPr>
                <w:rFonts w:ascii="Arial" w:cs="Arial" w:eastAsia="Arial" w:hAnsi="Arial"/>
                <w:sz w:val="16"/>
                <w:szCs w:val="16"/>
                <w:color w:val="51555C"/>
              </w:rPr>
              <w:t>49,516</w:t>
            </w:r>
          </w:p>
        </w:tc>
        <w:tc>
          <w:tcPr>
            <w:tcW w:w="2480" w:type="dxa"/>
            <w:vAlign w:val="bottom"/>
          </w:tcPr>
          <w:p>
            <w:pPr>
              <w:jc w:val="right"/>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9"/>
        </w:trPr>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158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Anthony W.</w:t>
            </w:r>
          </w:p>
        </w:tc>
        <w:tc>
          <w:tcPr>
            <w:tcW w:w="920" w:type="dxa"/>
            <w:vAlign w:val="bottom"/>
            <w:tcBorders>
              <w:right w:val="single" w:sz="8" w:color="EBFBFF"/>
            </w:tcBorders>
            <w:shd w:val="clear" w:color="auto" w:fill="EBFBFF"/>
          </w:tcPr>
          <w:p>
            <w:pPr>
              <w:jc w:val="center"/>
              <w:spacing w:after="0"/>
              <w:rPr>
                <w:sz w:val="20"/>
                <w:szCs w:val="20"/>
                <w:color w:val="auto"/>
              </w:rPr>
            </w:pPr>
            <w:r>
              <w:rPr>
                <w:rFonts w:ascii="Arial" w:cs="Arial" w:eastAsia="Arial" w:hAnsi="Arial"/>
                <w:sz w:val="14"/>
                <w:szCs w:val="14"/>
                <w:color w:val="51555C"/>
              </w:rPr>
              <w:t>2/18/2025</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5,196</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(2)</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329,011</w:t>
            </w:r>
          </w:p>
        </w:tc>
        <w:tc>
          <w:tcPr>
            <w:tcW w:w="24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400" w:type="dxa"/>
            <w:vAlign w:val="bottom"/>
            <w:shd w:val="clear" w:color="auto" w:fill="EBFBFF"/>
          </w:tcPr>
          <w:p>
            <w:pPr>
              <w:spacing w:after="0"/>
              <w:rPr>
                <w:sz w:val="17"/>
                <w:szCs w:val="17"/>
                <w:color w:val="auto"/>
              </w:rPr>
            </w:pP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17"/>
                <w:szCs w:val="17"/>
                <w:color w:val="auto"/>
              </w:rPr>
            </w:pPr>
          </w:p>
        </w:tc>
      </w:tr>
      <w:tr>
        <w:trPr>
          <w:trHeight w:val="282"/>
        </w:trPr>
        <w:tc>
          <w:tcPr>
            <w:tcW w:w="158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Boor</w:t>
            </w:r>
          </w:p>
        </w:tc>
        <w:tc>
          <w:tcPr>
            <w:tcW w:w="920" w:type="dxa"/>
            <w:vAlign w:val="bottom"/>
            <w:tcBorders>
              <w:right w:val="single" w:sz="8" w:color="EBFBFF"/>
            </w:tcBorders>
            <w:shd w:val="clear" w:color="auto" w:fill="EBFBFF"/>
          </w:tcPr>
          <w:p>
            <w:pPr>
              <w:jc w:val="center"/>
              <w:spacing w:after="0"/>
              <w:rPr>
                <w:sz w:val="20"/>
                <w:szCs w:val="20"/>
                <w:color w:val="auto"/>
              </w:rPr>
            </w:pPr>
            <w:r>
              <w:rPr>
                <w:rFonts w:ascii="Arial" w:cs="Arial" w:eastAsia="Arial" w:hAnsi="Arial"/>
                <w:sz w:val="14"/>
                <w:szCs w:val="14"/>
                <w:color w:val="51555C"/>
              </w:rPr>
              <w:t>2/19/2025</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19,550</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(3)</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1,237,906</w:t>
            </w:r>
          </w:p>
        </w:tc>
        <w:tc>
          <w:tcPr>
            <w:tcW w:w="24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400" w:type="dxa"/>
            <w:vAlign w:val="bottom"/>
            <w:shd w:val="clear" w:color="auto" w:fill="EBFBFF"/>
          </w:tcPr>
          <w:p>
            <w:pPr>
              <w:spacing w:after="0"/>
              <w:rPr>
                <w:sz w:val="24"/>
                <w:szCs w:val="24"/>
                <w:color w:val="auto"/>
              </w:rPr>
            </w:pP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4"/>
                <w:szCs w:val="24"/>
                <w:color w:val="auto"/>
              </w:rPr>
            </w:pPr>
          </w:p>
        </w:tc>
      </w:tr>
      <w:tr>
        <w:trPr>
          <w:trHeight w:val="256"/>
        </w:trPr>
        <w:tc>
          <w:tcPr>
            <w:tcW w:w="1580" w:type="dxa"/>
            <w:vAlign w:val="bottom"/>
            <w:shd w:val="clear" w:color="auto" w:fill="EBFBFF"/>
          </w:tcPr>
          <w:p>
            <w:pPr>
              <w:spacing w:after="0"/>
              <w:rPr>
                <w:sz w:val="22"/>
                <w:szCs w:val="22"/>
                <w:color w:val="auto"/>
              </w:rPr>
            </w:pPr>
          </w:p>
        </w:tc>
        <w:tc>
          <w:tcPr>
            <w:tcW w:w="920" w:type="dxa"/>
            <w:vAlign w:val="bottom"/>
            <w:tcBorders>
              <w:right w:val="single" w:sz="8" w:color="EBFBFF"/>
            </w:tcBorders>
            <w:shd w:val="clear" w:color="auto" w:fill="EBFBFF"/>
          </w:tcPr>
          <w:p>
            <w:pPr>
              <w:jc w:val="center"/>
              <w:spacing w:after="0"/>
              <w:rPr>
                <w:sz w:val="20"/>
                <w:szCs w:val="20"/>
                <w:color w:val="auto"/>
              </w:rPr>
            </w:pPr>
            <w:r>
              <w:rPr>
                <w:rFonts w:ascii="Arial" w:cs="Arial" w:eastAsia="Arial" w:hAnsi="Arial"/>
                <w:sz w:val="14"/>
                <w:szCs w:val="14"/>
                <w:color w:val="51555C"/>
              </w:rPr>
              <w:t>2/19/2025</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9,778</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(4)</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619,143</w:t>
            </w:r>
          </w:p>
        </w:tc>
        <w:tc>
          <w:tcPr>
            <w:tcW w:w="24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400" w:type="dxa"/>
            <w:vAlign w:val="bottom"/>
            <w:shd w:val="clear" w:color="auto" w:fill="EBFBFF"/>
          </w:tcPr>
          <w:p>
            <w:pPr>
              <w:spacing w:after="0"/>
              <w:rPr>
                <w:sz w:val="22"/>
                <w:szCs w:val="22"/>
                <w:color w:val="auto"/>
              </w:rPr>
            </w:pP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7"/>
        </w:trPr>
        <w:tc>
          <w:tcPr>
            <w:tcW w:w="1580" w:type="dxa"/>
            <w:vAlign w:val="bottom"/>
            <w:shd w:val="clear" w:color="auto" w:fill="EBFBFF"/>
          </w:tcPr>
          <w:p>
            <w:pPr>
              <w:spacing w:after="0"/>
              <w:rPr>
                <w:sz w:val="22"/>
                <w:szCs w:val="22"/>
                <w:color w:val="auto"/>
              </w:rPr>
            </w:pPr>
          </w:p>
        </w:tc>
        <w:tc>
          <w:tcPr>
            <w:tcW w:w="920" w:type="dxa"/>
            <w:vAlign w:val="bottom"/>
            <w:tcBorders>
              <w:right w:val="single" w:sz="8" w:color="EBFBFF"/>
            </w:tcBorders>
            <w:shd w:val="clear" w:color="auto" w:fill="EBFBFF"/>
          </w:tcPr>
          <w:p>
            <w:pPr>
              <w:jc w:val="center"/>
              <w:spacing w:after="0"/>
              <w:rPr>
                <w:sz w:val="20"/>
                <w:szCs w:val="20"/>
                <w:color w:val="auto"/>
              </w:rPr>
            </w:pPr>
            <w:r>
              <w:rPr>
                <w:rFonts w:ascii="Arial" w:cs="Arial" w:eastAsia="Arial" w:hAnsi="Arial"/>
                <w:sz w:val="14"/>
                <w:szCs w:val="14"/>
                <w:color w:val="51555C"/>
              </w:rPr>
              <w:t>2/19/2025</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3,415</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(5)</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216,238</w:t>
            </w:r>
          </w:p>
        </w:tc>
        <w:tc>
          <w:tcPr>
            <w:tcW w:w="24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13,032</w:t>
            </w:r>
          </w:p>
        </w:tc>
        <w:tc>
          <w:tcPr>
            <w:tcW w:w="400" w:type="dxa"/>
            <w:vAlign w:val="bottom"/>
            <w:shd w:val="clear" w:color="auto" w:fill="EBFBFF"/>
          </w:tcPr>
          <w:p>
            <w:pPr>
              <w:jc w:val="right"/>
              <w:ind w:right="66"/>
              <w:spacing w:after="0"/>
              <w:rPr>
                <w:sz w:val="20"/>
                <w:szCs w:val="20"/>
                <w:color w:val="auto"/>
              </w:rPr>
            </w:pPr>
            <w:r>
              <w:rPr>
                <w:rFonts w:ascii="Arial" w:cs="Arial" w:eastAsia="Arial" w:hAnsi="Arial"/>
                <w:sz w:val="11"/>
                <w:szCs w:val="11"/>
                <w:color w:val="51555C"/>
                <w:w w:val="96"/>
              </w:rPr>
              <w:t>(6)(7)</w:t>
            </w: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825,186</w:t>
            </w:r>
          </w:p>
        </w:tc>
        <w:tc>
          <w:tcPr>
            <w:tcW w:w="20" w:type="dxa"/>
            <w:vAlign w:val="bottom"/>
          </w:tcPr>
          <w:p>
            <w:pPr>
              <w:spacing w:after="0"/>
              <w:rPr>
                <w:sz w:val="22"/>
                <w:szCs w:val="22"/>
                <w:color w:val="auto"/>
              </w:rPr>
            </w:pPr>
          </w:p>
        </w:tc>
      </w:tr>
      <w:tr>
        <w:trPr>
          <w:trHeight w:val="256"/>
        </w:trPr>
        <w:tc>
          <w:tcPr>
            <w:tcW w:w="1580" w:type="dxa"/>
            <w:vAlign w:val="bottom"/>
            <w:shd w:val="clear" w:color="auto" w:fill="EBFBFF"/>
          </w:tcPr>
          <w:p>
            <w:pPr>
              <w:spacing w:after="0"/>
              <w:rPr>
                <w:sz w:val="22"/>
                <w:szCs w:val="22"/>
                <w:color w:val="auto"/>
              </w:rPr>
            </w:pPr>
          </w:p>
        </w:tc>
        <w:tc>
          <w:tcPr>
            <w:tcW w:w="920" w:type="dxa"/>
            <w:vAlign w:val="bottom"/>
            <w:tcBorders>
              <w:right w:val="single" w:sz="8" w:color="EBFBFF"/>
            </w:tcBorders>
            <w:shd w:val="clear" w:color="auto" w:fill="EBFBFF"/>
          </w:tcPr>
          <w:p>
            <w:pPr>
              <w:jc w:val="center"/>
              <w:spacing w:after="0"/>
              <w:rPr>
                <w:sz w:val="20"/>
                <w:szCs w:val="20"/>
                <w:color w:val="auto"/>
              </w:rPr>
            </w:pPr>
            <w:r>
              <w:rPr>
                <w:rFonts w:ascii="Arial" w:cs="Arial" w:eastAsia="Arial" w:hAnsi="Arial"/>
                <w:sz w:val="14"/>
                <w:szCs w:val="14"/>
                <w:color w:val="51555C"/>
              </w:rPr>
              <w:t>2/21/2024</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16,386</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(3)</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1,037,562</w:t>
            </w:r>
          </w:p>
        </w:tc>
        <w:tc>
          <w:tcPr>
            <w:tcW w:w="24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400" w:type="dxa"/>
            <w:vAlign w:val="bottom"/>
            <w:shd w:val="clear" w:color="auto" w:fill="EBFBFF"/>
          </w:tcPr>
          <w:p>
            <w:pPr>
              <w:spacing w:after="0"/>
              <w:rPr>
                <w:sz w:val="22"/>
                <w:szCs w:val="22"/>
                <w:color w:val="auto"/>
              </w:rPr>
            </w:pP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7"/>
        </w:trPr>
        <w:tc>
          <w:tcPr>
            <w:tcW w:w="1580" w:type="dxa"/>
            <w:vAlign w:val="bottom"/>
            <w:shd w:val="clear" w:color="auto" w:fill="EBFBFF"/>
          </w:tcPr>
          <w:p>
            <w:pPr>
              <w:spacing w:after="0"/>
              <w:rPr>
                <w:sz w:val="22"/>
                <w:szCs w:val="22"/>
                <w:color w:val="auto"/>
              </w:rPr>
            </w:pPr>
          </w:p>
        </w:tc>
        <w:tc>
          <w:tcPr>
            <w:tcW w:w="920" w:type="dxa"/>
            <w:vAlign w:val="bottom"/>
            <w:tcBorders>
              <w:right w:val="single" w:sz="8" w:color="EBFBFF"/>
            </w:tcBorders>
            <w:shd w:val="clear" w:color="auto" w:fill="EBFBFF"/>
          </w:tcPr>
          <w:p>
            <w:pPr>
              <w:jc w:val="center"/>
              <w:spacing w:after="0"/>
              <w:rPr>
                <w:sz w:val="20"/>
                <w:szCs w:val="20"/>
                <w:color w:val="auto"/>
              </w:rPr>
            </w:pPr>
            <w:r>
              <w:rPr>
                <w:rFonts w:ascii="Arial" w:cs="Arial" w:eastAsia="Arial" w:hAnsi="Arial"/>
                <w:sz w:val="14"/>
                <w:szCs w:val="14"/>
                <w:color w:val="51555C"/>
              </w:rPr>
              <w:t>2/21/2024</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7,481</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(4)</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473,697</w:t>
            </w:r>
          </w:p>
        </w:tc>
        <w:tc>
          <w:tcPr>
            <w:tcW w:w="24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400" w:type="dxa"/>
            <w:vAlign w:val="bottom"/>
            <w:shd w:val="clear" w:color="auto" w:fill="EBFBFF"/>
          </w:tcPr>
          <w:p>
            <w:pPr>
              <w:spacing w:after="0"/>
              <w:rPr>
                <w:sz w:val="22"/>
                <w:szCs w:val="22"/>
                <w:color w:val="auto"/>
              </w:rPr>
            </w:pP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6"/>
        </w:trPr>
        <w:tc>
          <w:tcPr>
            <w:tcW w:w="1580" w:type="dxa"/>
            <w:vAlign w:val="bottom"/>
            <w:shd w:val="clear" w:color="auto" w:fill="EBFBFF"/>
          </w:tcPr>
          <w:p>
            <w:pPr>
              <w:spacing w:after="0"/>
              <w:rPr>
                <w:sz w:val="22"/>
                <w:szCs w:val="22"/>
                <w:color w:val="auto"/>
              </w:rPr>
            </w:pPr>
          </w:p>
        </w:tc>
        <w:tc>
          <w:tcPr>
            <w:tcW w:w="920" w:type="dxa"/>
            <w:vAlign w:val="bottom"/>
            <w:tcBorders>
              <w:right w:val="single" w:sz="8" w:color="EBFBFF"/>
            </w:tcBorders>
            <w:shd w:val="clear" w:color="auto" w:fill="EBFBFF"/>
          </w:tcPr>
          <w:p>
            <w:pPr>
              <w:jc w:val="center"/>
              <w:spacing w:after="0"/>
              <w:rPr>
                <w:sz w:val="20"/>
                <w:szCs w:val="20"/>
                <w:color w:val="auto"/>
              </w:rPr>
            </w:pPr>
            <w:r>
              <w:rPr>
                <w:rFonts w:ascii="Arial" w:cs="Arial" w:eastAsia="Arial" w:hAnsi="Arial"/>
                <w:sz w:val="14"/>
                <w:szCs w:val="14"/>
                <w:color w:val="51555C"/>
              </w:rPr>
              <w:t>2/21/2024</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4,255</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(5)</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269,427</w:t>
            </w:r>
          </w:p>
        </w:tc>
        <w:tc>
          <w:tcPr>
            <w:tcW w:w="24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8,194</w:t>
            </w:r>
          </w:p>
        </w:tc>
        <w:tc>
          <w:tcPr>
            <w:tcW w:w="400" w:type="dxa"/>
            <w:vAlign w:val="bottom"/>
            <w:shd w:val="clear" w:color="auto" w:fill="EBFBFF"/>
          </w:tcPr>
          <w:p>
            <w:pPr>
              <w:jc w:val="right"/>
              <w:ind w:right="66"/>
              <w:spacing w:after="0"/>
              <w:rPr>
                <w:sz w:val="20"/>
                <w:szCs w:val="20"/>
                <w:color w:val="auto"/>
              </w:rPr>
            </w:pPr>
            <w:r>
              <w:rPr>
                <w:rFonts w:ascii="Arial" w:cs="Arial" w:eastAsia="Arial" w:hAnsi="Arial"/>
                <w:sz w:val="11"/>
                <w:szCs w:val="11"/>
                <w:color w:val="51555C"/>
                <w:w w:val="96"/>
              </w:rPr>
              <w:t>(6)(8)</w:t>
            </w: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518,844</w:t>
            </w:r>
          </w:p>
        </w:tc>
        <w:tc>
          <w:tcPr>
            <w:tcW w:w="20" w:type="dxa"/>
            <w:vAlign w:val="bottom"/>
          </w:tcPr>
          <w:p>
            <w:pPr>
              <w:spacing w:after="0"/>
              <w:rPr>
                <w:sz w:val="22"/>
                <w:szCs w:val="22"/>
                <w:color w:val="auto"/>
              </w:rPr>
            </w:pPr>
          </w:p>
        </w:tc>
      </w:tr>
      <w:tr>
        <w:trPr>
          <w:trHeight w:val="257"/>
        </w:trPr>
        <w:tc>
          <w:tcPr>
            <w:tcW w:w="1580" w:type="dxa"/>
            <w:vAlign w:val="bottom"/>
            <w:shd w:val="clear" w:color="auto" w:fill="EBFBFF"/>
          </w:tcPr>
          <w:p>
            <w:pPr>
              <w:spacing w:after="0"/>
              <w:rPr>
                <w:sz w:val="22"/>
                <w:szCs w:val="22"/>
                <w:color w:val="auto"/>
              </w:rPr>
            </w:pPr>
          </w:p>
        </w:tc>
        <w:tc>
          <w:tcPr>
            <w:tcW w:w="920" w:type="dxa"/>
            <w:vAlign w:val="bottom"/>
            <w:tcBorders>
              <w:right w:val="single" w:sz="8" w:color="EBFBFF"/>
            </w:tcBorders>
            <w:shd w:val="clear" w:color="auto" w:fill="EBFBFF"/>
          </w:tcPr>
          <w:p>
            <w:pPr>
              <w:jc w:val="center"/>
              <w:spacing w:after="0"/>
              <w:rPr>
                <w:sz w:val="20"/>
                <w:szCs w:val="20"/>
                <w:color w:val="auto"/>
              </w:rPr>
            </w:pPr>
            <w:r>
              <w:rPr>
                <w:rFonts w:ascii="Arial" w:cs="Arial" w:eastAsia="Arial" w:hAnsi="Arial"/>
                <w:sz w:val="14"/>
                <w:szCs w:val="14"/>
                <w:color w:val="51555C"/>
              </w:rPr>
              <w:t>2/13/2023</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8,715</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(3)</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551,834</w:t>
            </w:r>
          </w:p>
        </w:tc>
        <w:tc>
          <w:tcPr>
            <w:tcW w:w="24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400" w:type="dxa"/>
            <w:vAlign w:val="bottom"/>
            <w:shd w:val="clear" w:color="auto" w:fill="EBFBFF"/>
          </w:tcPr>
          <w:p>
            <w:pPr>
              <w:spacing w:after="0"/>
              <w:rPr>
                <w:sz w:val="22"/>
                <w:szCs w:val="22"/>
                <w:color w:val="auto"/>
              </w:rPr>
            </w:pP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6"/>
        </w:trPr>
        <w:tc>
          <w:tcPr>
            <w:tcW w:w="1580" w:type="dxa"/>
            <w:vAlign w:val="bottom"/>
            <w:shd w:val="clear" w:color="auto" w:fill="EBFBFF"/>
          </w:tcPr>
          <w:p>
            <w:pPr>
              <w:spacing w:after="0"/>
              <w:rPr>
                <w:sz w:val="22"/>
                <w:szCs w:val="22"/>
                <w:color w:val="auto"/>
              </w:rPr>
            </w:pPr>
          </w:p>
        </w:tc>
        <w:tc>
          <w:tcPr>
            <w:tcW w:w="920" w:type="dxa"/>
            <w:vAlign w:val="bottom"/>
            <w:tcBorders>
              <w:right w:val="single" w:sz="8" w:color="EBFBFF"/>
            </w:tcBorders>
            <w:shd w:val="clear" w:color="auto" w:fill="EBFBFF"/>
          </w:tcPr>
          <w:p>
            <w:pPr>
              <w:jc w:val="center"/>
              <w:spacing w:after="0"/>
              <w:rPr>
                <w:sz w:val="20"/>
                <w:szCs w:val="20"/>
                <w:color w:val="auto"/>
              </w:rPr>
            </w:pPr>
            <w:r>
              <w:rPr>
                <w:rFonts w:ascii="Arial" w:cs="Arial" w:eastAsia="Arial" w:hAnsi="Arial"/>
                <w:sz w:val="14"/>
                <w:szCs w:val="14"/>
                <w:color w:val="51555C"/>
              </w:rPr>
              <w:t>2/13/2023</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4,275</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(4)</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270,693</w:t>
            </w:r>
          </w:p>
        </w:tc>
        <w:tc>
          <w:tcPr>
            <w:tcW w:w="24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400" w:type="dxa"/>
            <w:vAlign w:val="bottom"/>
            <w:shd w:val="clear" w:color="auto" w:fill="EBFBFF"/>
          </w:tcPr>
          <w:p>
            <w:pPr>
              <w:spacing w:after="0"/>
              <w:rPr>
                <w:sz w:val="22"/>
                <w:szCs w:val="22"/>
                <w:color w:val="auto"/>
              </w:rPr>
            </w:pP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65"/>
        </w:trPr>
        <w:tc>
          <w:tcPr>
            <w:tcW w:w="1580" w:type="dxa"/>
            <w:vAlign w:val="bottom"/>
            <w:tcBorders>
              <w:bottom w:val="single" w:sz="8" w:color="EBFBFF"/>
            </w:tcBorders>
            <w:shd w:val="clear" w:color="auto" w:fill="EBFBFF"/>
          </w:tcPr>
          <w:p>
            <w:pPr>
              <w:spacing w:after="0"/>
              <w:rPr>
                <w:sz w:val="23"/>
                <w:szCs w:val="23"/>
                <w:color w:val="auto"/>
              </w:rPr>
            </w:pPr>
          </w:p>
        </w:tc>
        <w:tc>
          <w:tcPr>
            <w:tcW w:w="920" w:type="dxa"/>
            <w:vAlign w:val="bottom"/>
            <w:tcBorders>
              <w:bottom w:val="single" w:sz="8" w:color="EBFBFF"/>
              <w:right w:val="single" w:sz="8" w:color="EBFBFF"/>
            </w:tcBorders>
            <w:shd w:val="clear" w:color="auto" w:fill="EBFBFF"/>
          </w:tcPr>
          <w:p>
            <w:pPr>
              <w:jc w:val="center"/>
              <w:spacing w:after="0"/>
              <w:rPr>
                <w:sz w:val="20"/>
                <w:szCs w:val="20"/>
                <w:color w:val="auto"/>
              </w:rPr>
            </w:pPr>
            <w:r>
              <w:rPr>
                <w:rFonts w:ascii="Arial" w:cs="Arial" w:eastAsia="Arial" w:hAnsi="Arial"/>
                <w:sz w:val="14"/>
                <w:szCs w:val="14"/>
                <w:color w:val="51555C"/>
              </w:rPr>
              <w:t>2/13/2023</w:t>
            </w:r>
          </w:p>
        </w:tc>
        <w:tc>
          <w:tcPr>
            <w:tcW w:w="15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6,251</w:t>
            </w:r>
          </w:p>
        </w:tc>
        <w:tc>
          <w:tcPr>
            <w:tcW w:w="340" w:type="dxa"/>
            <w:vAlign w:val="bottom"/>
            <w:tcBorders>
              <w:bottom w:val="single" w:sz="8" w:color="EBFBFF"/>
            </w:tcBorders>
            <w:shd w:val="clear" w:color="auto" w:fill="EBFBFF"/>
          </w:tcPr>
          <w:p>
            <w:pPr>
              <w:jc w:val="right"/>
              <w:ind w:right="146"/>
              <w:spacing w:after="0"/>
              <w:rPr>
                <w:sz w:val="20"/>
                <w:szCs w:val="20"/>
                <w:color w:val="auto"/>
              </w:rPr>
            </w:pPr>
            <w:r>
              <w:rPr>
                <w:rFonts w:ascii="Arial" w:cs="Arial" w:eastAsia="Arial" w:hAnsi="Arial"/>
                <w:sz w:val="11"/>
                <w:szCs w:val="11"/>
                <w:color w:val="51555C"/>
                <w:w w:val="88"/>
              </w:rPr>
              <w:t>(5)</w:t>
            </w:r>
          </w:p>
        </w:tc>
        <w:tc>
          <w:tcPr>
            <w:tcW w:w="15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395,813</w:t>
            </w:r>
          </w:p>
        </w:tc>
        <w:tc>
          <w:tcPr>
            <w:tcW w:w="2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400" w:type="dxa"/>
            <w:vAlign w:val="bottom"/>
            <w:tcBorders>
              <w:bottom w:val="single" w:sz="8" w:color="EBFBFF"/>
            </w:tcBorders>
            <w:shd w:val="clear" w:color="auto" w:fill="EBFBFF"/>
          </w:tcPr>
          <w:p>
            <w:pPr>
              <w:spacing w:after="0"/>
              <w:rPr>
                <w:sz w:val="23"/>
                <w:szCs w:val="23"/>
                <w:color w:val="auto"/>
              </w:rPr>
            </w:pPr>
          </w:p>
        </w:tc>
        <w:tc>
          <w:tcPr>
            <w:tcW w:w="25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3"/>
                <w:szCs w:val="23"/>
                <w:color w:val="auto"/>
              </w:rPr>
            </w:pPr>
          </w:p>
        </w:tc>
      </w:tr>
      <w:tr>
        <w:trPr>
          <w:trHeight w:val="654"/>
        </w:trPr>
        <w:tc>
          <w:tcPr>
            <w:tcW w:w="1580" w:type="dxa"/>
            <w:vAlign w:val="bottom"/>
          </w:tcPr>
          <w:p>
            <w:pPr>
              <w:ind w:left="140"/>
              <w:spacing w:after="0"/>
              <w:rPr>
                <w:sz w:val="20"/>
                <w:szCs w:val="20"/>
                <w:color w:val="auto"/>
              </w:rPr>
            </w:pPr>
            <w:r>
              <w:rPr>
                <w:rFonts w:ascii="Arial" w:cs="Arial" w:eastAsia="Arial" w:hAnsi="Arial"/>
                <w:sz w:val="14"/>
                <w:szCs w:val="14"/>
                <w:color w:val="51555C"/>
              </w:rPr>
              <w:t>56</w:t>
            </w:r>
          </w:p>
        </w:tc>
        <w:tc>
          <w:tcPr>
            <w:tcW w:w="2420" w:type="dxa"/>
            <w:vAlign w:val="bottom"/>
            <w:gridSpan w:val="2"/>
          </w:tcPr>
          <w:p>
            <w:pPr>
              <w:jc w:val="right"/>
              <w:ind w:right="700"/>
              <w:spacing w:after="0"/>
              <w:rPr>
                <w:sz w:val="20"/>
                <w:szCs w:val="20"/>
                <w:color w:val="auto"/>
              </w:rPr>
            </w:pPr>
            <w:r>
              <w:rPr>
                <w:rFonts w:ascii="Arial" w:cs="Arial" w:eastAsia="Arial" w:hAnsi="Arial"/>
                <w:sz w:val="14"/>
                <w:szCs w:val="14"/>
                <w:color w:val="51555C"/>
              </w:rPr>
              <w:t>2026 Proxy Statement</w:t>
            </w: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1"/>
        </w:trPr>
        <w:tc>
          <w:tcPr>
            <w:tcW w:w="158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c>
          <w:tcPr>
            <w:tcW w:w="150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1520" w:type="dxa"/>
            <w:vAlign w:val="bottom"/>
            <w:tcBorders>
              <w:bottom w:val="single" w:sz="8" w:color="9A9A9A"/>
            </w:tcBorders>
          </w:tcPr>
          <w:p>
            <w:pPr>
              <w:spacing w:after="0"/>
              <w:rPr>
                <w:sz w:val="23"/>
                <w:szCs w:val="23"/>
                <w:color w:val="auto"/>
              </w:rPr>
            </w:pPr>
          </w:p>
        </w:tc>
        <w:tc>
          <w:tcPr>
            <w:tcW w:w="24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2500" w:type="dxa"/>
            <w:vAlign w:val="bottom"/>
            <w:tcBorders>
              <w:bottom w:val="single" w:sz="8" w:color="9A9A9A"/>
            </w:tcBorders>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-6488430</wp:posOffset>
            </wp:positionV>
            <wp:extent cx="557212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57212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-307975</wp:posOffset>
            </wp:positionV>
            <wp:extent cx="702945" cy="1117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02945" cy="11176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58" w:name="page59"/>
    <w:bookmarkEnd w:id="58"/>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b w:val="1"/>
          <w:bCs w:val="1"/>
          <w:color w:val="5155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80" w:type="dxa"/>
            <w:vAlign w:val="bottom"/>
            <w:tcBorders>
              <w:top w:val="single" w:sz="8" w:color="004054"/>
              <w:bottom w:val="single" w:sz="8" w:color="004054"/>
            </w:tcBorders>
            <w:shd w:val="clear" w:color="auto" w:fill="004054"/>
          </w:tcPr>
          <w:p>
            <w:pPr>
              <w:spacing w:after="0"/>
              <w:rPr>
                <w:sz w:val="20"/>
                <w:szCs w:val="20"/>
                <w:color w:val="auto"/>
              </w:rPr>
            </w:pPr>
          </w:p>
        </w:tc>
        <w:tc>
          <w:tcPr>
            <w:tcW w:w="920" w:type="dxa"/>
            <w:vAlign w:val="bottom"/>
            <w:tcBorders>
              <w:top w:val="single" w:sz="8" w:color="004054"/>
              <w:bottom w:val="single" w:sz="8" w:color="004054"/>
              <w:right w:val="single" w:sz="8" w:color="006880"/>
            </w:tcBorders>
            <w:shd w:val="clear" w:color="auto" w:fill="004054"/>
          </w:tcPr>
          <w:p>
            <w:pPr>
              <w:spacing w:after="0"/>
              <w:rPr>
                <w:sz w:val="20"/>
                <w:szCs w:val="20"/>
                <w:color w:val="auto"/>
              </w:rPr>
            </w:pPr>
          </w:p>
        </w:tc>
        <w:tc>
          <w:tcPr>
            <w:tcW w:w="1500" w:type="dxa"/>
            <w:vAlign w:val="bottom"/>
            <w:tcBorders>
              <w:top w:val="single" w:sz="8" w:color="006880"/>
              <w:bottom w:val="single" w:sz="8" w:color="004054"/>
            </w:tcBorders>
            <w:shd w:val="clear" w:color="auto" w:fill="006880"/>
          </w:tcPr>
          <w:p>
            <w:pPr>
              <w:spacing w:after="0"/>
              <w:rPr>
                <w:sz w:val="20"/>
                <w:szCs w:val="20"/>
                <w:color w:val="auto"/>
              </w:rPr>
            </w:pPr>
          </w:p>
        </w:tc>
        <w:tc>
          <w:tcPr>
            <w:tcW w:w="340" w:type="dxa"/>
            <w:vAlign w:val="bottom"/>
            <w:tcBorders>
              <w:top w:val="single" w:sz="8" w:color="006880"/>
              <w:bottom w:val="single" w:sz="8" w:color="004054"/>
            </w:tcBorders>
            <w:shd w:val="clear" w:color="auto" w:fill="006880"/>
          </w:tcPr>
          <w:p>
            <w:pPr>
              <w:spacing w:after="0"/>
              <w:rPr>
                <w:sz w:val="20"/>
                <w:szCs w:val="20"/>
                <w:color w:val="auto"/>
              </w:rPr>
            </w:pPr>
          </w:p>
        </w:tc>
        <w:tc>
          <w:tcPr>
            <w:tcW w:w="1520" w:type="dxa"/>
            <w:vAlign w:val="bottom"/>
            <w:tcBorders>
              <w:top w:val="single" w:sz="8" w:color="006880"/>
              <w:bottom w:val="single" w:sz="8" w:color="004054"/>
            </w:tcBorders>
            <w:shd w:val="clear" w:color="auto" w:fill="006880"/>
          </w:tcPr>
          <w:p>
            <w:pPr>
              <w:spacing w:after="0"/>
              <w:rPr>
                <w:sz w:val="20"/>
                <w:szCs w:val="20"/>
                <w:color w:val="auto"/>
              </w:rPr>
            </w:pPr>
          </w:p>
        </w:tc>
        <w:tc>
          <w:tcPr>
            <w:tcW w:w="2480" w:type="dxa"/>
            <w:vAlign w:val="bottom"/>
            <w:tcBorders>
              <w:top w:val="single" w:sz="8" w:color="006880"/>
              <w:bottom w:val="single" w:sz="8" w:color="004054"/>
            </w:tcBorders>
            <w:shd w:val="clear" w:color="auto" w:fill="006880"/>
          </w:tcPr>
          <w:p>
            <w:pPr>
              <w:jc w:val="right"/>
              <w:ind w:right="921"/>
              <w:spacing w:after="0"/>
              <w:rPr>
                <w:sz w:val="20"/>
                <w:szCs w:val="20"/>
                <w:color w:val="auto"/>
              </w:rPr>
            </w:pPr>
            <w:r>
              <w:rPr>
                <w:rFonts w:ascii="Arial" w:cs="Arial" w:eastAsia="Arial" w:hAnsi="Arial"/>
                <w:sz w:val="14"/>
                <w:szCs w:val="14"/>
                <w:b w:val="1"/>
                <w:bCs w:val="1"/>
                <w:color w:val="FFFFFF"/>
              </w:rPr>
              <w:t>Stock Awards</w:t>
            </w:r>
          </w:p>
        </w:tc>
        <w:tc>
          <w:tcPr>
            <w:tcW w:w="400" w:type="dxa"/>
            <w:vAlign w:val="bottom"/>
            <w:tcBorders>
              <w:top w:val="single" w:sz="8" w:color="006880"/>
              <w:bottom w:val="single" w:sz="8" w:color="004054"/>
            </w:tcBorders>
            <w:shd w:val="clear" w:color="auto" w:fill="006880"/>
          </w:tcPr>
          <w:p>
            <w:pPr>
              <w:spacing w:after="0"/>
              <w:rPr>
                <w:sz w:val="20"/>
                <w:szCs w:val="20"/>
                <w:color w:val="auto"/>
              </w:rPr>
            </w:pPr>
          </w:p>
        </w:tc>
        <w:tc>
          <w:tcPr>
            <w:tcW w:w="2500" w:type="dxa"/>
            <w:vAlign w:val="bottom"/>
            <w:tcBorders>
              <w:top w:val="single" w:sz="8" w:color="006880"/>
              <w:bottom w:val="single" w:sz="8" w:color="004054"/>
            </w:tcBorders>
            <w:shd w:val="clear" w:color="auto" w:fill="006880"/>
          </w:tcPr>
          <w:p>
            <w:pPr>
              <w:spacing w:after="0"/>
              <w:rPr>
                <w:sz w:val="20"/>
                <w:szCs w:val="20"/>
                <w:color w:val="auto"/>
              </w:rPr>
            </w:pPr>
          </w:p>
        </w:tc>
        <w:tc>
          <w:tcPr>
            <w:tcW w:w="20" w:type="dxa"/>
            <w:vAlign w:val="bottom"/>
            <w:tcBorders>
              <w:top w:val="single" w:sz="8" w:color="006880"/>
              <w:bottom w:val="single" w:sz="8" w:color="006880"/>
            </w:tcBorders>
            <w:shd w:val="clear" w:color="auto" w:fill="006880"/>
          </w:tcPr>
          <w:p>
            <w:pPr>
              <w:spacing w:after="0"/>
              <w:rPr>
                <w:sz w:val="20"/>
                <w:szCs w:val="20"/>
                <w:color w:val="auto"/>
              </w:rPr>
            </w:pPr>
          </w:p>
        </w:tc>
      </w:tr>
      <w:tr>
        <w:trPr>
          <w:trHeight w:val="193"/>
        </w:trPr>
        <w:tc>
          <w:tcPr>
            <w:tcW w:w="1580" w:type="dxa"/>
            <w:vAlign w:val="bottom"/>
            <w:shd w:val="clear" w:color="auto" w:fill="004054"/>
          </w:tcPr>
          <w:p>
            <w:pPr>
              <w:spacing w:after="0"/>
              <w:rPr>
                <w:sz w:val="16"/>
                <w:szCs w:val="16"/>
                <w:color w:val="auto"/>
              </w:rPr>
            </w:pPr>
          </w:p>
        </w:tc>
        <w:tc>
          <w:tcPr>
            <w:tcW w:w="920" w:type="dxa"/>
            <w:vAlign w:val="bottom"/>
            <w:tcBorders>
              <w:right w:val="single" w:sz="8" w:color="004054"/>
            </w:tcBorders>
            <w:shd w:val="clear" w:color="auto" w:fill="004054"/>
          </w:tcPr>
          <w:p>
            <w:pPr>
              <w:spacing w:after="0"/>
              <w:rPr>
                <w:sz w:val="16"/>
                <w:szCs w:val="16"/>
                <w:color w:val="auto"/>
              </w:rPr>
            </w:pPr>
          </w:p>
        </w:tc>
        <w:tc>
          <w:tcPr>
            <w:tcW w:w="15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 of Shares</w:t>
            </w:r>
          </w:p>
        </w:tc>
        <w:tc>
          <w:tcPr>
            <w:tcW w:w="340" w:type="dxa"/>
            <w:vAlign w:val="bottom"/>
            <w:shd w:val="clear" w:color="auto" w:fill="004054"/>
          </w:tcPr>
          <w:p>
            <w:pPr>
              <w:spacing w:after="0"/>
              <w:rPr>
                <w:sz w:val="16"/>
                <w:szCs w:val="16"/>
                <w:color w:val="auto"/>
              </w:rPr>
            </w:pPr>
          </w:p>
        </w:tc>
        <w:tc>
          <w:tcPr>
            <w:tcW w:w="15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Market Value of</w:t>
            </w:r>
          </w:p>
        </w:tc>
        <w:tc>
          <w:tcPr>
            <w:tcW w:w="24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Equity Incentive Plan Awards:</w:t>
            </w:r>
          </w:p>
        </w:tc>
        <w:tc>
          <w:tcPr>
            <w:tcW w:w="400" w:type="dxa"/>
            <w:vAlign w:val="bottom"/>
            <w:shd w:val="clear" w:color="auto" w:fill="004054"/>
          </w:tcPr>
          <w:p>
            <w:pPr>
              <w:spacing w:after="0"/>
              <w:rPr>
                <w:sz w:val="16"/>
                <w:szCs w:val="16"/>
                <w:color w:val="auto"/>
              </w:rPr>
            </w:pPr>
          </w:p>
        </w:tc>
        <w:tc>
          <w:tcPr>
            <w:tcW w:w="25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Equity Incentive Plan Awards:</w:t>
            </w:r>
          </w:p>
        </w:tc>
        <w:tc>
          <w:tcPr>
            <w:tcW w:w="20" w:type="dxa"/>
            <w:vAlign w:val="bottom"/>
            <w:shd w:val="clear" w:color="auto" w:fill="004054"/>
          </w:tcPr>
          <w:p>
            <w:pPr>
              <w:spacing w:after="0"/>
              <w:rPr>
                <w:sz w:val="16"/>
                <w:szCs w:val="16"/>
                <w:color w:val="auto"/>
              </w:rPr>
            </w:pPr>
          </w:p>
        </w:tc>
      </w:tr>
      <w:tr>
        <w:trPr>
          <w:trHeight w:val="175"/>
        </w:trPr>
        <w:tc>
          <w:tcPr>
            <w:tcW w:w="1580" w:type="dxa"/>
            <w:vAlign w:val="bottom"/>
            <w:shd w:val="clear" w:color="auto" w:fill="004054"/>
          </w:tcPr>
          <w:p>
            <w:pPr>
              <w:spacing w:after="0"/>
              <w:rPr>
                <w:sz w:val="15"/>
                <w:szCs w:val="15"/>
                <w:color w:val="auto"/>
              </w:rPr>
            </w:pPr>
          </w:p>
        </w:tc>
        <w:tc>
          <w:tcPr>
            <w:tcW w:w="920" w:type="dxa"/>
            <w:vAlign w:val="bottom"/>
            <w:tcBorders>
              <w:right w:val="single" w:sz="8" w:color="004054"/>
            </w:tcBorders>
            <w:shd w:val="clear" w:color="auto" w:fill="004054"/>
          </w:tcPr>
          <w:p>
            <w:pPr>
              <w:spacing w:after="0"/>
              <w:rPr>
                <w:sz w:val="15"/>
                <w:szCs w:val="15"/>
                <w:color w:val="auto"/>
              </w:rPr>
            </w:pPr>
          </w:p>
        </w:tc>
        <w:tc>
          <w:tcPr>
            <w:tcW w:w="15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or Units of Stock</w:t>
            </w:r>
          </w:p>
        </w:tc>
        <w:tc>
          <w:tcPr>
            <w:tcW w:w="340" w:type="dxa"/>
            <w:vAlign w:val="bottom"/>
            <w:shd w:val="clear" w:color="auto" w:fill="004054"/>
          </w:tcPr>
          <w:p>
            <w:pPr>
              <w:spacing w:after="0"/>
              <w:rPr>
                <w:sz w:val="15"/>
                <w:szCs w:val="15"/>
                <w:color w:val="auto"/>
              </w:rPr>
            </w:pPr>
          </w:p>
        </w:tc>
        <w:tc>
          <w:tcPr>
            <w:tcW w:w="15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Shares or Units of</w:t>
            </w:r>
          </w:p>
        </w:tc>
        <w:tc>
          <w:tcPr>
            <w:tcW w:w="24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 of Unearned Shares,</w:t>
            </w:r>
          </w:p>
        </w:tc>
        <w:tc>
          <w:tcPr>
            <w:tcW w:w="400" w:type="dxa"/>
            <w:vAlign w:val="bottom"/>
            <w:shd w:val="clear" w:color="auto" w:fill="004054"/>
          </w:tcPr>
          <w:p>
            <w:pPr>
              <w:spacing w:after="0"/>
              <w:rPr>
                <w:sz w:val="15"/>
                <w:szCs w:val="15"/>
                <w:color w:val="auto"/>
              </w:rPr>
            </w:pPr>
          </w:p>
        </w:tc>
        <w:tc>
          <w:tcPr>
            <w:tcW w:w="25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Market or Payout Value of</w:t>
            </w:r>
          </w:p>
        </w:tc>
        <w:tc>
          <w:tcPr>
            <w:tcW w:w="20" w:type="dxa"/>
            <w:vAlign w:val="bottom"/>
            <w:shd w:val="clear" w:color="auto" w:fill="004054"/>
          </w:tcPr>
          <w:p>
            <w:pPr>
              <w:spacing w:after="0"/>
              <w:rPr>
                <w:sz w:val="15"/>
                <w:szCs w:val="15"/>
                <w:color w:val="auto"/>
              </w:rPr>
            </w:pPr>
          </w:p>
        </w:tc>
      </w:tr>
      <w:tr>
        <w:trPr>
          <w:trHeight w:val="162"/>
        </w:trPr>
        <w:tc>
          <w:tcPr>
            <w:tcW w:w="1580" w:type="dxa"/>
            <w:vAlign w:val="bottom"/>
            <w:shd w:val="clear" w:color="auto" w:fill="004054"/>
          </w:tcPr>
          <w:p>
            <w:pPr>
              <w:spacing w:after="0"/>
              <w:rPr>
                <w:sz w:val="14"/>
                <w:szCs w:val="14"/>
                <w:color w:val="auto"/>
              </w:rPr>
            </w:pPr>
          </w:p>
        </w:tc>
        <w:tc>
          <w:tcPr>
            <w:tcW w:w="920" w:type="dxa"/>
            <w:vAlign w:val="bottom"/>
            <w:tcBorders>
              <w:right w:val="single" w:sz="8" w:color="004054"/>
            </w:tcBorders>
            <w:shd w:val="clear" w:color="auto" w:fill="004054"/>
          </w:tcPr>
          <w:p>
            <w:pPr>
              <w:spacing w:after="0"/>
              <w:rPr>
                <w:sz w:val="14"/>
                <w:szCs w:val="14"/>
                <w:color w:val="auto"/>
              </w:rPr>
            </w:pPr>
          </w:p>
        </w:tc>
        <w:tc>
          <w:tcPr>
            <w:tcW w:w="15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That Have</w:t>
            </w:r>
          </w:p>
        </w:tc>
        <w:tc>
          <w:tcPr>
            <w:tcW w:w="340" w:type="dxa"/>
            <w:vAlign w:val="bottom"/>
            <w:shd w:val="clear" w:color="auto" w:fill="004054"/>
          </w:tcPr>
          <w:p>
            <w:pPr>
              <w:spacing w:after="0"/>
              <w:rPr>
                <w:sz w:val="14"/>
                <w:szCs w:val="14"/>
                <w:color w:val="auto"/>
              </w:rPr>
            </w:pPr>
          </w:p>
        </w:tc>
        <w:tc>
          <w:tcPr>
            <w:tcW w:w="15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Stock That Have</w:t>
            </w:r>
          </w:p>
        </w:tc>
        <w:tc>
          <w:tcPr>
            <w:tcW w:w="24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Units or Other Rights That</w:t>
            </w:r>
          </w:p>
        </w:tc>
        <w:tc>
          <w:tcPr>
            <w:tcW w:w="400" w:type="dxa"/>
            <w:vAlign w:val="bottom"/>
            <w:shd w:val="clear" w:color="auto" w:fill="004054"/>
          </w:tcPr>
          <w:p>
            <w:pPr>
              <w:spacing w:after="0"/>
              <w:rPr>
                <w:sz w:val="14"/>
                <w:szCs w:val="14"/>
                <w:color w:val="auto"/>
              </w:rPr>
            </w:pPr>
          </w:p>
        </w:tc>
        <w:tc>
          <w:tcPr>
            <w:tcW w:w="25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Unearned Shares, Units or Other</w:t>
            </w:r>
          </w:p>
        </w:tc>
        <w:tc>
          <w:tcPr>
            <w:tcW w:w="20" w:type="dxa"/>
            <w:vAlign w:val="bottom"/>
            <w:shd w:val="clear" w:color="auto" w:fill="004054"/>
          </w:tcPr>
          <w:p>
            <w:pPr>
              <w:spacing w:after="0"/>
              <w:rPr>
                <w:sz w:val="14"/>
                <w:szCs w:val="14"/>
                <w:color w:val="auto"/>
              </w:rPr>
            </w:pPr>
          </w:p>
        </w:tc>
      </w:tr>
      <w:tr>
        <w:trPr>
          <w:trHeight w:val="175"/>
        </w:trPr>
        <w:tc>
          <w:tcPr>
            <w:tcW w:w="1580" w:type="dxa"/>
            <w:vAlign w:val="bottom"/>
            <w:shd w:val="clear" w:color="auto" w:fill="004054"/>
          </w:tcPr>
          <w:p>
            <w:pPr>
              <w:spacing w:after="0"/>
              <w:rPr>
                <w:sz w:val="15"/>
                <w:szCs w:val="15"/>
                <w:color w:val="auto"/>
              </w:rPr>
            </w:pPr>
          </w:p>
        </w:tc>
        <w:tc>
          <w:tcPr>
            <w:tcW w:w="920" w:type="dxa"/>
            <w:vAlign w:val="bottom"/>
            <w:tcBorders>
              <w:right w:val="single" w:sz="8" w:color="004054"/>
            </w:tcBorders>
            <w:shd w:val="clear" w:color="auto" w:fill="004054"/>
          </w:tcPr>
          <w:p>
            <w:pPr>
              <w:spacing w:after="0"/>
              <w:rPr>
                <w:sz w:val="15"/>
                <w:szCs w:val="15"/>
                <w:color w:val="auto"/>
              </w:rPr>
            </w:pPr>
          </w:p>
        </w:tc>
        <w:tc>
          <w:tcPr>
            <w:tcW w:w="15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Not Vested</w:t>
            </w:r>
          </w:p>
        </w:tc>
        <w:tc>
          <w:tcPr>
            <w:tcW w:w="340" w:type="dxa"/>
            <w:vAlign w:val="bottom"/>
            <w:shd w:val="clear" w:color="auto" w:fill="004054"/>
          </w:tcPr>
          <w:p>
            <w:pPr>
              <w:spacing w:after="0"/>
              <w:rPr>
                <w:sz w:val="15"/>
                <w:szCs w:val="15"/>
                <w:color w:val="auto"/>
              </w:rPr>
            </w:pPr>
          </w:p>
        </w:tc>
        <w:tc>
          <w:tcPr>
            <w:tcW w:w="15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Not Vested</w:t>
            </w:r>
            <w:r>
              <w:rPr>
                <w:rFonts w:ascii="Arial" w:cs="Arial" w:eastAsia="Arial" w:hAnsi="Arial"/>
                <w:sz w:val="9"/>
                <w:szCs w:val="9"/>
                <w:b w:val="1"/>
                <w:bCs w:val="1"/>
                <w:color w:val="FFFFFF"/>
              </w:rPr>
              <w:t>(1)</w:t>
            </w:r>
          </w:p>
        </w:tc>
        <w:tc>
          <w:tcPr>
            <w:tcW w:w="24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Have Not Vested</w:t>
            </w:r>
          </w:p>
        </w:tc>
        <w:tc>
          <w:tcPr>
            <w:tcW w:w="400" w:type="dxa"/>
            <w:vAlign w:val="bottom"/>
            <w:shd w:val="clear" w:color="auto" w:fill="004054"/>
          </w:tcPr>
          <w:p>
            <w:pPr>
              <w:spacing w:after="0"/>
              <w:rPr>
                <w:sz w:val="15"/>
                <w:szCs w:val="15"/>
                <w:color w:val="auto"/>
              </w:rPr>
            </w:pPr>
          </w:p>
        </w:tc>
        <w:tc>
          <w:tcPr>
            <w:tcW w:w="25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Rights That Have Not Vested</w:t>
            </w:r>
            <w:r>
              <w:rPr>
                <w:rFonts w:ascii="Arial" w:cs="Arial" w:eastAsia="Arial" w:hAnsi="Arial"/>
                <w:sz w:val="9"/>
                <w:szCs w:val="9"/>
                <w:b w:val="1"/>
                <w:bCs w:val="1"/>
                <w:color w:val="FFFFFF"/>
              </w:rPr>
              <w:t>(1)</w:t>
            </w:r>
          </w:p>
        </w:tc>
        <w:tc>
          <w:tcPr>
            <w:tcW w:w="20" w:type="dxa"/>
            <w:vAlign w:val="bottom"/>
            <w:shd w:val="clear" w:color="auto" w:fill="004054"/>
          </w:tcPr>
          <w:p>
            <w:pPr>
              <w:spacing w:after="0"/>
              <w:rPr>
                <w:sz w:val="15"/>
                <w:szCs w:val="15"/>
                <w:color w:val="auto"/>
              </w:rPr>
            </w:pPr>
          </w:p>
        </w:tc>
      </w:tr>
      <w:tr>
        <w:trPr>
          <w:trHeight w:val="205"/>
        </w:trPr>
        <w:tc>
          <w:tcPr>
            <w:tcW w:w="15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Name</w:t>
            </w:r>
          </w:p>
        </w:tc>
        <w:tc>
          <w:tcPr>
            <w:tcW w:w="920" w:type="dxa"/>
            <w:vAlign w:val="bottom"/>
            <w:tcBorders>
              <w:bottom w:val="single" w:sz="8" w:color="004054"/>
              <w:right w:val="single" w:sz="8" w:color="004054"/>
            </w:tcBorders>
            <w:shd w:val="clear" w:color="auto" w:fill="004054"/>
          </w:tcPr>
          <w:p>
            <w:pPr>
              <w:jc w:val="right"/>
              <w:ind w:right="88"/>
              <w:spacing w:after="0"/>
              <w:rPr>
                <w:sz w:val="20"/>
                <w:szCs w:val="20"/>
                <w:color w:val="auto"/>
              </w:rPr>
            </w:pPr>
            <w:r>
              <w:rPr>
                <w:rFonts w:ascii="Arial" w:cs="Arial" w:eastAsia="Arial" w:hAnsi="Arial"/>
                <w:sz w:val="14"/>
                <w:szCs w:val="14"/>
                <w:b w:val="1"/>
                <w:bCs w:val="1"/>
                <w:color w:val="FFFFFF"/>
              </w:rPr>
              <w:t>Grant Date</w:t>
            </w:r>
          </w:p>
        </w:tc>
        <w:tc>
          <w:tcPr>
            <w:tcW w:w="15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004054"/>
            </w:tcBorders>
            <w:shd w:val="clear" w:color="auto" w:fill="004054"/>
          </w:tcPr>
          <w:p>
            <w:pPr>
              <w:spacing w:after="0"/>
              <w:rPr>
                <w:sz w:val="17"/>
                <w:szCs w:val="17"/>
                <w:color w:val="auto"/>
              </w:rPr>
            </w:pPr>
          </w:p>
        </w:tc>
        <w:tc>
          <w:tcPr>
            <w:tcW w:w="15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w:t>
            </w:r>
          </w:p>
        </w:tc>
        <w:tc>
          <w:tcPr>
            <w:tcW w:w="24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w:t>
            </w:r>
          </w:p>
        </w:tc>
        <w:tc>
          <w:tcPr>
            <w:tcW w:w="400" w:type="dxa"/>
            <w:vAlign w:val="bottom"/>
            <w:tcBorders>
              <w:bottom w:val="single" w:sz="8" w:color="004054"/>
            </w:tcBorders>
            <w:shd w:val="clear" w:color="auto" w:fill="004054"/>
          </w:tcPr>
          <w:p>
            <w:pPr>
              <w:spacing w:after="0"/>
              <w:rPr>
                <w:sz w:val="17"/>
                <w:szCs w:val="17"/>
                <w:color w:val="auto"/>
              </w:rPr>
            </w:pPr>
          </w:p>
        </w:tc>
        <w:tc>
          <w:tcPr>
            <w:tcW w:w="25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004054"/>
            </w:tcBorders>
            <w:shd w:val="clear" w:color="auto" w:fill="004054"/>
          </w:tcPr>
          <w:p>
            <w:pPr>
              <w:spacing w:after="0"/>
              <w:rPr>
                <w:sz w:val="17"/>
                <w:szCs w:val="17"/>
                <w:color w:val="auto"/>
              </w:rPr>
            </w:pPr>
          </w:p>
        </w:tc>
      </w:tr>
      <w:tr>
        <w:trPr>
          <w:trHeight w:val="202"/>
        </w:trPr>
        <w:tc>
          <w:tcPr>
            <w:tcW w:w="1580" w:type="dxa"/>
            <w:vAlign w:val="bottom"/>
          </w:tcPr>
          <w:p>
            <w:pPr>
              <w:ind w:left="20"/>
              <w:spacing w:after="0"/>
              <w:rPr>
                <w:sz w:val="20"/>
                <w:szCs w:val="20"/>
                <w:color w:val="auto"/>
              </w:rPr>
            </w:pPr>
            <w:r>
              <w:rPr>
                <w:rFonts w:ascii="Arial" w:cs="Arial" w:eastAsia="Arial" w:hAnsi="Arial"/>
                <w:sz w:val="16"/>
                <w:szCs w:val="16"/>
                <w:b w:val="1"/>
                <w:bCs w:val="1"/>
                <w:color w:val="51555C"/>
              </w:rPr>
              <w:t>David J.</w:t>
            </w:r>
          </w:p>
        </w:tc>
        <w:tc>
          <w:tcPr>
            <w:tcW w:w="920" w:type="dxa"/>
            <w:vAlign w:val="bottom"/>
          </w:tcPr>
          <w:p>
            <w:pPr>
              <w:jc w:val="right"/>
              <w:ind w:right="88"/>
              <w:spacing w:after="0"/>
              <w:rPr>
                <w:sz w:val="20"/>
                <w:szCs w:val="20"/>
                <w:color w:val="auto"/>
              </w:rPr>
            </w:pPr>
            <w:r>
              <w:rPr>
                <w:rFonts w:ascii="Arial" w:cs="Arial" w:eastAsia="Arial" w:hAnsi="Arial"/>
                <w:sz w:val="14"/>
                <w:szCs w:val="14"/>
                <w:color w:val="51555C"/>
              </w:rPr>
              <w:t>2/18/2025</w:t>
            </w:r>
          </w:p>
        </w:tc>
        <w:tc>
          <w:tcPr>
            <w:tcW w:w="1500" w:type="dxa"/>
            <w:vAlign w:val="bottom"/>
          </w:tcPr>
          <w:p>
            <w:pPr>
              <w:jc w:val="right"/>
              <w:spacing w:after="0"/>
              <w:rPr>
                <w:sz w:val="20"/>
                <w:szCs w:val="20"/>
                <w:color w:val="auto"/>
              </w:rPr>
            </w:pPr>
            <w:r>
              <w:rPr>
                <w:rFonts w:ascii="Arial" w:cs="Arial" w:eastAsia="Arial" w:hAnsi="Arial"/>
                <w:sz w:val="16"/>
                <w:szCs w:val="16"/>
                <w:color w:val="51555C"/>
              </w:rPr>
              <w:t>4,649</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(2)</w:t>
            </w:r>
          </w:p>
        </w:tc>
        <w:tc>
          <w:tcPr>
            <w:tcW w:w="1520" w:type="dxa"/>
            <w:vAlign w:val="bottom"/>
          </w:tcPr>
          <w:p>
            <w:pPr>
              <w:jc w:val="right"/>
              <w:spacing w:after="0"/>
              <w:rPr>
                <w:sz w:val="20"/>
                <w:szCs w:val="20"/>
                <w:color w:val="auto"/>
              </w:rPr>
            </w:pPr>
            <w:r>
              <w:rPr>
                <w:rFonts w:ascii="Arial" w:cs="Arial" w:eastAsia="Arial" w:hAnsi="Arial"/>
                <w:sz w:val="16"/>
                <w:szCs w:val="16"/>
                <w:color w:val="51555C"/>
              </w:rPr>
              <w:t>294,375</w:t>
            </w:r>
          </w:p>
        </w:tc>
        <w:tc>
          <w:tcPr>
            <w:tcW w:w="2480" w:type="dxa"/>
            <w:vAlign w:val="bottom"/>
          </w:tcPr>
          <w:p>
            <w:pPr>
              <w:jc w:val="right"/>
              <w:ind w:right="1"/>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17"/>
                <w:szCs w:val="17"/>
                <w:color w:val="auto"/>
              </w:rPr>
            </w:pPr>
          </w:p>
        </w:tc>
      </w:tr>
      <w:tr>
        <w:trPr>
          <w:trHeight w:val="269"/>
        </w:trPr>
        <w:tc>
          <w:tcPr>
            <w:tcW w:w="1580" w:type="dxa"/>
            <w:vAlign w:val="bottom"/>
          </w:tcPr>
          <w:p>
            <w:pPr>
              <w:ind w:left="20"/>
              <w:spacing w:after="0"/>
              <w:rPr>
                <w:sz w:val="20"/>
                <w:szCs w:val="20"/>
                <w:color w:val="auto"/>
              </w:rPr>
            </w:pPr>
            <w:r>
              <w:rPr>
                <w:rFonts w:ascii="Arial" w:cs="Arial" w:eastAsia="Arial" w:hAnsi="Arial"/>
                <w:sz w:val="16"/>
                <w:szCs w:val="16"/>
                <w:b w:val="1"/>
                <w:bCs w:val="1"/>
                <w:color w:val="51555C"/>
              </w:rPr>
              <w:t>Benjamin</w:t>
            </w:r>
          </w:p>
        </w:tc>
        <w:tc>
          <w:tcPr>
            <w:tcW w:w="920" w:type="dxa"/>
            <w:vAlign w:val="bottom"/>
          </w:tcPr>
          <w:p>
            <w:pPr>
              <w:jc w:val="right"/>
              <w:ind w:right="88"/>
              <w:spacing w:after="0"/>
              <w:rPr>
                <w:sz w:val="20"/>
                <w:szCs w:val="20"/>
                <w:color w:val="auto"/>
              </w:rPr>
            </w:pPr>
            <w:r>
              <w:rPr>
                <w:rFonts w:ascii="Arial" w:cs="Arial" w:eastAsia="Arial" w:hAnsi="Arial"/>
                <w:sz w:val="14"/>
                <w:szCs w:val="14"/>
                <w:color w:val="51555C"/>
              </w:rPr>
              <w:t>2/19/2025</w:t>
            </w:r>
          </w:p>
        </w:tc>
        <w:tc>
          <w:tcPr>
            <w:tcW w:w="1500" w:type="dxa"/>
            <w:vAlign w:val="bottom"/>
          </w:tcPr>
          <w:p>
            <w:pPr>
              <w:jc w:val="right"/>
              <w:spacing w:after="0"/>
              <w:rPr>
                <w:sz w:val="20"/>
                <w:szCs w:val="20"/>
                <w:color w:val="auto"/>
              </w:rPr>
            </w:pPr>
            <w:r>
              <w:rPr>
                <w:rFonts w:ascii="Arial" w:cs="Arial" w:eastAsia="Arial" w:hAnsi="Arial"/>
                <w:sz w:val="16"/>
                <w:szCs w:val="16"/>
                <w:color w:val="51555C"/>
              </w:rPr>
              <w:t>16,943</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(3)</w:t>
            </w:r>
          </w:p>
        </w:tc>
        <w:tc>
          <w:tcPr>
            <w:tcW w:w="1520" w:type="dxa"/>
            <w:vAlign w:val="bottom"/>
          </w:tcPr>
          <w:p>
            <w:pPr>
              <w:jc w:val="right"/>
              <w:spacing w:after="0"/>
              <w:rPr>
                <w:sz w:val="20"/>
                <w:szCs w:val="20"/>
                <w:color w:val="auto"/>
              </w:rPr>
            </w:pPr>
            <w:r>
              <w:rPr>
                <w:rFonts w:ascii="Arial" w:cs="Arial" w:eastAsia="Arial" w:hAnsi="Arial"/>
                <w:sz w:val="16"/>
                <w:szCs w:val="16"/>
                <w:color w:val="51555C"/>
              </w:rPr>
              <w:t>1,072,831</w:t>
            </w:r>
          </w:p>
        </w:tc>
        <w:tc>
          <w:tcPr>
            <w:tcW w:w="2480" w:type="dxa"/>
            <w:vAlign w:val="bottom"/>
          </w:tcPr>
          <w:p>
            <w:pPr>
              <w:jc w:val="right"/>
              <w:ind w:right="1"/>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3"/>
                <w:szCs w:val="23"/>
                <w:color w:val="auto"/>
              </w:rPr>
            </w:pPr>
          </w:p>
        </w:tc>
      </w:tr>
      <w:tr>
        <w:trPr>
          <w:trHeight w:val="257"/>
        </w:trPr>
        <w:tc>
          <w:tcPr>
            <w:tcW w:w="1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51555C"/>
              </w:rPr>
              <w:t>2/19/2025</w:t>
            </w:r>
          </w:p>
        </w:tc>
        <w:tc>
          <w:tcPr>
            <w:tcW w:w="1500" w:type="dxa"/>
            <w:vAlign w:val="bottom"/>
          </w:tcPr>
          <w:p>
            <w:pPr>
              <w:jc w:val="right"/>
              <w:spacing w:after="0"/>
              <w:rPr>
                <w:sz w:val="20"/>
                <w:szCs w:val="20"/>
                <w:color w:val="auto"/>
              </w:rPr>
            </w:pPr>
            <w:r>
              <w:rPr>
                <w:rFonts w:ascii="Arial" w:cs="Arial" w:eastAsia="Arial" w:hAnsi="Arial"/>
                <w:sz w:val="16"/>
                <w:szCs w:val="16"/>
                <w:color w:val="51555C"/>
              </w:rPr>
              <w:t>8,475</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(4)</w:t>
            </w:r>
          </w:p>
        </w:tc>
        <w:tc>
          <w:tcPr>
            <w:tcW w:w="1520" w:type="dxa"/>
            <w:vAlign w:val="bottom"/>
          </w:tcPr>
          <w:p>
            <w:pPr>
              <w:jc w:val="right"/>
              <w:spacing w:after="0"/>
              <w:rPr>
                <w:sz w:val="20"/>
                <w:szCs w:val="20"/>
                <w:color w:val="auto"/>
              </w:rPr>
            </w:pPr>
            <w:r>
              <w:rPr>
                <w:rFonts w:ascii="Arial" w:cs="Arial" w:eastAsia="Arial" w:hAnsi="Arial"/>
                <w:sz w:val="16"/>
                <w:szCs w:val="16"/>
                <w:color w:val="51555C"/>
              </w:rPr>
              <w:t>536,637</w:t>
            </w:r>
          </w:p>
        </w:tc>
        <w:tc>
          <w:tcPr>
            <w:tcW w:w="2480" w:type="dxa"/>
            <w:vAlign w:val="bottom"/>
          </w:tcPr>
          <w:p>
            <w:pPr>
              <w:jc w:val="right"/>
              <w:ind w:right="1"/>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6"/>
        </w:trPr>
        <w:tc>
          <w:tcPr>
            <w:tcW w:w="1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51555C"/>
              </w:rPr>
              <w:t>2/19/2025</w:t>
            </w:r>
          </w:p>
        </w:tc>
        <w:tc>
          <w:tcPr>
            <w:tcW w:w="1500" w:type="dxa"/>
            <w:vAlign w:val="bottom"/>
          </w:tcPr>
          <w:p>
            <w:pPr>
              <w:jc w:val="right"/>
              <w:spacing w:after="0"/>
              <w:rPr>
                <w:sz w:val="20"/>
                <w:szCs w:val="20"/>
                <w:color w:val="auto"/>
              </w:rPr>
            </w:pPr>
            <w:r>
              <w:rPr>
                <w:rFonts w:ascii="Arial" w:cs="Arial" w:eastAsia="Arial" w:hAnsi="Arial"/>
                <w:sz w:val="16"/>
                <w:szCs w:val="16"/>
                <w:color w:val="51555C"/>
              </w:rPr>
              <w:t>2,959</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(5)</w:t>
            </w:r>
          </w:p>
        </w:tc>
        <w:tc>
          <w:tcPr>
            <w:tcW w:w="1520" w:type="dxa"/>
            <w:vAlign w:val="bottom"/>
          </w:tcPr>
          <w:p>
            <w:pPr>
              <w:jc w:val="right"/>
              <w:spacing w:after="0"/>
              <w:rPr>
                <w:sz w:val="20"/>
                <w:szCs w:val="20"/>
                <w:color w:val="auto"/>
              </w:rPr>
            </w:pPr>
            <w:r>
              <w:rPr>
                <w:rFonts w:ascii="Arial" w:cs="Arial" w:eastAsia="Arial" w:hAnsi="Arial"/>
                <w:sz w:val="16"/>
                <w:szCs w:val="16"/>
                <w:color w:val="51555C"/>
              </w:rPr>
              <w:t>187,364</w:t>
            </w:r>
          </w:p>
        </w:tc>
        <w:tc>
          <w:tcPr>
            <w:tcW w:w="2480" w:type="dxa"/>
            <w:vAlign w:val="bottom"/>
          </w:tcPr>
          <w:p>
            <w:pPr>
              <w:jc w:val="right"/>
              <w:ind w:right="1"/>
              <w:spacing w:after="0"/>
              <w:rPr>
                <w:sz w:val="20"/>
                <w:szCs w:val="20"/>
                <w:color w:val="auto"/>
              </w:rPr>
            </w:pPr>
            <w:r>
              <w:rPr>
                <w:rFonts w:ascii="Arial" w:cs="Arial" w:eastAsia="Arial" w:hAnsi="Arial"/>
                <w:sz w:val="16"/>
                <w:szCs w:val="16"/>
                <w:color w:val="51555C"/>
              </w:rPr>
              <w:t>11,296</w:t>
            </w:r>
          </w:p>
        </w:tc>
        <w:tc>
          <w:tcPr>
            <w:tcW w:w="400" w:type="dxa"/>
            <w:vAlign w:val="bottom"/>
          </w:tcPr>
          <w:p>
            <w:pPr>
              <w:jc w:val="right"/>
              <w:ind w:right="66"/>
              <w:spacing w:after="0"/>
              <w:rPr>
                <w:sz w:val="20"/>
                <w:szCs w:val="20"/>
                <w:color w:val="auto"/>
              </w:rPr>
            </w:pPr>
            <w:r>
              <w:rPr>
                <w:rFonts w:ascii="Arial" w:cs="Arial" w:eastAsia="Arial" w:hAnsi="Arial"/>
                <w:sz w:val="11"/>
                <w:szCs w:val="11"/>
                <w:color w:val="51555C"/>
                <w:w w:val="96"/>
              </w:rPr>
              <w:t>(6)(7)</w:t>
            </w:r>
          </w:p>
        </w:tc>
        <w:tc>
          <w:tcPr>
            <w:tcW w:w="2500" w:type="dxa"/>
            <w:vAlign w:val="bottom"/>
          </w:tcPr>
          <w:p>
            <w:pPr>
              <w:jc w:val="right"/>
              <w:spacing w:after="0"/>
              <w:rPr>
                <w:sz w:val="20"/>
                <w:szCs w:val="20"/>
                <w:color w:val="auto"/>
              </w:rPr>
            </w:pPr>
            <w:r>
              <w:rPr>
                <w:rFonts w:ascii="Arial" w:cs="Arial" w:eastAsia="Arial" w:hAnsi="Arial"/>
                <w:sz w:val="16"/>
                <w:szCs w:val="16"/>
                <w:color w:val="51555C"/>
              </w:rPr>
              <w:t>715,263</w:t>
            </w:r>
          </w:p>
        </w:tc>
        <w:tc>
          <w:tcPr>
            <w:tcW w:w="20" w:type="dxa"/>
            <w:vAlign w:val="bottom"/>
          </w:tcPr>
          <w:p>
            <w:pPr>
              <w:spacing w:after="0"/>
              <w:rPr>
                <w:sz w:val="22"/>
                <w:szCs w:val="22"/>
                <w:color w:val="auto"/>
              </w:rPr>
            </w:pPr>
          </w:p>
        </w:tc>
      </w:tr>
      <w:tr>
        <w:trPr>
          <w:trHeight w:val="257"/>
        </w:trPr>
        <w:tc>
          <w:tcPr>
            <w:tcW w:w="1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51555C"/>
              </w:rPr>
              <w:t>2/21/2024</w:t>
            </w:r>
          </w:p>
        </w:tc>
        <w:tc>
          <w:tcPr>
            <w:tcW w:w="1500" w:type="dxa"/>
            <w:vAlign w:val="bottom"/>
          </w:tcPr>
          <w:p>
            <w:pPr>
              <w:jc w:val="right"/>
              <w:spacing w:after="0"/>
              <w:rPr>
                <w:sz w:val="20"/>
                <w:szCs w:val="20"/>
                <w:color w:val="auto"/>
              </w:rPr>
            </w:pPr>
            <w:r>
              <w:rPr>
                <w:rFonts w:ascii="Arial" w:cs="Arial" w:eastAsia="Arial" w:hAnsi="Arial"/>
                <w:sz w:val="16"/>
                <w:szCs w:val="16"/>
                <w:color w:val="51555C"/>
              </w:rPr>
              <w:t>10,651</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(3)</w:t>
            </w:r>
          </w:p>
        </w:tc>
        <w:tc>
          <w:tcPr>
            <w:tcW w:w="1520" w:type="dxa"/>
            <w:vAlign w:val="bottom"/>
          </w:tcPr>
          <w:p>
            <w:pPr>
              <w:jc w:val="right"/>
              <w:spacing w:after="0"/>
              <w:rPr>
                <w:sz w:val="20"/>
                <w:szCs w:val="20"/>
                <w:color w:val="auto"/>
              </w:rPr>
            </w:pPr>
            <w:r>
              <w:rPr>
                <w:rFonts w:ascii="Arial" w:cs="Arial" w:eastAsia="Arial" w:hAnsi="Arial"/>
                <w:sz w:val="16"/>
                <w:szCs w:val="16"/>
                <w:color w:val="51555C"/>
              </w:rPr>
              <w:t>674,421</w:t>
            </w:r>
          </w:p>
        </w:tc>
        <w:tc>
          <w:tcPr>
            <w:tcW w:w="2480" w:type="dxa"/>
            <w:vAlign w:val="bottom"/>
          </w:tcPr>
          <w:p>
            <w:pPr>
              <w:jc w:val="right"/>
              <w:ind w:right="1"/>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7"/>
        </w:trPr>
        <w:tc>
          <w:tcPr>
            <w:tcW w:w="1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51555C"/>
              </w:rPr>
              <w:t>2/21/2024</w:t>
            </w:r>
          </w:p>
        </w:tc>
        <w:tc>
          <w:tcPr>
            <w:tcW w:w="1500" w:type="dxa"/>
            <w:vAlign w:val="bottom"/>
          </w:tcPr>
          <w:p>
            <w:pPr>
              <w:jc w:val="right"/>
              <w:spacing w:after="0"/>
              <w:rPr>
                <w:sz w:val="20"/>
                <w:szCs w:val="20"/>
                <w:color w:val="auto"/>
              </w:rPr>
            </w:pPr>
            <w:r>
              <w:rPr>
                <w:rFonts w:ascii="Arial" w:cs="Arial" w:eastAsia="Arial" w:hAnsi="Arial"/>
                <w:sz w:val="16"/>
                <w:szCs w:val="16"/>
                <w:color w:val="51555C"/>
              </w:rPr>
              <w:t>4,864</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(4)</w:t>
            </w:r>
          </w:p>
        </w:tc>
        <w:tc>
          <w:tcPr>
            <w:tcW w:w="1520" w:type="dxa"/>
            <w:vAlign w:val="bottom"/>
          </w:tcPr>
          <w:p>
            <w:pPr>
              <w:jc w:val="right"/>
              <w:spacing w:after="0"/>
              <w:rPr>
                <w:sz w:val="20"/>
                <w:szCs w:val="20"/>
                <w:color w:val="auto"/>
              </w:rPr>
            </w:pPr>
            <w:r>
              <w:rPr>
                <w:rFonts w:ascii="Arial" w:cs="Arial" w:eastAsia="Arial" w:hAnsi="Arial"/>
                <w:sz w:val="16"/>
                <w:szCs w:val="16"/>
                <w:color w:val="51555C"/>
              </w:rPr>
              <w:t>307,988</w:t>
            </w:r>
          </w:p>
        </w:tc>
        <w:tc>
          <w:tcPr>
            <w:tcW w:w="2480" w:type="dxa"/>
            <w:vAlign w:val="bottom"/>
          </w:tcPr>
          <w:p>
            <w:pPr>
              <w:jc w:val="right"/>
              <w:ind w:right="1"/>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7"/>
        </w:trPr>
        <w:tc>
          <w:tcPr>
            <w:tcW w:w="1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51555C"/>
              </w:rPr>
              <w:t>2/21/2024</w:t>
            </w:r>
          </w:p>
        </w:tc>
        <w:tc>
          <w:tcPr>
            <w:tcW w:w="1500" w:type="dxa"/>
            <w:vAlign w:val="bottom"/>
          </w:tcPr>
          <w:p>
            <w:pPr>
              <w:jc w:val="right"/>
              <w:spacing w:after="0"/>
              <w:rPr>
                <w:sz w:val="20"/>
                <w:szCs w:val="20"/>
                <w:color w:val="auto"/>
              </w:rPr>
            </w:pPr>
            <w:r>
              <w:rPr>
                <w:rFonts w:ascii="Arial" w:cs="Arial" w:eastAsia="Arial" w:hAnsi="Arial"/>
                <w:sz w:val="16"/>
                <w:szCs w:val="16"/>
                <w:color w:val="51555C"/>
              </w:rPr>
              <w:t>2,767</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(5)</w:t>
            </w:r>
          </w:p>
        </w:tc>
        <w:tc>
          <w:tcPr>
            <w:tcW w:w="1520" w:type="dxa"/>
            <w:vAlign w:val="bottom"/>
          </w:tcPr>
          <w:p>
            <w:pPr>
              <w:jc w:val="right"/>
              <w:spacing w:after="0"/>
              <w:rPr>
                <w:sz w:val="20"/>
                <w:szCs w:val="20"/>
                <w:color w:val="auto"/>
              </w:rPr>
            </w:pPr>
            <w:r>
              <w:rPr>
                <w:rFonts w:ascii="Arial" w:cs="Arial" w:eastAsia="Arial" w:hAnsi="Arial"/>
                <w:sz w:val="16"/>
                <w:szCs w:val="16"/>
                <w:color w:val="51555C"/>
              </w:rPr>
              <w:t>175,206</w:t>
            </w:r>
          </w:p>
        </w:tc>
        <w:tc>
          <w:tcPr>
            <w:tcW w:w="2480" w:type="dxa"/>
            <w:vAlign w:val="bottom"/>
          </w:tcPr>
          <w:p>
            <w:pPr>
              <w:jc w:val="right"/>
              <w:ind w:right="1"/>
              <w:spacing w:after="0"/>
              <w:rPr>
                <w:sz w:val="20"/>
                <w:szCs w:val="20"/>
                <w:color w:val="auto"/>
              </w:rPr>
            </w:pPr>
            <w:r>
              <w:rPr>
                <w:rFonts w:ascii="Arial" w:cs="Arial" w:eastAsia="Arial" w:hAnsi="Arial"/>
                <w:sz w:val="16"/>
                <w:szCs w:val="16"/>
                <w:color w:val="51555C"/>
              </w:rPr>
              <w:t>5,326</w:t>
            </w:r>
          </w:p>
        </w:tc>
        <w:tc>
          <w:tcPr>
            <w:tcW w:w="400" w:type="dxa"/>
            <w:vAlign w:val="bottom"/>
          </w:tcPr>
          <w:p>
            <w:pPr>
              <w:jc w:val="right"/>
              <w:ind w:right="66"/>
              <w:spacing w:after="0"/>
              <w:rPr>
                <w:sz w:val="20"/>
                <w:szCs w:val="20"/>
                <w:color w:val="auto"/>
              </w:rPr>
            </w:pPr>
            <w:r>
              <w:rPr>
                <w:rFonts w:ascii="Arial" w:cs="Arial" w:eastAsia="Arial" w:hAnsi="Arial"/>
                <w:sz w:val="11"/>
                <w:szCs w:val="11"/>
                <w:color w:val="51555C"/>
                <w:w w:val="96"/>
              </w:rPr>
              <w:t>(6)(8)</w:t>
            </w:r>
          </w:p>
        </w:tc>
        <w:tc>
          <w:tcPr>
            <w:tcW w:w="2500" w:type="dxa"/>
            <w:vAlign w:val="bottom"/>
          </w:tcPr>
          <w:p>
            <w:pPr>
              <w:jc w:val="right"/>
              <w:spacing w:after="0"/>
              <w:rPr>
                <w:sz w:val="20"/>
                <w:szCs w:val="20"/>
                <w:color w:val="auto"/>
              </w:rPr>
            </w:pPr>
            <w:r>
              <w:rPr>
                <w:rFonts w:ascii="Arial" w:cs="Arial" w:eastAsia="Arial" w:hAnsi="Arial"/>
                <w:sz w:val="16"/>
                <w:szCs w:val="16"/>
                <w:color w:val="51555C"/>
              </w:rPr>
              <w:t>337,242</w:t>
            </w:r>
          </w:p>
        </w:tc>
        <w:tc>
          <w:tcPr>
            <w:tcW w:w="20" w:type="dxa"/>
            <w:vAlign w:val="bottom"/>
          </w:tcPr>
          <w:p>
            <w:pPr>
              <w:spacing w:after="0"/>
              <w:rPr>
                <w:sz w:val="22"/>
                <w:szCs w:val="22"/>
                <w:color w:val="auto"/>
              </w:rPr>
            </w:pPr>
          </w:p>
        </w:tc>
      </w:tr>
      <w:tr>
        <w:trPr>
          <w:trHeight w:val="257"/>
        </w:trPr>
        <w:tc>
          <w:tcPr>
            <w:tcW w:w="1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51555C"/>
              </w:rPr>
              <w:t>2/13/2023</w:t>
            </w:r>
          </w:p>
        </w:tc>
        <w:tc>
          <w:tcPr>
            <w:tcW w:w="1500" w:type="dxa"/>
            <w:vAlign w:val="bottom"/>
          </w:tcPr>
          <w:p>
            <w:pPr>
              <w:jc w:val="right"/>
              <w:spacing w:after="0"/>
              <w:rPr>
                <w:sz w:val="20"/>
                <w:szCs w:val="20"/>
                <w:color w:val="auto"/>
              </w:rPr>
            </w:pPr>
            <w:r>
              <w:rPr>
                <w:rFonts w:ascii="Arial" w:cs="Arial" w:eastAsia="Arial" w:hAnsi="Arial"/>
                <w:sz w:val="16"/>
                <w:szCs w:val="16"/>
                <w:color w:val="51555C"/>
              </w:rPr>
              <w:t>6,808</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(3)</w:t>
            </w:r>
          </w:p>
        </w:tc>
        <w:tc>
          <w:tcPr>
            <w:tcW w:w="1520" w:type="dxa"/>
            <w:vAlign w:val="bottom"/>
          </w:tcPr>
          <w:p>
            <w:pPr>
              <w:jc w:val="right"/>
              <w:spacing w:after="0"/>
              <w:rPr>
                <w:sz w:val="20"/>
                <w:szCs w:val="20"/>
                <w:color w:val="auto"/>
              </w:rPr>
            </w:pPr>
            <w:r>
              <w:rPr>
                <w:rFonts w:ascii="Arial" w:cs="Arial" w:eastAsia="Arial" w:hAnsi="Arial"/>
                <w:sz w:val="16"/>
                <w:szCs w:val="16"/>
                <w:color w:val="51555C"/>
              </w:rPr>
              <w:t>431,083</w:t>
            </w:r>
          </w:p>
        </w:tc>
        <w:tc>
          <w:tcPr>
            <w:tcW w:w="2480" w:type="dxa"/>
            <w:vAlign w:val="bottom"/>
          </w:tcPr>
          <w:p>
            <w:pPr>
              <w:jc w:val="right"/>
              <w:ind w:right="1"/>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6"/>
        </w:trPr>
        <w:tc>
          <w:tcPr>
            <w:tcW w:w="1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51555C"/>
              </w:rPr>
              <w:t>2/13/2023</w:t>
            </w:r>
          </w:p>
        </w:tc>
        <w:tc>
          <w:tcPr>
            <w:tcW w:w="1500" w:type="dxa"/>
            <w:vAlign w:val="bottom"/>
          </w:tcPr>
          <w:p>
            <w:pPr>
              <w:jc w:val="right"/>
              <w:spacing w:after="0"/>
              <w:rPr>
                <w:sz w:val="20"/>
                <w:szCs w:val="20"/>
                <w:color w:val="auto"/>
              </w:rPr>
            </w:pPr>
            <w:r>
              <w:rPr>
                <w:rFonts w:ascii="Arial" w:cs="Arial" w:eastAsia="Arial" w:hAnsi="Arial"/>
                <w:sz w:val="16"/>
                <w:szCs w:val="16"/>
                <w:color w:val="51555C"/>
              </w:rPr>
              <w:t>3,340</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(4)</w:t>
            </w:r>
          </w:p>
        </w:tc>
        <w:tc>
          <w:tcPr>
            <w:tcW w:w="1520" w:type="dxa"/>
            <w:vAlign w:val="bottom"/>
          </w:tcPr>
          <w:p>
            <w:pPr>
              <w:jc w:val="right"/>
              <w:spacing w:after="0"/>
              <w:rPr>
                <w:sz w:val="20"/>
                <w:szCs w:val="20"/>
                <w:color w:val="auto"/>
              </w:rPr>
            </w:pPr>
            <w:r>
              <w:rPr>
                <w:rFonts w:ascii="Arial" w:cs="Arial" w:eastAsia="Arial" w:hAnsi="Arial"/>
                <w:sz w:val="16"/>
                <w:szCs w:val="16"/>
                <w:color w:val="51555C"/>
              </w:rPr>
              <w:t>211,489</w:t>
            </w:r>
          </w:p>
        </w:tc>
        <w:tc>
          <w:tcPr>
            <w:tcW w:w="2480" w:type="dxa"/>
            <w:vAlign w:val="bottom"/>
          </w:tcPr>
          <w:p>
            <w:pPr>
              <w:jc w:val="right"/>
              <w:ind w:right="1"/>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7"/>
        </w:trPr>
        <w:tc>
          <w:tcPr>
            <w:tcW w:w="1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51555C"/>
              </w:rPr>
              <w:t>2/13/2023</w:t>
            </w:r>
          </w:p>
        </w:tc>
        <w:tc>
          <w:tcPr>
            <w:tcW w:w="1500" w:type="dxa"/>
            <w:vAlign w:val="bottom"/>
          </w:tcPr>
          <w:p>
            <w:pPr>
              <w:jc w:val="right"/>
              <w:spacing w:after="0"/>
              <w:rPr>
                <w:sz w:val="20"/>
                <w:szCs w:val="20"/>
                <w:color w:val="auto"/>
              </w:rPr>
            </w:pPr>
            <w:r>
              <w:rPr>
                <w:rFonts w:ascii="Arial" w:cs="Arial" w:eastAsia="Arial" w:hAnsi="Arial"/>
                <w:sz w:val="16"/>
                <w:szCs w:val="16"/>
                <w:color w:val="51555C"/>
              </w:rPr>
              <w:t>4,884</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(5)</w:t>
            </w:r>
          </w:p>
        </w:tc>
        <w:tc>
          <w:tcPr>
            <w:tcW w:w="1520" w:type="dxa"/>
            <w:vAlign w:val="bottom"/>
          </w:tcPr>
          <w:p>
            <w:pPr>
              <w:jc w:val="right"/>
              <w:spacing w:after="0"/>
              <w:rPr>
                <w:sz w:val="20"/>
                <w:szCs w:val="20"/>
                <w:color w:val="auto"/>
              </w:rPr>
            </w:pPr>
            <w:r>
              <w:rPr>
                <w:rFonts w:ascii="Arial" w:cs="Arial" w:eastAsia="Arial" w:hAnsi="Arial"/>
                <w:sz w:val="16"/>
                <w:szCs w:val="16"/>
                <w:color w:val="51555C"/>
              </w:rPr>
              <w:t>309,255</w:t>
            </w:r>
          </w:p>
        </w:tc>
        <w:tc>
          <w:tcPr>
            <w:tcW w:w="2480" w:type="dxa"/>
            <w:vAlign w:val="bottom"/>
          </w:tcPr>
          <w:p>
            <w:pPr>
              <w:jc w:val="right"/>
              <w:ind w:right="1"/>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9"/>
        </w:trPr>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158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Kevin P.</w:t>
            </w:r>
          </w:p>
        </w:tc>
        <w:tc>
          <w:tcPr>
            <w:tcW w:w="920" w:type="dxa"/>
            <w:vAlign w:val="bottom"/>
            <w:tcBorders>
              <w:right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2/18/2025</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4,910</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(2)</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310,901</w:t>
            </w:r>
          </w:p>
        </w:tc>
        <w:tc>
          <w:tcPr>
            <w:tcW w:w="2480" w:type="dxa"/>
            <w:vAlign w:val="bottom"/>
            <w:shd w:val="clear" w:color="auto" w:fill="EBFBFF"/>
          </w:tcPr>
          <w:p>
            <w:pPr>
              <w:jc w:val="right"/>
              <w:ind w:right="1"/>
              <w:spacing w:after="0"/>
              <w:rPr>
                <w:sz w:val="20"/>
                <w:szCs w:val="20"/>
                <w:color w:val="auto"/>
              </w:rPr>
            </w:pPr>
            <w:r>
              <w:rPr>
                <w:rFonts w:ascii="Arial" w:cs="Arial" w:eastAsia="Arial" w:hAnsi="Arial"/>
                <w:sz w:val="16"/>
                <w:szCs w:val="16"/>
                <w:color w:val="51555C"/>
              </w:rPr>
              <w:t>—</w:t>
            </w:r>
          </w:p>
        </w:tc>
        <w:tc>
          <w:tcPr>
            <w:tcW w:w="400" w:type="dxa"/>
            <w:vAlign w:val="bottom"/>
            <w:shd w:val="clear" w:color="auto" w:fill="EBFBFF"/>
          </w:tcPr>
          <w:p>
            <w:pPr>
              <w:spacing w:after="0"/>
              <w:rPr>
                <w:sz w:val="17"/>
                <w:szCs w:val="17"/>
                <w:color w:val="auto"/>
              </w:rPr>
            </w:pP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17"/>
                <w:szCs w:val="17"/>
                <w:color w:val="auto"/>
              </w:rPr>
            </w:pPr>
          </w:p>
        </w:tc>
      </w:tr>
      <w:tr>
        <w:trPr>
          <w:trHeight w:val="282"/>
        </w:trPr>
        <w:tc>
          <w:tcPr>
            <w:tcW w:w="158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Gregoire</w:t>
            </w:r>
          </w:p>
        </w:tc>
        <w:tc>
          <w:tcPr>
            <w:tcW w:w="920" w:type="dxa"/>
            <w:vAlign w:val="bottom"/>
            <w:tcBorders>
              <w:right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2/19/2025</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21,179</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(3)</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1,341,054</w:t>
            </w:r>
          </w:p>
        </w:tc>
        <w:tc>
          <w:tcPr>
            <w:tcW w:w="2480" w:type="dxa"/>
            <w:vAlign w:val="bottom"/>
            <w:shd w:val="clear" w:color="auto" w:fill="EBFBFF"/>
          </w:tcPr>
          <w:p>
            <w:pPr>
              <w:jc w:val="right"/>
              <w:ind w:right="1"/>
              <w:spacing w:after="0"/>
              <w:rPr>
                <w:sz w:val="20"/>
                <w:szCs w:val="20"/>
                <w:color w:val="auto"/>
              </w:rPr>
            </w:pPr>
            <w:r>
              <w:rPr>
                <w:rFonts w:ascii="Arial" w:cs="Arial" w:eastAsia="Arial" w:hAnsi="Arial"/>
                <w:sz w:val="16"/>
                <w:szCs w:val="16"/>
                <w:color w:val="51555C"/>
              </w:rPr>
              <w:t>—</w:t>
            </w:r>
          </w:p>
        </w:tc>
        <w:tc>
          <w:tcPr>
            <w:tcW w:w="400" w:type="dxa"/>
            <w:vAlign w:val="bottom"/>
            <w:shd w:val="clear" w:color="auto" w:fill="EBFBFF"/>
          </w:tcPr>
          <w:p>
            <w:pPr>
              <w:spacing w:after="0"/>
              <w:rPr>
                <w:sz w:val="24"/>
                <w:szCs w:val="24"/>
                <w:color w:val="auto"/>
              </w:rPr>
            </w:pP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4"/>
                <w:szCs w:val="24"/>
                <w:color w:val="auto"/>
              </w:rPr>
            </w:pPr>
          </w:p>
        </w:tc>
      </w:tr>
      <w:tr>
        <w:trPr>
          <w:trHeight w:val="256"/>
        </w:trPr>
        <w:tc>
          <w:tcPr>
            <w:tcW w:w="1580" w:type="dxa"/>
            <w:vAlign w:val="bottom"/>
            <w:shd w:val="clear" w:color="auto" w:fill="EBFBFF"/>
          </w:tcPr>
          <w:p>
            <w:pPr>
              <w:spacing w:after="0"/>
              <w:rPr>
                <w:sz w:val="22"/>
                <w:szCs w:val="22"/>
                <w:color w:val="auto"/>
              </w:rPr>
            </w:pPr>
          </w:p>
        </w:tc>
        <w:tc>
          <w:tcPr>
            <w:tcW w:w="920" w:type="dxa"/>
            <w:vAlign w:val="bottom"/>
            <w:tcBorders>
              <w:right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2/19/2025</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10,593</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(4)</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670,749</w:t>
            </w:r>
          </w:p>
        </w:tc>
        <w:tc>
          <w:tcPr>
            <w:tcW w:w="2480" w:type="dxa"/>
            <w:vAlign w:val="bottom"/>
            <w:shd w:val="clear" w:color="auto" w:fill="EBFBFF"/>
          </w:tcPr>
          <w:p>
            <w:pPr>
              <w:jc w:val="right"/>
              <w:ind w:right="1"/>
              <w:spacing w:after="0"/>
              <w:rPr>
                <w:sz w:val="20"/>
                <w:szCs w:val="20"/>
                <w:color w:val="auto"/>
              </w:rPr>
            </w:pPr>
            <w:r>
              <w:rPr>
                <w:rFonts w:ascii="Arial" w:cs="Arial" w:eastAsia="Arial" w:hAnsi="Arial"/>
                <w:sz w:val="16"/>
                <w:szCs w:val="16"/>
                <w:color w:val="51555C"/>
              </w:rPr>
              <w:t>—</w:t>
            </w:r>
          </w:p>
        </w:tc>
        <w:tc>
          <w:tcPr>
            <w:tcW w:w="400" w:type="dxa"/>
            <w:vAlign w:val="bottom"/>
            <w:shd w:val="clear" w:color="auto" w:fill="EBFBFF"/>
          </w:tcPr>
          <w:p>
            <w:pPr>
              <w:spacing w:after="0"/>
              <w:rPr>
                <w:sz w:val="22"/>
                <w:szCs w:val="22"/>
                <w:color w:val="auto"/>
              </w:rPr>
            </w:pP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7"/>
        </w:trPr>
        <w:tc>
          <w:tcPr>
            <w:tcW w:w="1580" w:type="dxa"/>
            <w:vAlign w:val="bottom"/>
            <w:shd w:val="clear" w:color="auto" w:fill="EBFBFF"/>
          </w:tcPr>
          <w:p>
            <w:pPr>
              <w:spacing w:after="0"/>
              <w:rPr>
                <w:sz w:val="22"/>
                <w:szCs w:val="22"/>
                <w:color w:val="auto"/>
              </w:rPr>
            </w:pPr>
          </w:p>
        </w:tc>
        <w:tc>
          <w:tcPr>
            <w:tcW w:w="920" w:type="dxa"/>
            <w:vAlign w:val="bottom"/>
            <w:tcBorders>
              <w:right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2/19/2025</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3,699</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(5)</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234,221</w:t>
            </w:r>
          </w:p>
        </w:tc>
        <w:tc>
          <w:tcPr>
            <w:tcW w:w="2480" w:type="dxa"/>
            <w:vAlign w:val="bottom"/>
            <w:shd w:val="clear" w:color="auto" w:fill="EBFBFF"/>
          </w:tcPr>
          <w:p>
            <w:pPr>
              <w:jc w:val="right"/>
              <w:ind w:right="1"/>
              <w:spacing w:after="0"/>
              <w:rPr>
                <w:sz w:val="20"/>
                <w:szCs w:val="20"/>
                <w:color w:val="auto"/>
              </w:rPr>
            </w:pPr>
            <w:r>
              <w:rPr>
                <w:rFonts w:ascii="Arial" w:cs="Arial" w:eastAsia="Arial" w:hAnsi="Arial"/>
                <w:sz w:val="16"/>
                <w:szCs w:val="16"/>
                <w:color w:val="51555C"/>
              </w:rPr>
              <w:t>14,120</w:t>
            </w:r>
          </w:p>
        </w:tc>
        <w:tc>
          <w:tcPr>
            <w:tcW w:w="400" w:type="dxa"/>
            <w:vAlign w:val="bottom"/>
            <w:shd w:val="clear" w:color="auto" w:fill="EBFBFF"/>
          </w:tcPr>
          <w:p>
            <w:pPr>
              <w:jc w:val="right"/>
              <w:ind w:right="66"/>
              <w:spacing w:after="0"/>
              <w:rPr>
                <w:sz w:val="20"/>
                <w:szCs w:val="20"/>
                <w:color w:val="auto"/>
              </w:rPr>
            </w:pPr>
            <w:r>
              <w:rPr>
                <w:rFonts w:ascii="Arial" w:cs="Arial" w:eastAsia="Arial" w:hAnsi="Arial"/>
                <w:sz w:val="11"/>
                <w:szCs w:val="11"/>
                <w:color w:val="51555C"/>
                <w:w w:val="96"/>
              </w:rPr>
              <w:t>(6)(7)</w:t>
            </w: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894,078</w:t>
            </w:r>
          </w:p>
        </w:tc>
        <w:tc>
          <w:tcPr>
            <w:tcW w:w="20" w:type="dxa"/>
            <w:vAlign w:val="bottom"/>
          </w:tcPr>
          <w:p>
            <w:pPr>
              <w:spacing w:after="0"/>
              <w:rPr>
                <w:sz w:val="22"/>
                <w:szCs w:val="22"/>
                <w:color w:val="auto"/>
              </w:rPr>
            </w:pPr>
          </w:p>
        </w:tc>
      </w:tr>
      <w:tr>
        <w:trPr>
          <w:trHeight w:val="257"/>
        </w:trPr>
        <w:tc>
          <w:tcPr>
            <w:tcW w:w="1580" w:type="dxa"/>
            <w:vAlign w:val="bottom"/>
            <w:shd w:val="clear" w:color="auto" w:fill="EBFBFF"/>
          </w:tcPr>
          <w:p>
            <w:pPr>
              <w:spacing w:after="0"/>
              <w:rPr>
                <w:sz w:val="22"/>
                <w:szCs w:val="22"/>
                <w:color w:val="auto"/>
              </w:rPr>
            </w:pPr>
          </w:p>
        </w:tc>
        <w:tc>
          <w:tcPr>
            <w:tcW w:w="920" w:type="dxa"/>
            <w:vAlign w:val="bottom"/>
            <w:tcBorders>
              <w:right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2/21/2024</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13,314</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(3)</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843,042</w:t>
            </w:r>
          </w:p>
        </w:tc>
        <w:tc>
          <w:tcPr>
            <w:tcW w:w="2480" w:type="dxa"/>
            <w:vAlign w:val="bottom"/>
            <w:shd w:val="clear" w:color="auto" w:fill="EBFBFF"/>
          </w:tcPr>
          <w:p>
            <w:pPr>
              <w:jc w:val="right"/>
              <w:ind w:right="1"/>
              <w:spacing w:after="0"/>
              <w:rPr>
                <w:sz w:val="20"/>
                <w:szCs w:val="20"/>
                <w:color w:val="auto"/>
              </w:rPr>
            </w:pPr>
            <w:r>
              <w:rPr>
                <w:rFonts w:ascii="Arial" w:cs="Arial" w:eastAsia="Arial" w:hAnsi="Arial"/>
                <w:sz w:val="16"/>
                <w:szCs w:val="16"/>
                <w:color w:val="51555C"/>
              </w:rPr>
              <w:t>—</w:t>
            </w:r>
          </w:p>
        </w:tc>
        <w:tc>
          <w:tcPr>
            <w:tcW w:w="400" w:type="dxa"/>
            <w:vAlign w:val="bottom"/>
            <w:shd w:val="clear" w:color="auto" w:fill="EBFBFF"/>
          </w:tcPr>
          <w:p>
            <w:pPr>
              <w:spacing w:after="0"/>
              <w:rPr>
                <w:sz w:val="22"/>
                <w:szCs w:val="22"/>
                <w:color w:val="auto"/>
              </w:rPr>
            </w:pP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7"/>
        </w:trPr>
        <w:tc>
          <w:tcPr>
            <w:tcW w:w="1580" w:type="dxa"/>
            <w:vAlign w:val="bottom"/>
            <w:shd w:val="clear" w:color="auto" w:fill="EBFBFF"/>
          </w:tcPr>
          <w:p>
            <w:pPr>
              <w:spacing w:after="0"/>
              <w:rPr>
                <w:sz w:val="22"/>
                <w:szCs w:val="22"/>
                <w:color w:val="auto"/>
              </w:rPr>
            </w:pPr>
          </w:p>
        </w:tc>
        <w:tc>
          <w:tcPr>
            <w:tcW w:w="920" w:type="dxa"/>
            <w:vAlign w:val="bottom"/>
            <w:tcBorders>
              <w:right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2/21/2024</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6,079</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(4)</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384,922</w:t>
            </w:r>
          </w:p>
        </w:tc>
        <w:tc>
          <w:tcPr>
            <w:tcW w:w="2480" w:type="dxa"/>
            <w:vAlign w:val="bottom"/>
            <w:shd w:val="clear" w:color="auto" w:fill="EBFBFF"/>
          </w:tcPr>
          <w:p>
            <w:pPr>
              <w:jc w:val="right"/>
              <w:ind w:right="1"/>
              <w:spacing w:after="0"/>
              <w:rPr>
                <w:sz w:val="20"/>
                <w:szCs w:val="20"/>
                <w:color w:val="auto"/>
              </w:rPr>
            </w:pPr>
            <w:r>
              <w:rPr>
                <w:rFonts w:ascii="Arial" w:cs="Arial" w:eastAsia="Arial" w:hAnsi="Arial"/>
                <w:sz w:val="16"/>
                <w:szCs w:val="16"/>
                <w:color w:val="51555C"/>
              </w:rPr>
              <w:t>—</w:t>
            </w:r>
          </w:p>
        </w:tc>
        <w:tc>
          <w:tcPr>
            <w:tcW w:w="400" w:type="dxa"/>
            <w:vAlign w:val="bottom"/>
            <w:shd w:val="clear" w:color="auto" w:fill="EBFBFF"/>
          </w:tcPr>
          <w:p>
            <w:pPr>
              <w:spacing w:after="0"/>
              <w:rPr>
                <w:sz w:val="22"/>
                <w:szCs w:val="22"/>
                <w:color w:val="auto"/>
              </w:rPr>
            </w:pP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6"/>
        </w:trPr>
        <w:tc>
          <w:tcPr>
            <w:tcW w:w="1580" w:type="dxa"/>
            <w:vAlign w:val="bottom"/>
            <w:shd w:val="clear" w:color="auto" w:fill="EBFBFF"/>
          </w:tcPr>
          <w:p>
            <w:pPr>
              <w:spacing w:after="0"/>
              <w:rPr>
                <w:sz w:val="22"/>
                <w:szCs w:val="22"/>
                <w:color w:val="auto"/>
              </w:rPr>
            </w:pPr>
          </w:p>
        </w:tc>
        <w:tc>
          <w:tcPr>
            <w:tcW w:w="920" w:type="dxa"/>
            <w:vAlign w:val="bottom"/>
            <w:tcBorders>
              <w:right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2/21/2024</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3,457</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(5)</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218,897</w:t>
            </w:r>
          </w:p>
        </w:tc>
        <w:tc>
          <w:tcPr>
            <w:tcW w:w="2480" w:type="dxa"/>
            <w:vAlign w:val="bottom"/>
            <w:shd w:val="clear" w:color="auto" w:fill="EBFBFF"/>
          </w:tcPr>
          <w:p>
            <w:pPr>
              <w:jc w:val="right"/>
              <w:ind w:right="1"/>
              <w:spacing w:after="0"/>
              <w:rPr>
                <w:sz w:val="20"/>
                <w:szCs w:val="20"/>
                <w:color w:val="auto"/>
              </w:rPr>
            </w:pPr>
            <w:r>
              <w:rPr>
                <w:rFonts w:ascii="Arial" w:cs="Arial" w:eastAsia="Arial" w:hAnsi="Arial"/>
                <w:sz w:val="16"/>
                <w:szCs w:val="16"/>
                <w:color w:val="51555C"/>
              </w:rPr>
              <w:t>6,658</w:t>
            </w:r>
          </w:p>
        </w:tc>
        <w:tc>
          <w:tcPr>
            <w:tcW w:w="400" w:type="dxa"/>
            <w:vAlign w:val="bottom"/>
            <w:shd w:val="clear" w:color="auto" w:fill="EBFBFF"/>
          </w:tcPr>
          <w:p>
            <w:pPr>
              <w:jc w:val="right"/>
              <w:ind w:right="66"/>
              <w:spacing w:after="0"/>
              <w:rPr>
                <w:sz w:val="20"/>
                <w:szCs w:val="20"/>
                <w:color w:val="auto"/>
              </w:rPr>
            </w:pPr>
            <w:r>
              <w:rPr>
                <w:rFonts w:ascii="Arial" w:cs="Arial" w:eastAsia="Arial" w:hAnsi="Arial"/>
                <w:sz w:val="11"/>
                <w:szCs w:val="11"/>
                <w:color w:val="51555C"/>
                <w:w w:val="96"/>
              </w:rPr>
              <w:t>(6)(8)</w:t>
            </w: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421,585</w:t>
            </w:r>
          </w:p>
        </w:tc>
        <w:tc>
          <w:tcPr>
            <w:tcW w:w="20" w:type="dxa"/>
            <w:vAlign w:val="bottom"/>
          </w:tcPr>
          <w:p>
            <w:pPr>
              <w:spacing w:after="0"/>
              <w:rPr>
                <w:sz w:val="22"/>
                <w:szCs w:val="22"/>
                <w:color w:val="auto"/>
              </w:rPr>
            </w:pPr>
          </w:p>
        </w:tc>
      </w:tr>
      <w:tr>
        <w:trPr>
          <w:trHeight w:val="257"/>
        </w:trPr>
        <w:tc>
          <w:tcPr>
            <w:tcW w:w="1580" w:type="dxa"/>
            <w:vAlign w:val="bottom"/>
            <w:shd w:val="clear" w:color="auto" w:fill="EBFBFF"/>
          </w:tcPr>
          <w:p>
            <w:pPr>
              <w:spacing w:after="0"/>
              <w:rPr>
                <w:sz w:val="22"/>
                <w:szCs w:val="22"/>
                <w:color w:val="auto"/>
              </w:rPr>
            </w:pPr>
          </w:p>
        </w:tc>
        <w:tc>
          <w:tcPr>
            <w:tcW w:w="920" w:type="dxa"/>
            <w:vAlign w:val="bottom"/>
            <w:tcBorders>
              <w:right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2/13/2023</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7,353</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(3)</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465,592</w:t>
            </w:r>
          </w:p>
        </w:tc>
        <w:tc>
          <w:tcPr>
            <w:tcW w:w="2480" w:type="dxa"/>
            <w:vAlign w:val="bottom"/>
            <w:shd w:val="clear" w:color="auto" w:fill="EBFBFF"/>
          </w:tcPr>
          <w:p>
            <w:pPr>
              <w:jc w:val="right"/>
              <w:ind w:right="1"/>
              <w:spacing w:after="0"/>
              <w:rPr>
                <w:sz w:val="20"/>
                <w:szCs w:val="20"/>
                <w:color w:val="auto"/>
              </w:rPr>
            </w:pPr>
            <w:r>
              <w:rPr>
                <w:rFonts w:ascii="Arial" w:cs="Arial" w:eastAsia="Arial" w:hAnsi="Arial"/>
                <w:sz w:val="16"/>
                <w:szCs w:val="16"/>
                <w:color w:val="51555C"/>
              </w:rPr>
              <w:t>—</w:t>
            </w:r>
          </w:p>
        </w:tc>
        <w:tc>
          <w:tcPr>
            <w:tcW w:w="400" w:type="dxa"/>
            <w:vAlign w:val="bottom"/>
            <w:shd w:val="clear" w:color="auto" w:fill="EBFBFF"/>
          </w:tcPr>
          <w:p>
            <w:pPr>
              <w:spacing w:after="0"/>
              <w:rPr>
                <w:sz w:val="22"/>
                <w:szCs w:val="22"/>
                <w:color w:val="auto"/>
              </w:rPr>
            </w:pP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6"/>
        </w:trPr>
        <w:tc>
          <w:tcPr>
            <w:tcW w:w="1580" w:type="dxa"/>
            <w:vAlign w:val="bottom"/>
            <w:shd w:val="clear" w:color="auto" w:fill="EBFBFF"/>
          </w:tcPr>
          <w:p>
            <w:pPr>
              <w:spacing w:after="0"/>
              <w:rPr>
                <w:sz w:val="22"/>
                <w:szCs w:val="22"/>
                <w:color w:val="auto"/>
              </w:rPr>
            </w:pPr>
          </w:p>
        </w:tc>
        <w:tc>
          <w:tcPr>
            <w:tcW w:w="920" w:type="dxa"/>
            <w:vAlign w:val="bottom"/>
            <w:tcBorders>
              <w:right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2/13/2023</w:t>
            </w:r>
          </w:p>
        </w:tc>
        <w:tc>
          <w:tcPr>
            <w:tcW w:w="1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3,608</w:t>
            </w:r>
          </w:p>
        </w:tc>
        <w:tc>
          <w:tcPr>
            <w:tcW w:w="340" w:type="dxa"/>
            <w:vAlign w:val="bottom"/>
            <w:shd w:val="clear" w:color="auto" w:fill="EBFBFF"/>
          </w:tcPr>
          <w:p>
            <w:pPr>
              <w:jc w:val="right"/>
              <w:ind w:right="146"/>
              <w:spacing w:after="0"/>
              <w:rPr>
                <w:sz w:val="20"/>
                <w:szCs w:val="20"/>
                <w:color w:val="auto"/>
              </w:rPr>
            </w:pPr>
            <w:r>
              <w:rPr>
                <w:rFonts w:ascii="Arial" w:cs="Arial" w:eastAsia="Arial" w:hAnsi="Arial"/>
                <w:sz w:val="11"/>
                <w:szCs w:val="11"/>
                <w:color w:val="51555C"/>
                <w:w w:val="88"/>
              </w:rPr>
              <w:t>(4)</w:t>
            </w:r>
          </w:p>
        </w:tc>
        <w:tc>
          <w:tcPr>
            <w:tcW w:w="15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228,459</w:t>
            </w:r>
          </w:p>
        </w:tc>
        <w:tc>
          <w:tcPr>
            <w:tcW w:w="2480" w:type="dxa"/>
            <w:vAlign w:val="bottom"/>
            <w:shd w:val="clear" w:color="auto" w:fill="EBFBFF"/>
          </w:tcPr>
          <w:p>
            <w:pPr>
              <w:jc w:val="right"/>
              <w:ind w:right="1"/>
              <w:spacing w:after="0"/>
              <w:rPr>
                <w:sz w:val="20"/>
                <w:szCs w:val="20"/>
                <w:color w:val="auto"/>
              </w:rPr>
            </w:pPr>
            <w:r>
              <w:rPr>
                <w:rFonts w:ascii="Arial" w:cs="Arial" w:eastAsia="Arial" w:hAnsi="Arial"/>
                <w:sz w:val="16"/>
                <w:szCs w:val="16"/>
                <w:color w:val="51555C"/>
              </w:rPr>
              <w:t>—</w:t>
            </w:r>
          </w:p>
        </w:tc>
        <w:tc>
          <w:tcPr>
            <w:tcW w:w="400" w:type="dxa"/>
            <w:vAlign w:val="bottom"/>
            <w:shd w:val="clear" w:color="auto" w:fill="EBFBFF"/>
          </w:tcPr>
          <w:p>
            <w:pPr>
              <w:spacing w:after="0"/>
              <w:rPr>
                <w:sz w:val="22"/>
                <w:szCs w:val="22"/>
                <w:color w:val="auto"/>
              </w:rPr>
            </w:pPr>
          </w:p>
        </w:tc>
        <w:tc>
          <w:tcPr>
            <w:tcW w:w="25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65"/>
        </w:trPr>
        <w:tc>
          <w:tcPr>
            <w:tcW w:w="1580" w:type="dxa"/>
            <w:vAlign w:val="bottom"/>
            <w:tcBorders>
              <w:bottom w:val="single" w:sz="8" w:color="EBFBFF"/>
            </w:tcBorders>
            <w:shd w:val="clear" w:color="auto" w:fill="EBFBFF"/>
          </w:tcPr>
          <w:p>
            <w:pPr>
              <w:spacing w:after="0"/>
              <w:rPr>
                <w:sz w:val="23"/>
                <w:szCs w:val="23"/>
                <w:color w:val="auto"/>
              </w:rPr>
            </w:pPr>
          </w:p>
        </w:tc>
        <w:tc>
          <w:tcPr>
            <w:tcW w:w="920" w:type="dxa"/>
            <w:vAlign w:val="bottom"/>
            <w:tcBorders>
              <w:bottom w:val="single" w:sz="8" w:color="EBFBFF"/>
              <w:right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2/13/2023</w:t>
            </w:r>
          </w:p>
        </w:tc>
        <w:tc>
          <w:tcPr>
            <w:tcW w:w="15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5,276</w:t>
            </w:r>
          </w:p>
        </w:tc>
        <w:tc>
          <w:tcPr>
            <w:tcW w:w="340" w:type="dxa"/>
            <w:vAlign w:val="bottom"/>
            <w:tcBorders>
              <w:bottom w:val="single" w:sz="8" w:color="EBFBFF"/>
            </w:tcBorders>
            <w:shd w:val="clear" w:color="auto" w:fill="EBFBFF"/>
          </w:tcPr>
          <w:p>
            <w:pPr>
              <w:jc w:val="right"/>
              <w:ind w:right="146"/>
              <w:spacing w:after="0"/>
              <w:rPr>
                <w:sz w:val="20"/>
                <w:szCs w:val="20"/>
                <w:color w:val="auto"/>
              </w:rPr>
            </w:pPr>
            <w:r>
              <w:rPr>
                <w:rFonts w:ascii="Arial" w:cs="Arial" w:eastAsia="Arial" w:hAnsi="Arial"/>
                <w:sz w:val="11"/>
                <w:szCs w:val="11"/>
                <w:color w:val="51555C"/>
                <w:w w:val="88"/>
              </w:rPr>
              <w:t>(5)</w:t>
            </w:r>
          </w:p>
        </w:tc>
        <w:tc>
          <w:tcPr>
            <w:tcW w:w="15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334,076</w:t>
            </w:r>
          </w:p>
        </w:tc>
        <w:tc>
          <w:tcPr>
            <w:tcW w:w="2480" w:type="dxa"/>
            <w:vAlign w:val="bottom"/>
            <w:tcBorders>
              <w:bottom w:val="single" w:sz="8" w:color="EBFBFF"/>
            </w:tcBorders>
            <w:shd w:val="clear" w:color="auto" w:fill="EBFBFF"/>
          </w:tcPr>
          <w:p>
            <w:pPr>
              <w:jc w:val="right"/>
              <w:ind w:right="1"/>
              <w:spacing w:after="0"/>
              <w:rPr>
                <w:sz w:val="20"/>
                <w:szCs w:val="20"/>
                <w:color w:val="auto"/>
              </w:rPr>
            </w:pPr>
            <w:r>
              <w:rPr>
                <w:rFonts w:ascii="Arial" w:cs="Arial" w:eastAsia="Arial" w:hAnsi="Arial"/>
                <w:sz w:val="16"/>
                <w:szCs w:val="16"/>
                <w:color w:val="51555C"/>
              </w:rPr>
              <w:t>—</w:t>
            </w:r>
          </w:p>
        </w:tc>
        <w:tc>
          <w:tcPr>
            <w:tcW w:w="400" w:type="dxa"/>
            <w:vAlign w:val="bottom"/>
            <w:tcBorders>
              <w:bottom w:val="single" w:sz="8" w:color="EBFBFF"/>
            </w:tcBorders>
            <w:shd w:val="clear" w:color="auto" w:fill="EBFBFF"/>
          </w:tcPr>
          <w:p>
            <w:pPr>
              <w:spacing w:after="0"/>
              <w:rPr>
                <w:sz w:val="23"/>
                <w:szCs w:val="23"/>
                <w:color w:val="auto"/>
              </w:rPr>
            </w:pPr>
          </w:p>
        </w:tc>
        <w:tc>
          <w:tcPr>
            <w:tcW w:w="25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3"/>
                <w:szCs w:val="23"/>
                <w:color w:val="auto"/>
              </w:rPr>
            </w:pPr>
          </w:p>
        </w:tc>
      </w:tr>
      <w:tr>
        <w:trPr>
          <w:trHeight w:val="202"/>
        </w:trPr>
        <w:tc>
          <w:tcPr>
            <w:tcW w:w="1580" w:type="dxa"/>
            <w:vAlign w:val="bottom"/>
          </w:tcPr>
          <w:p>
            <w:pPr>
              <w:ind w:left="20"/>
              <w:spacing w:after="0"/>
              <w:rPr>
                <w:sz w:val="20"/>
                <w:szCs w:val="20"/>
                <w:color w:val="auto"/>
              </w:rPr>
            </w:pPr>
            <w:r>
              <w:rPr>
                <w:rFonts w:ascii="Arial" w:cs="Arial" w:eastAsia="Arial" w:hAnsi="Arial"/>
                <w:sz w:val="16"/>
                <w:szCs w:val="16"/>
                <w:b w:val="1"/>
                <w:bCs w:val="1"/>
                <w:color w:val="51555C"/>
              </w:rPr>
              <w:t>Kevin R.</w:t>
            </w:r>
          </w:p>
        </w:tc>
        <w:tc>
          <w:tcPr>
            <w:tcW w:w="920" w:type="dxa"/>
            <w:vAlign w:val="bottom"/>
          </w:tcPr>
          <w:p>
            <w:pPr>
              <w:jc w:val="right"/>
              <w:ind w:right="88"/>
              <w:spacing w:after="0"/>
              <w:rPr>
                <w:sz w:val="20"/>
                <w:szCs w:val="20"/>
                <w:color w:val="auto"/>
              </w:rPr>
            </w:pPr>
            <w:r>
              <w:rPr>
                <w:rFonts w:ascii="Arial" w:cs="Arial" w:eastAsia="Arial" w:hAnsi="Arial"/>
                <w:sz w:val="14"/>
                <w:szCs w:val="14"/>
                <w:color w:val="51555C"/>
              </w:rPr>
              <w:t>2/18/2025</w:t>
            </w:r>
          </w:p>
        </w:tc>
        <w:tc>
          <w:tcPr>
            <w:tcW w:w="1500" w:type="dxa"/>
            <w:vAlign w:val="bottom"/>
          </w:tcPr>
          <w:p>
            <w:pPr>
              <w:jc w:val="right"/>
              <w:spacing w:after="0"/>
              <w:rPr>
                <w:sz w:val="20"/>
                <w:szCs w:val="20"/>
                <w:color w:val="auto"/>
              </w:rPr>
            </w:pPr>
            <w:r>
              <w:rPr>
                <w:rFonts w:ascii="Arial" w:cs="Arial" w:eastAsia="Arial" w:hAnsi="Arial"/>
                <w:sz w:val="16"/>
                <w:szCs w:val="16"/>
                <w:color w:val="51555C"/>
              </w:rPr>
              <w:t>4,759</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(2)</w:t>
            </w:r>
          </w:p>
        </w:tc>
        <w:tc>
          <w:tcPr>
            <w:tcW w:w="1520" w:type="dxa"/>
            <w:vAlign w:val="bottom"/>
          </w:tcPr>
          <w:p>
            <w:pPr>
              <w:jc w:val="right"/>
              <w:spacing w:after="0"/>
              <w:rPr>
                <w:sz w:val="20"/>
                <w:szCs w:val="20"/>
                <w:color w:val="auto"/>
              </w:rPr>
            </w:pPr>
            <w:r>
              <w:rPr>
                <w:rFonts w:ascii="Arial" w:cs="Arial" w:eastAsia="Arial" w:hAnsi="Arial"/>
                <w:sz w:val="16"/>
                <w:szCs w:val="16"/>
                <w:color w:val="51555C"/>
              </w:rPr>
              <w:t>301,340</w:t>
            </w:r>
          </w:p>
        </w:tc>
        <w:tc>
          <w:tcPr>
            <w:tcW w:w="2480" w:type="dxa"/>
            <w:vAlign w:val="bottom"/>
          </w:tcPr>
          <w:p>
            <w:pPr>
              <w:jc w:val="right"/>
              <w:ind w:right="1"/>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17"/>
                <w:szCs w:val="17"/>
                <w:color w:val="auto"/>
              </w:rPr>
            </w:pPr>
          </w:p>
        </w:tc>
      </w:tr>
      <w:tr>
        <w:trPr>
          <w:trHeight w:val="282"/>
        </w:trPr>
        <w:tc>
          <w:tcPr>
            <w:tcW w:w="1580" w:type="dxa"/>
            <w:vAlign w:val="bottom"/>
          </w:tcPr>
          <w:p>
            <w:pPr>
              <w:ind w:left="20"/>
              <w:spacing w:after="0"/>
              <w:rPr>
                <w:sz w:val="20"/>
                <w:szCs w:val="20"/>
                <w:color w:val="auto"/>
              </w:rPr>
            </w:pPr>
            <w:r>
              <w:rPr>
                <w:rFonts w:ascii="Arial" w:cs="Arial" w:eastAsia="Arial" w:hAnsi="Arial"/>
                <w:sz w:val="16"/>
                <w:szCs w:val="16"/>
                <w:b w:val="1"/>
                <w:bCs w:val="1"/>
                <w:color w:val="51555C"/>
              </w:rPr>
              <w:t>McDearis</w:t>
            </w:r>
          </w:p>
        </w:tc>
        <w:tc>
          <w:tcPr>
            <w:tcW w:w="920" w:type="dxa"/>
            <w:vAlign w:val="bottom"/>
          </w:tcPr>
          <w:p>
            <w:pPr>
              <w:jc w:val="right"/>
              <w:ind w:right="88"/>
              <w:spacing w:after="0"/>
              <w:rPr>
                <w:sz w:val="20"/>
                <w:szCs w:val="20"/>
                <w:color w:val="auto"/>
              </w:rPr>
            </w:pPr>
            <w:r>
              <w:rPr>
                <w:rFonts w:ascii="Arial" w:cs="Arial" w:eastAsia="Arial" w:hAnsi="Arial"/>
                <w:sz w:val="14"/>
                <w:szCs w:val="14"/>
                <w:color w:val="51555C"/>
              </w:rPr>
              <w:t>2/19/2025</w:t>
            </w:r>
          </w:p>
        </w:tc>
        <w:tc>
          <w:tcPr>
            <w:tcW w:w="1500" w:type="dxa"/>
            <w:vAlign w:val="bottom"/>
          </w:tcPr>
          <w:p>
            <w:pPr>
              <w:jc w:val="right"/>
              <w:spacing w:after="0"/>
              <w:rPr>
                <w:sz w:val="20"/>
                <w:szCs w:val="20"/>
                <w:color w:val="auto"/>
              </w:rPr>
            </w:pPr>
            <w:r>
              <w:rPr>
                <w:rFonts w:ascii="Arial" w:cs="Arial" w:eastAsia="Arial" w:hAnsi="Arial"/>
                <w:sz w:val="16"/>
                <w:szCs w:val="16"/>
                <w:color w:val="51555C"/>
              </w:rPr>
              <w:t>15,640</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(3)</w:t>
            </w:r>
          </w:p>
        </w:tc>
        <w:tc>
          <w:tcPr>
            <w:tcW w:w="1520" w:type="dxa"/>
            <w:vAlign w:val="bottom"/>
          </w:tcPr>
          <w:p>
            <w:pPr>
              <w:jc w:val="right"/>
              <w:spacing w:after="0"/>
              <w:rPr>
                <w:sz w:val="20"/>
                <w:szCs w:val="20"/>
                <w:color w:val="auto"/>
              </w:rPr>
            </w:pPr>
            <w:r>
              <w:rPr>
                <w:rFonts w:ascii="Arial" w:cs="Arial" w:eastAsia="Arial" w:hAnsi="Arial"/>
                <w:sz w:val="16"/>
                <w:szCs w:val="16"/>
                <w:color w:val="51555C"/>
              </w:rPr>
              <w:t>990,325</w:t>
            </w:r>
          </w:p>
        </w:tc>
        <w:tc>
          <w:tcPr>
            <w:tcW w:w="2480" w:type="dxa"/>
            <w:vAlign w:val="bottom"/>
          </w:tcPr>
          <w:p>
            <w:pPr>
              <w:jc w:val="right"/>
              <w:ind w:right="1"/>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4"/>
                <w:szCs w:val="24"/>
                <w:color w:val="auto"/>
              </w:rPr>
            </w:pPr>
          </w:p>
        </w:tc>
      </w:tr>
      <w:tr>
        <w:trPr>
          <w:trHeight w:val="256"/>
        </w:trPr>
        <w:tc>
          <w:tcPr>
            <w:tcW w:w="1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51555C"/>
              </w:rPr>
              <w:t>2/19/2025</w:t>
            </w:r>
          </w:p>
        </w:tc>
        <w:tc>
          <w:tcPr>
            <w:tcW w:w="1500" w:type="dxa"/>
            <w:vAlign w:val="bottom"/>
          </w:tcPr>
          <w:p>
            <w:pPr>
              <w:jc w:val="right"/>
              <w:spacing w:after="0"/>
              <w:rPr>
                <w:sz w:val="20"/>
                <w:szCs w:val="20"/>
                <w:color w:val="auto"/>
              </w:rPr>
            </w:pPr>
            <w:r>
              <w:rPr>
                <w:rFonts w:ascii="Arial" w:cs="Arial" w:eastAsia="Arial" w:hAnsi="Arial"/>
                <w:sz w:val="16"/>
                <w:szCs w:val="16"/>
                <w:color w:val="51555C"/>
              </w:rPr>
              <w:t>7,823</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(4)</w:t>
            </w:r>
          </w:p>
        </w:tc>
        <w:tc>
          <w:tcPr>
            <w:tcW w:w="1520" w:type="dxa"/>
            <w:vAlign w:val="bottom"/>
          </w:tcPr>
          <w:p>
            <w:pPr>
              <w:jc w:val="right"/>
              <w:spacing w:after="0"/>
              <w:rPr>
                <w:sz w:val="20"/>
                <w:szCs w:val="20"/>
                <w:color w:val="auto"/>
              </w:rPr>
            </w:pPr>
            <w:r>
              <w:rPr>
                <w:rFonts w:ascii="Arial" w:cs="Arial" w:eastAsia="Arial" w:hAnsi="Arial"/>
                <w:sz w:val="16"/>
                <w:szCs w:val="16"/>
                <w:color w:val="51555C"/>
              </w:rPr>
              <w:t>495,352</w:t>
            </w:r>
          </w:p>
        </w:tc>
        <w:tc>
          <w:tcPr>
            <w:tcW w:w="2480" w:type="dxa"/>
            <w:vAlign w:val="bottom"/>
          </w:tcPr>
          <w:p>
            <w:pPr>
              <w:jc w:val="right"/>
              <w:ind w:right="1"/>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7"/>
        </w:trPr>
        <w:tc>
          <w:tcPr>
            <w:tcW w:w="1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51555C"/>
              </w:rPr>
              <w:t>2/19/2025</w:t>
            </w:r>
          </w:p>
        </w:tc>
        <w:tc>
          <w:tcPr>
            <w:tcW w:w="1500" w:type="dxa"/>
            <w:vAlign w:val="bottom"/>
          </w:tcPr>
          <w:p>
            <w:pPr>
              <w:jc w:val="right"/>
              <w:spacing w:after="0"/>
              <w:rPr>
                <w:sz w:val="20"/>
                <w:szCs w:val="20"/>
                <w:color w:val="auto"/>
              </w:rPr>
            </w:pPr>
            <w:r>
              <w:rPr>
                <w:rFonts w:ascii="Arial" w:cs="Arial" w:eastAsia="Arial" w:hAnsi="Arial"/>
                <w:sz w:val="16"/>
                <w:szCs w:val="16"/>
                <w:color w:val="51555C"/>
              </w:rPr>
              <w:t>2,732</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(5)</w:t>
            </w:r>
          </w:p>
        </w:tc>
        <w:tc>
          <w:tcPr>
            <w:tcW w:w="1520" w:type="dxa"/>
            <w:vAlign w:val="bottom"/>
          </w:tcPr>
          <w:p>
            <w:pPr>
              <w:jc w:val="right"/>
              <w:spacing w:after="0"/>
              <w:rPr>
                <w:sz w:val="20"/>
                <w:szCs w:val="20"/>
                <w:color w:val="auto"/>
              </w:rPr>
            </w:pPr>
            <w:r>
              <w:rPr>
                <w:rFonts w:ascii="Arial" w:cs="Arial" w:eastAsia="Arial" w:hAnsi="Arial"/>
                <w:sz w:val="16"/>
                <w:szCs w:val="16"/>
                <w:color w:val="51555C"/>
              </w:rPr>
              <w:t>172,990</w:t>
            </w:r>
          </w:p>
        </w:tc>
        <w:tc>
          <w:tcPr>
            <w:tcW w:w="2480" w:type="dxa"/>
            <w:vAlign w:val="bottom"/>
          </w:tcPr>
          <w:p>
            <w:pPr>
              <w:jc w:val="right"/>
              <w:ind w:right="1"/>
              <w:spacing w:after="0"/>
              <w:rPr>
                <w:sz w:val="20"/>
                <w:szCs w:val="20"/>
                <w:color w:val="auto"/>
              </w:rPr>
            </w:pPr>
            <w:r>
              <w:rPr>
                <w:rFonts w:ascii="Arial" w:cs="Arial" w:eastAsia="Arial" w:hAnsi="Arial"/>
                <w:sz w:val="16"/>
                <w:szCs w:val="16"/>
                <w:color w:val="51555C"/>
              </w:rPr>
              <w:t>10,426</w:t>
            </w:r>
          </w:p>
        </w:tc>
        <w:tc>
          <w:tcPr>
            <w:tcW w:w="400" w:type="dxa"/>
            <w:vAlign w:val="bottom"/>
          </w:tcPr>
          <w:p>
            <w:pPr>
              <w:jc w:val="right"/>
              <w:ind w:right="66"/>
              <w:spacing w:after="0"/>
              <w:rPr>
                <w:sz w:val="20"/>
                <w:szCs w:val="20"/>
                <w:color w:val="auto"/>
              </w:rPr>
            </w:pPr>
            <w:r>
              <w:rPr>
                <w:rFonts w:ascii="Arial" w:cs="Arial" w:eastAsia="Arial" w:hAnsi="Arial"/>
                <w:sz w:val="11"/>
                <w:szCs w:val="11"/>
                <w:color w:val="51555C"/>
                <w:w w:val="96"/>
              </w:rPr>
              <w:t>(6)(7)</w:t>
            </w:r>
          </w:p>
        </w:tc>
        <w:tc>
          <w:tcPr>
            <w:tcW w:w="2500" w:type="dxa"/>
            <w:vAlign w:val="bottom"/>
          </w:tcPr>
          <w:p>
            <w:pPr>
              <w:jc w:val="right"/>
              <w:spacing w:after="0"/>
              <w:rPr>
                <w:sz w:val="20"/>
                <w:szCs w:val="20"/>
                <w:color w:val="auto"/>
              </w:rPr>
            </w:pPr>
            <w:r>
              <w:rPr>
                <w:rFonts w:ascii="Arial" w:cs="Arial" w:eastAsia="Arial" w:hAnsi="Arial"/>
                <w:sz w:val="16"/>
                <w:szCs w:val="16"/>
                <w:color w:val="51555C"/>
              </w:rPr>
              <w:t>660,174</w:t>
            </w:r>
          </w:p>
        </w:tc>
        <w:tc>
          <w:tcPr>
            <w:tcW w:w="20" w:type="dxa"/>
            <w:vAlign w:val="bottom"/>
          </w:tcPr>
          <w:p>
            <w:pPr>
              <w:spacing w:after="0"/>
              <w:rPr>
                <w:sz w:val="22"/>
                <w:szCs w:val="22"/>
                <w:color w:val="auto"/>
              </w:rPr>
            </w:pPr>
          </w:p>
        </w:tc>
      </w:tr>
      <w:tr>
        <w:trPr>
          <w:trHeight w:val="257"/>
        </w:trPr>
        <w:tc>
          <w:tcPr>
            <w:tcW w:w="1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51555C"/>
              </w:rPr>
              <w:t>2/21/2024</w:t>
            </w:r>
          </w:p>
        </w:tc>
        <w:tc>
          <w:tcPr>
            <w:tcW w:w="1500" w:type="dxa"/>
            <w:vAlign w:val="bottom"/>
          </w:tcPr>
          <w:p>
            <w:pPr>
              <w:jc w:val="right"/>
              <w:spacing w:after="0"/>
              <w:rPr>
                <w:sz w:val="20"/>
                <w:szCs w:val="20"/>
                <w:color w:val="auto"/>
              </w:rPr>
            </w:pPr>
            <w:r>
              <w:rPr>
                <w:rFonts w:ascii="Arial" w:cs="Arial" w:eastAsia="Arial" w:hAnsi="Arial"/>
                <w:sz w:val="16"/>
                <w:szCs w:val="16"/>
                <w:color w:val="51555C"/>
              </w:rPr>
              <w:t>9,832</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(3)</w:t>
            </w:r>
          </w:p>
        </w:tc>
        <w:tc>
          <w:tcPr>
            <w:tcW w:w="1520" w:type="dxa"/>
            <w:vAlign w:val="bottom"/>
          </w:tcPr>
          <w:p>
            <w:pPr>
              <w:jc w:val="right"/>
              <w:spacing w:after="0"/>
              <w:rPr>
                <w:sz w:val="20"/>
                <w:szCs w:val="20"/>
                <w:color w:val="auto"/>
              </w:rPr>
            </w:pPr>
            <w:r>
              <w:rPr>
                <w:rFonts w:ascii="Arial" w:cs="Arial" w:eastAsia="Arial" w:hAnsi="Arial"/>
                <w:sz w:val="16"/>
                <w:szCs w:val="16"/>
                <w:color w:val="51555C"/>
              </w:rPr>
              <w:t>622,562</w:t>
            </w:r>
          </w:p>
        </w:tc>
        <w:tc>
          <w:tcPr>
            <w:tcW w:w="2480" w:type="dxa"/>
            <w:vAlign w:val="bottom"/>
          </w:tcPr>
          <w:p>
            <w:pPr>
              <w:jc w:val="right"/>
              <w:ind w:right="1"/>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6"/>
        </w:trPr>
        <w:tc>
          <w:tcPr>
            <w:tcW w:w="1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51555C"/>
              </w:rPr>
              <w:t>2/21/2024</w:t>
            </w:r>
          </w:p>
        </w:tc>
        <w:tc>
          <w:tcPr>
            <w:tcW w:w="1500" w:type="dxa"/>
            <w:vAlign w:val="bottom"/>
          </w:tcPr>
          <w:p>
            <w:pPr>
              <w:jc w:val="right"/>
              <w:spacing w:after="0"/>
              <w:rPr>
                <w:sz w:val="20"/>
                <w:szCs w:val="20"/>
                <w:color w:val="auto"/>
              </w:rPr>
            </w:pPr>
            <w:r>
              <w:rPr>
                <w:rFonts w:ascii="Arial" w:cs="Arial" w:eastAsia="Arial" w:hAnsi="Arial"/>
                <w:sz w:val="16"/>
                <w:szCs w:val="16"/>
                <w:color w:val="51555C"/>
              </w:rPr>
              <w:t>4,490</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(4)</w:t>
            </w:r>
          </w:p>
        </w:tc>
        <w:tc>
          <w:tcPr>
            <w:tcW w:w="1520" w:type="dxa"/>
            <w:vAlign w:val="bottom"/>
          </w:tcPr>
          <w:p>
            <w:pPr>
              <w:jc w:val="right"/>
              <w:spacing w:after="0"/>
              <w:rPr>
                <w:sz w:val="20"/>
                <w:szCs w:val="20"/>
                <w:color w:val="auto"/>
              </w:rPr>
            </w:pPr>
            <w:r>
              <w:rPr>
                <w:rFonts w:ascii="Arial" w:cs="Arial" w:eastAsia="Arial" w:hAnsi="Arial"/>
                <w:sz w:val="16"/>
                <w:szCs w:val="16"/>
                <w:color w:val="51555C"/>
              </w:rPr>
              <w:t>284,307</w:t>
            </w:r>
          </w:p>
        </w:tc>
        <w:tc>
          <w:tcPr>
            <w:tcW w:w="2480" w:type="dxa"/>
            <w:vAlign w:val="bottom"/>
          </w:tcPr>
          <w:p>
            <w:pPr>
              <w:jc w:val="right"/>
              <w:ind w:right="1"/>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7"/>
        </w:trPr>
        <w:tc>
          <w:tcPr>
            <w:tcW w:w="1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51555C"/>
              </w:rPr>
              <w:t>2/21/2024</w:t>
            </w:r>
          </w:p>
        </w:tc>
        <w:tc>
          <w:tcPr>
            <w:tcW w:w="1500" w:type="dxa"/>
            <w:vAlign w:val="bottom"/>
          </w:tcPr>
          <w:p>
            <w:pPr>
              <w:jc w:val="right"/>
              <w:spacing w:after="0"/>
              <w:rPr>
                <w:sz w:val="20"/>
                <w:szCs w:val="20"/>
                <w:color w:val="auto"/>
              </w:rPr>
            </w:pPr>
            <w:r>
              <w:rPr>
                <w:rFonts w:ascii="Arial" w:cs="Arial" w:eastAsia="Arial" w:hAnsi="Arial"/>
                <w:sz w:val="16"/>
                <w:szCs w:val="16"/>
                <w:color w:val="51555C"/>
              </w:rPr>
              <w:t>2,554</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(5)</w:t>
            </w:r>
          </w:p>
        </w:tc>
        <w:tc>
          <w:tcPr>
            <w:tcW w:w="1520" w:type="dxa"/>
            <w:vAlign w:val="bottom"/>
          </w:tcPr>
          <w:p>
            <w:pPr>
              <w:jc w:val="right"/>
              <w:spacing w:after="0"/>
              <w:rPr>
                <w:sz w:val="20"/>
                <w:szCs w:val="20"/>
                <w:color w:val="auto"/>
              </w:rPr>
            </w:pPr>
            <w:r>
              <w:rPr>
                <w:rFonts w:ascii="Arial" w:cs="Arial" w:eastAsia="Arial" w:hAnsi="Arial"/>
                <w:sz w:val="16"/>
                <w:szCs w:val="16"/>
                <w:color w:val="51555C"/>
              </w:rPr>
              <w:t>161,719</w:t>
            </w:r>
          </w:p>
        </w:tc>
        <w:tc>
          <w:tcPr>
            <w:tcW w:w="2480" w:type="dxa"/>
            <w:vAlign w:val="bottom"/>
          </w:tcPr>
          <w:p>
            <w:pPr>
              <w:jc w:val="right"/>
              <w:ind w:right="1"/>
              <w:spacing w:after="0"/>
              <w:rPr>
                <w:sz w:val="20"/>
                <w:szCs w:val="20"/>
                <w:color w:val="auto"/>
              </w:rPr>
            </w:pPr>
            <w:r>
              <w:rPr>
                <w:rFonts w:ascii="Arial" w:cs="Arial" w:eastAsia="Arial" w:hAnsi="Arial"/>
                <w:sz w:val="16"/>
                <w:szCs w:val="16"/>
                <w:color w:val="51555C"/>
              </w:rPr>
              <w:t>4,916</w:t>
            </w:r>
          </w:p>
        </w:tc>
        <w:tc>
          <w:tcPr>
            <w:tcW w:w="400" w:type="dxa"/>
            <w:vAlign w:val="bottom"/>
          </w:tcPr>
          <w:p>
            <w:pPr>
              <w:jc w:val="right"/>
              <w:ind w:right="66"/>
              <w:spacing w:after="0"/>
              <w:rPr>
                <w:sz w:val="20"/>
                <w:szCs w:val="20"/>
                <w:color w:val="auto"/>
              </w:rPr>
            </w:pPr>
            <w:r>
              <w:rPr>
                <w:rFonts w:ascii="Arial" w:cs="Arial" w:eastAsia="Arial" w:hAnsi="Arial"/>
                <w:sz w:val="11"/>
                <w:szCs w:val="11"/>
                <w:color w:val="51555C"/>
                <w:w w:val="96"/>
              </w:rPr>
              <w:t>(6)(8)</w:t>
            </w:r>
          </w:p>
        </w:tc>
        <w:tc>
          <w:tcPr>
            <w:tcW w:w="2500" w:type="dxa"/>
            <w:vAlign w:val="bottom"/>
          </w:tcPr>
          <w:p>
            <w:pPr>
              <w:jc w:val="right"/>
              <w:spacing w:after="0"/>
              <w:rPr>
                <w:sz w:val="20"/>
                <w:szCs w:val="20"/>
                <w:color w:val="auto"/>
              </w:rPr>
            </w:pPr>
            <w:r>
              <w:rPr>
                <w:rFonts w:ascii="Arial" w:cs="Arial" w:eastAsia="Arial" w:hAnsi="Arial"/>
                <w:sz w:val="16"/>
                <w:szCs w:val="16"/>
                <w:color w:val="51555C"/>
              </w:rPr>
              <w:t>311,281</w:t>
            </w:r>
          </w:p>
        </w:tc>
        <w:tc>
          <w:tcPr>
            <w:tcW w:w="20" w:type="dxa"/>
            <w:vAlign w:val="bottom"/>
          </w:tcPr>
          <w:p>
            <w:pPr>
              <w:spacing w:after="0"/>
              <w:rPr>
                <w:sz w:val="22"/>
                <w:szCs w:val="22"/>
                <w:color w:val="auto"/>
              </w:rPr>
            </w:pPr>
          </w:p>
        </w:tc>
      </w:tr>
      <w:tr>
        <w:trPr>
          <w:trHeight w:val="256"/>
        </w:trPr>
        <w:tc>
          <w:tcPr>
            <w:tcW w:w="1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51555C"/>
              </w:rPr>
              <w:t>2/13/2023</w:t>
            </w:r>
          </w:p>
        </w:tc>
        <w:tc>
          <w:tcPr>
            <w:tcW w:w="1500" w:type="dxa"/>
            <w:vAlign w:val="bottom"/>
          </w:tcPr>
          <w:p>
            <w:pPr>
              <w:jc w:val="right"/>
              <w:spacing w:after="0"/>
              <w:rPr>
                <w:sz w:val="20"/>
                <w:szCs w:val="20"/>
                <w:color w:val="auto"/>
              </w:rPr>
            </w:pPr>
            <w:r>
              <w:rPr>
                <w:rFonts w:ascii="Arial" w:cs="Arial" w:eastAsia="Arial" w:hAnsi="Arial"/>
                <w:sz w:val="16"/>
                <w:szCs w:val="16"/>
                <w:color w:val="51555C"/>
              </w:rPr>
              <w:t>5,991</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(3)</w:t>
            </w:r>
          </w:p>
        </w:tc>
        <w:tc>
          <w:tcPr>
            <w:tcW w:w="1520" w:type="dxa"/>
            <w:vAlign w:val="bottom"/>
          </w:tcPr>
          <w:p>
            <w:pPr>
              <w:jc w:val="right"/>
              <w:spacing w:after="0"/>
              <w:rPr>
                <w:sz w:val="20"/>
                <w:szCs w:val="20"/>
                <w:color w:val="auto"/>
              </w:rPr>
            </w:pPr>
            <w:r>
              <w:rPr>
                <w:rFonts w:ascii="Arial" w:cs="Arial" w:eastAsia="Arial" w:hAnsi="Arial"/>
                <w:sz w:val="16"/>
                <w:szCs w:val="16"/>
                <w:color w:val="51555C"/>
              </w:rPr>
              <w:t>379,350</w:t>
            </w:r>
          </w:p>
        </w:tc>
        <w:tc>
          <w:tcPr>
            <w:tcW w:w="2480" w:type="dxa"/>
            <w:vAlign w:val="bottom"/>
          </w:tcPr>
          <w:p>
            <w:pPr>
              <w:jc w:val="right"/>
              <w:ind w:right="1"/>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7"/>
        </w:trPr>
        <w:tc>
          <w:tcPr>
            <w:tcW w:w="1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51555C"/>
              </w:rPr>
              <w:t>2/13/2023</w:t>
            </w:r>
          </w:p>
        </w:tc>
        <w:tc>
          <w:tcPr>
            <w:tcW w:w="1500" w:type="dxa"/>
            <w:vAlign w:val="bottom"/>
          </w:tcPr>
          <w:p>
            <w:pPr>
              <w:jc w:val="right"/>
              <w:spacing w:after="0"/>
              <w:rPr>
                <w:sz w:val="20"/>
                <w:szCs w:val="20"/>
                <w:color w:val="auto"/>
              </w:rPr>
            </w:pPr>
            <w:r>
              <w:rPr>
                <w:rFonts w:ascii="Arial" w:cs="Arial" w:eastAsia="Arial" w:hAnsi="Arial"/>
                <w:sz w:val="16"/>
                <w:szCs w:val="16"/>
                <w:color w:val="51555C"/>
              </w:rPr>
              <w:t>2,940</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(4)</w:t>
            </w:r>
          </w:p>
        </w:tc>
        <w:tc>
          <w:tcPr>
            <w:tcW w:w="1520" w:type="dxa"/>
            <w:vAlign w:val="bottom"/>
          </w:tcPr>
          <w:p>
            <w:pPr>
              <w:jc w:val="right"/>
              <w:spacing w:after="0"/>
              <w:rPr>
                <w:sz w:val="20"/>
                <w:szCs w:val="20"/>
                <w:color w:val="auto"/>
              </w:rPr>
            </w:pPr>
            <w:r>
              <w:rPr>
                <w:rFonts w:ascii="Arial" w:cs="Arial" w:eastAsia="Arial" w:hAnsi="Arial"/>
                <w:sz w:val="16"/>
                <w:szCs w:val="16"/>
                <w:color w:val="51555C"/>
              </w:rPr>
              <w:t>186,161</w:t>
            </w:r>
          </w:p>
        </w:tc>
        <w:tc>
          <w:tcPr>
            <w:tcW w:w="2480" w:type="dxa"/>
            <w:vAlign w:val="bottom"/>
          </w:tcPr>
          <w:p>
            <w:pPr>
              <w:jc w:val="right"/>
              <w:ind w:right="1"/>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56"/>
        </w:trPr>
        <w:tc>
          <w:tcPr>
            <w:tcW w:w="1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51555C"/>
              </w:rPr>
              <w:t>2/13/2023</w:t>
            </w:r>
          </w:p>
        </w:tc>
        <w:tc>
          <w:tcPr>
            <w:tcW w:w="1500" w:type="dxa"/>
            <w:vAlign w:val="bottom"/>
          </w:tcPr>
          <w:p>
            <w:pPr>
              <w:jc w:val="right"/>
              <w:spacing w:after="0"/>
              <w:rPr>
                <w:sz w:val="20"/>
                <w:szCs w:val="20"/>
                <w:color w:val="auto"/>
              </w:rPr>
            </w:pPr>
            <w:r>
              <w:rPr>
                <w:rFonts w:ascii="Arial" w:cs="Arial" w:eastAsia="Arial" w:hAnsi="Arial"/>
                <w:sz w:val="16"/>
                <w:szCs w:val="16"/>
                <w:color w:val="51555C"/>
              </w:rPr>
              <w:t>4,299</w:t>
            </w:r>
          </w:p>
        </w:tc>
        <w:tc>
          <w:tcPr>
            <w:tcW w:w="340" w:type="dxa"/>
            <w:vAlign w:val="bottom"/>
          </w:tcPr>
          <w:p>
            <w:pPr>
              <w:jc w:val="right"/>
              <w:ind w:right="146"/>
              <w:spacing w:after="0"/>
              <w:rPr>
                <w:sz w:val="20"/>
                <w:szCs w:val="20"/>
                <w:color w:val="auto"/>
              </w:rPr>
            </w:pPr>
            <w:r>
              <w:rPr>
                <w:rFonts w:ascii="Arial" w:cs="Arial" w:eastAsia="Arial" w:hAnsi="Arial"/>
                <w:sz w:val="11"/>
                <w:szCs w:val="11"/>
                <w:color w:val="51555C"/>
                <w:w w:val="88"/>
              </w:rPr>
              <w:t>(5)</w:t>
            </w:r>
          </w:p>
        </w:tc>
        <w:tc>
          <w:tcPr>
            <w:tcW w:w="1520" w:type="dxa"/>
            <w:vAlign w:val="bottom"/>
          </w:tcPr>
          <w:p>
            <w:pPr>
              <w:jc w:val="right"/>
              <w:spacing w:after="0"/>
              <w:rPr>
                <w:sz w:val="20"/>
                <w:szCs w:val="20"/>
                <w:color w:val="auto"/>
              </w:rPr>
            </w:pPr>
            <w:r>
              <w:rPr>
                <w:rFonts w:ascii="Arial" w:cs="Arial" w:eastAsia="Arial" w:hAnsi="Arial"/>
                <w:sz w:val="16"/>
                <w:szCs w:val="16"/>
                <w:color w:val="51555C"/>
              </w:rPr>
              <w:t>272,213</w:t>
            </w:r>
          </w:p>
        </w:tc>
        <w:tc>
          <w:tcPr>
            <w:tcW w:w="2480" w:type="dxa"/>
            <w:vAlign w:val="bottom"/>
          </w:tcPr>
          <w:p>
            <w:pPr>
              <w:jc w:val="right"/>
              <w:ind w:right="1"/>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2"/>
                <w:szCs w:val="22"/>
                <w:color w:val="auto"/>
              </w:rPr>
            </w:pPr>
          </w:p>
        </w:tc>
      </w:tr>
      <w:tr>
        <w:trPr>
          <w:trHeight w:val="29"/>
        </w:trPr>
        <w:tc>
          <w:tcPr>
            <w:tcW w:w="1580" w:type="dxa"/>
            <w:vAlign w:val="bottom"/>
            <w:tcBorders>
              <w:bottom w:val="single" w:sz="8" w:color="0CD973"/>
            </w:tcBorders>
          </w:tcPr>
          <w:p>
            <w:pPr>
              <w:spacing w:after="0"/>
              <w:rPr>
                <w:sz w:val="2"/>
                <w:szCs w:val="2"/>
                <w:color w:val="auto"/>
              </w:rPr>
            </w:pPr>
          </w:p>
        </w:tc>
        <w:tc>
          <w:tcPr>
            <w:tcW w:w="920" w:type="dxa"/>
            <w:vAlign w:val="bottom"/>
            <w:tcBorders>
              <w:bottom w:val="single" w:sz="8" w:color="0CD973"/>
            </w:tcBorders>
          </w:tcPr>
          <w:p>
            <w:pPr>
              <w:spacing w:after="0"/>
              <w:rPr>
                <w:sz w:val="2"/>
                <w:szCs w:val="2"/>
                <w:color w:val="auto"/>
              </w:rPr>
            </w:pPr>
          </w:p>
        </w:tc>
        <w:tc>
          <w:tcPr>
            <w:tcW w:w="1500" w:type="dxa"/>
            <w:vAlign w:val="bottom"/>
            <w:tcBorders>
              <w:bottom w:val="single" w:sz="8" w:color="0CD973"/>
            </w:tcBorders>
          </w:tcPr>
          <w:p>
            <w:pPr>
              <w:spacing w:after="0"/>
              <w:rPr>
                <w:sz w:val="2"/>
                <w:szCs w:val="2"/>
                <w:color w:val="auto"/>
              </w:rPr>
            </w:pPr>
          </w:p>
        </w:tc>
        <w:tc>
          <w:tcPr>
            <w:tcW w:w="340" w:type="dxa"/>
            <w:vAlign w:val="bottom"/>
            <w:tcBorders>
              <w:bottom w:val="single" w:sz="8" w:color="0CD973"/>
            </w:tcBorders>
          </w:tcPr>
          <w:p>
            <w:pPr>
              <w:spacing w:after="0"/>
              <w:rPr>
                <w:sz w:val="2"/>
                <w:szCs w:val="2"/>
                <w:color w:val="auto"/>
              </w:rPr>
            </w:pPr>
          </w:p>
        </w:tc>
        <w:tc>
          <w:tcPr>
            <w:tcW w:w="1520" w:type="dxa"/>
            <w:vAlign w:val="bottom"/>
            <w:tcBorders>
              <w:bottom w:val="single" w:sz="8" w:color="0CD973"/>
            </w:tcBorders>
          </w:tcPr>
          <w:p>
            <w:pPr>
              <w:spacing w:after="0"/>
              <w:rPr>
                <w:sz w:val="2"/>
                <w:szCs w:val="2"/>
                <w:color w:val="auto"/>
              </w:rPr>
            </w:pPr>
          </w:p>
        </w:tc>
        <w:tc>
          <w:tcPr>
            <w:tcW w:w="2480" w:type="dxa"/>
            <w:vAlign w:val="bottom"/>
            <w:tcBorders>
              <w:bottom w:val="single" w:sz="8" w:color="0CD973"/>
            </w:tcBorders>
          </w:tcPr>
          <w:p>
            <w:pPr>
              <w:spacing w:after="0"/>
              <w:rPr>
                <w:sz w:val="2"/>
                <w:szCs w:val="2"/>
                <w:color w:val="auto"/>
              </w:rPr>
            </w:pPr>
          </w:p>
        </w:tc>
        <w:tc>
          <w:tcPr>
            <w:tcW w:w="400" w:type="dxa"/>
            <w:vAlign w:val="bottom"/>
            <w:tcBorders>
              <w:bottom w:val="single" w:sz="8" w:color="0CD973"/>
            </w:tcBorders>
          </w:tcPr>
          <w:p>
            <w:pPr>
              <w:spacing w:after="0"/>
              <w:rPr>
                <w:sz w:val="2"/>
                <w:szCs w:val="2"/>
                <w:color w:val="auto"/>
              </w:rPr>
            </w:pPr>
          </w:p>
        </w:tc>
        <w:tc>
          <w:tcPr>
            <w:tcW w:w="250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-5485765</wp:posOffset>
            </wp:positionV>
            <wp:extent cx="55721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572125" cy="8890"/>
                    </a:xfrm>
                    <a:prstGeom prst="rect">
                      <a:avLst/>
                    </a:prstGeom>
                    <a:noFill/>
                  </pic:spPr>
                </pic:pic>
              </a:graphicData>
            </a:graphic>
          </wp:anchor>
        </w:drawing>
      </w:r>
    </w:p>
    <w:p>
      <w:pPr>
        <w:spacing w:after="0" w:line="65" w:lineRule="exact"/>
        <w:rPr>
          <w:sz w:val="20"/>
          <w:szCs w:val="20"/>
          <w:color w:val="auto"/>
        </w:rPr>
      </w:pPr>
    </w:p>
    <w:p>
      <w:pPr>
        <w:ind w:left="340" w:right="20" w:hanging="332"/>
        <w:spacing w:after="0" w:line="261" w:lineRule="auto"/>
        <w:tabs>
          <w:tab w:leader="none" w:pos="354" w:val="left"/>
        </w:tabs>
        <w:numPr>
          <w:ilvl w:val="0"/>
          <w:numId w:val="66"/>
        </w:numPr>
        <w:rPr>
          <w:rFonts w:ascii="Arial" w:cs="Arial" w:eastAsia="Arial" w:hAnsi="Arial"/>
          <w:sz w:val="14"/>
          <w:szCs w:val="14"/>
          <w:color w:val="51555C"/>
        </w:rPr>
      </w:pPr>
      <w:r>
        <w:rPr>
          <w:rFonts w:ascii="Arial" w:cs="Arial" w:eastAsia="Arial" w:hAnsi="Arial"/>
          <w:sz w:val="14"/>
          <w:szCs w:val="14"/>
          <w:color w:val="51555C"/>
        </w:rPr>
        <w:t>Based on $63.32 per share, which was the closing price of our common stock on the Nasdaq Global Select Market on December 31, 2025, the last trading day of that fiscal year.</w:t>
      </w:r>
    </w:p>
    <w:p>
      <w:pPr>
        <w:spacing w:after="0" w:line="1" w:lineRule="exact"/>
        <w:rPr>
          <w:rFonts w:ascii="Arial" w:cs="Arial" w:eastAsia="Arial" w:hAnsi="Arial"/>
          <w:sz w:val="14"/>
          <w:szCs w:val="14"/>
          <w:color w:val="51555C"/>
        </w:rPr>
      </w:pPr>
    </w:p>
    <w:p>
      <w:pPr>
        <w:ind w:left="340" w:hanging="332"/>
        <w:spacing w:after="0"/>
        <w:tabs>
          <w:tab w:leader="none" w:pos="340" w:val="left"/>
        </w:tabs>
        <w:numPr>
          <w:ilvl w:val="0"/>
          <w:numId w:val="66"/>
        </w:numPr>
        <w:rPr>
          <w:rFonts w:ascii="Arial" w:cs="Arial" w:eastAsia="Arial" w:hAnsi="Arial"/>
          <w:sz w:val="14"/>
          <w:szCs w:val="14"/>
          <w:color w:val="51555C"/>
        </w:rPr>
      </w:pPr>
      <w:r>
        <w:rPr>
          <w:rFonts w:ascii="Arial" w:cs="Arial" w:eastAsia="Arial" w:hAnsi="Arial"/>
          <w:sz w:val="14"/>
          <w:szCs w:val="14"/>
          <w:color w:val="51555C"/>
        </w:rPr>
        <w:t>These PRSUs were earned based on one-year performance and vested, or will vest, in full on the one year anniversary of the grant date.</w:t>
      </w:r>
    </w:p>
    <w:p>
      <w:pPr>
        <w:spacing w:after="0" w:line="14" w:lineRule="exact"/>
        <w:rPr>
          <w:rFonts w:ascii="Arial" w:cs="Arial" w:eastAsia="Arial" w:hAnsi="Arial"/>
          <w:sz w:val="14"/>
          <w:szCs w:val="14"/>
          <w:color w:val="51555C"/>
        </w:rPr>
      </w:pPr>
    </w:p>
    <w:p>
      <w:pPr>
        <w:ind w:left="340" w:hanging="332"/>
        <w:spacing w:after="0"/>
        <w:tabs>
          <w:tab w:leader="none" w:pos="340" w:val="left"/>
        </w:tabs>
        <w:numPr>
          <w:ilvl w:val="0"/>
          <w:numId w:val="66"/>
        </w:numPr>
        <w:rPr>
          <w:rFonts w:ascii="Arial" w:cs="Arial" w:eastAsia="Arial" w:hAnsi="Arial"/>
          <w:sz w:val="14"/>
          <w:szCs w:val="14"/>
          <w:color w:val="51555C"/>
        </w:rPr>
      </w:pPr>
      <w:r>
        <w:rPr>
          <w:rFonts w:ascii="Arial" w:cs="Arial" w:eastAsia="Arial" w:hAnsi="Arial"/>
          <w:sz w:val="14"/>
          <w:szCs w:val="14"/>
          <w:color w:val="51555C"/>
        </w:rPr>
        <w:t>These time-based RSAs or RSUs vest in three annual installments beginning on the first anniversary of the grant date.</w:t>
      </w:r>
    </w:p>
    <w:p>
      <w:pPr>
        <w:spacing w:after="0" w:line="14" w:lineRule="exact"/>
        <w:rPr>
          <w:rFonts w:ascii="Arial" w:cs="Arial" w:eastAsia="Arial" w:hAnsi="Arial"/>
          <w:sz w:val="14"/>
          <w:szCs w:val="14"/>
          <w:color w:val="51555C"/>
        </w:rPr>
      </w:pPr>
    </w:p>
    <w:p>
      <w:pPr>
        <w:ind w:left="340" w:right="20" w:hanging="332"/>
        <w:spacing w:after="0" w:line="251" w:lineRule="auto"/>
        <w:tabs>
          <w:tab w:leader="none" w:pos="354" w:val="left"/>
        </w:tabs>
        <w:numPr>
          <w:ilvl w:val="0"/>
          <w:numId w:val="66"/>
        </w:numPr>
        <w:rPr>
          <w:rFonts w:ascii="Arial" w:cs="Arial" w:eastAsia="Arial" w:hAnsi="Arial"/>
          <w:sz w:val="14"/>
          <w:szCs w:val="14"/>
          <w:color w:val="51555C"/>
        </w:rPr>
      </w:pPr>
      <w:r>
        <w:rPr>
          <w:rFonts w:ascii="Arial" w:cs="Arial" w:eastAsia="Arial" w:hAnsi="Arial"/>
          <w:sz w:val="14"/>
          <w:szCs w:val="14"/>
          <w:color w:val="51555C"/>
        </w:rPr>
        <w:t>These LTI One-year PRSUs were earned based on a one-year performance period and vest in three annual installments beginning on the first anniversary of the grant date.</w:t>
      </w:r>
    </w:p>
    <w:p>
      <w:pPr>
        <w:spacing w:after="0" w:line="169" w:lineRule="exact"/>
        <w:rPr>
          <w:rFonts w:ascii="Arial" w:cs="Arial" w:eastAsia="Arial" w:hAnsi="Arial"/>
          <w:sz w:val="14"/>
          <w:szCs w:val="14"/>
          <w:color w:val="51555C"/>
        </w:rPr>
      </w:pPr>
    </w:p>
    <w:p>
      <w:pPr>
        <w:ind w:left="340" w:hanging="332"/>
        <w:spacing w:after="0"/>
        <w:tabs>
          <w:tab w:leader="none" w:pos="340" w:val="left"/>
        </w:tabs>
        <w:numPr>
          <w:ilvl w:val="0"/>
          <w:numId w:val="66"/>
        </w:numPr>
        <w:rPr>
          <w:rFonts w:ascii="Arial" w:cs="Arial" w:eastAsia="Arial" w:hAnsi="Arial"/>
          <w:sz w:val="14"/>
          <w:szCs w:val="14"/>
          <w:color w:val="51555C"/>
        </w:rPr>
      </w:pPr>
      <w:r>
        <w:rPr>
          <w:rFonts w:ascii="Arial" w:cs="Arial" w:eastAsia="Arial" w:hAnsi="Arial"/>
          <w:sz w:val="14"/>
          <w:szCs w:val="14"/>
          <w:color w:val="51555C"/>
        </w:rPr>
        <w:t>These LTI Three-year PRSUs were earned based on the Company’s 2025 Rule of 40 performance and vested on the anniversary of the grant date in February 2026.</w:t>
      </w:r>
    </w:p>
    <w:p>
      <w:pPr>
        <w:spacing w:after="0" w:line="14" w:lineRule="exact"/>
        <w:rPr>
          <w:rFonts w:ascii="Arial" w:cs="Arial" w:eastAsia="Arial" w:hAnsi="Arial"/>
          <w:sz w:val="14"/>
          <w:szCs w:val="14"/>
          <w:color w:val="51555C"/>
        </w:rPr>
      </w:pPr>
    </w:p>
    <w:p>
      <w:pPr>
        <w:ind w:left="340" w:right="40" w:hanging="332"/>
        <w:spacing w:after="0" w:line="261" w:lineRule="auto"/>
        <w:tabs>
          <w:tab w:leader="none" w:pos="354" w:val="left"/>
        </w:tabs>
        <w:numPr>
          <w:ilvl w:val="0"/>
          <w:numId w:val="66"/>
        </w:numPr>
        <w:rPr>
          <w:rFonts w:ascii="Arial" w:cs="Arial" w:eastAsia="Arial" w:hAnsi="Arial"/>
          <w:sz w:val="14"/>
          <w:szCs w:val="14"/>
          <w:color w:val="51555C"/>
        </w:rPr>
      </w:pPr>
      <w:r>
        <w:rPr>
          <w:rFonts w:ascii="Arial" w:cs="Arial" w:eastAsia="Arial" w:hAnsi="Arial"/>
          <w:sz w:val="14"/>
          <w:szCs w:val="14"/>
          <w:color w:val="51555C"/>
        </w:rPr>
        <w:t>These LTI Three-year PRSUs may be earned upon achievement of performance period metrics related to the Company's Rule of 40 and become eligible to vest on the anniversary of the grant date following the achievement of metrics for the applicable performance period.</w:t>
      </w:r>
    </w:p>
    <w:p>
      <w:pPr>
        <w:ind w:left="340" w:right="20" w:hanging="332"/>
        <w:spacing w:after="0" w:line="251" w:lineRule="auto"/>
        <w:tabs>
          <w:tab w:leader="none" w:pos="354" w:val="left"/>
        </w:tabs>
        <w:numPr>
          <w:ilvl w:val="0"/>
          <w:numId w:val="66"/>
        </w:numPr>
        <w:rPr>
          <w:rFonts w:ascii="Arial" w:cs="Arial" w:eastAsia="Arial" w:hAnsi="Arial"/>
          <w:sz w:val="14"/>
          <w:szCs w:val="14"/>
          <w:color w:val="51555C"/>
        </w:rPr>
      </w:pPr>
      <w:r>
        <w:rPr>
          <w:rFonts w:ascii="Arial" w:cs="Arial" w:eastAsia="Arial" w:hAnsi="Arial"/>
          <w:sz w:val="14"/>
          <w:szCs w:val="14"/>
          <w:color w:val="51555C"/>
        </w:rPr>
        <w:t>As mandated by applicable SEC rules, the amounts reported represent the maximum number of PRSUs that are eligible to be earned and vest for the fiscal year 2026 and 2027 measurement periods, as the 2025 PRSU performance metric exceeded target level.</w:t>
      </w:r>
    </w:p>
    <w:p>
      <w:pPr>
        <w:ind w:left="340" w:right="20" w:hanging="332"/>
        <w:spacing w:after="0" w:line="284" w:lineRule="auto"/>
        <w:tabs>
          <w:tab w:leader="none" w:pos="354" w:val="left"/>
        </w:tabs>
        <w:numPr>
          <w:ilvl w:val="0"/>
          <w:numId w:val="66"/>
        </w:numPr>
        <w:rPr>
          <w:rFonts w:ascii="Arial" w:cs="Arial" w:eastAsia="Arial" w:hAnsi="Arial"/>
          <w:sz w:val="14"/>
          <w:szCs w:val="14"/>
          <w:color w:val="51555C"/>
        </w:rPr>
      </w:pPr>
      <w:r>
        <w:rPr>
          <w:rFonts w:ascii="Arial" w:cs="Arial" w:eastAsia="Arial" w:hAnsi="Arial"/>
          <w:sz w:val="14"/>
          <w:szCs w:val="14"/>
          <w:color w:val="51555C"/>
        </w:rPr>
        <w:t>As mandated by applicable SEC rules, the amounts reported represent the maximum number of PRSUs that are eligible to be earned and vest for the fiscal year 2026 measurement period, as the 2025 PRSU performance metric exceeded target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209550</wp:posOffset>
            </wp:positionV>
            <wp:extent cx="702945" cy="11112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57</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00" w:right="319" w:bottom="1440" w:gutter="0" w:footer="0" w:header="0"/>
        </w:sectPr>
      </w:pPr>
    </w:p>
    <w:bookmarkStart w:id="59" w:name="page60"/>
    <w:bookmarkEnd w:id="59"/>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EXECUTIVE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100"/>
          </w:cols>
          <w:pgMar w:left="320" w:top="33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OPTION EXERCISES AND STOCK VESTED IN 2025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51555C"/>
        </w:rPr>
        <w:t>The following table sets forth information concerning the vesting of RSAs, RSUs and PRSUs for each NEO during 2025. The Company does not grant option awards.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80" w:type="dxa"/>
            <w:vAlign w:val="bottom"/>
            <w:tcBorders>
              <w:top w:val="single" w:sz="8" w:color="004054"/>
              <w:bottom w:val="single" w:sz="8" w:color="004054"/>
              <w:right w:val="single" w:sz="8" w:color="006880"/>
            </w:tcBorders>
            <w:shd w:val="clear" w:color="auto" w:fill="004054"/>
          </w:tcPr>
          <w:p>
            <w:pPr>
              <w:spacing w:after="0"/>
              <w:rPr>
                <w:sz w:val="20"/>
                <w:szCs w:val="20"/>
                <w:color w:val="auto"/>
              </w:rPr>
            </w:pPr>
          </w:p>
        </w:tc>
        <w:tc>
          <w:tcPr>
            <w:tcW w:w="2700" w:type="dxa"/>
            <w:vAlign w:val="bottom"/>
            <w:tcBorders>
              <w:top w:val="single" w:sz="8" w:color="006880"/>
              <w:bottom w:val="single" w:sz="8" w:color="004054"/>
            </w:tcBorders>
            <w:gridSpan w:val="2"/>
            <w:shd w:val="clear" w:color="auto" w:fill="006880"/>
          </w:tcPr>
          <w:p>
            <w:pPr>
              <w:jc w:val="right"/>
              <w:ind w:right="179"/>
              <w:spacing w:after="0"/>
              <w:rPr>
                <w:sz w:val="20"/>
                <w:szCs w:val="20"/>
                <w:color w:val="auto"/>
              </w:rPr>
            </w:pPr>
            <w:r>
              <w:rPr>
                <w:rFonts w:ascii="Arial" w:cs="Arial" w:eastAsia="Arial" w:hAnsi="Arial"/>
                <w:sz w:val="14"/>
                <w:szCs w:val="14"/>
                <w:b w:val="1"/>
                <w:bCs w:val="1"/>
                <w:color w:val="FFFFFF"/>
              </w:rPr>
              <w:t>Stock Awards</w:t>
            </w:r>
          </w:p>
        </w:tc>
        <w:tc>
          <w:tcPr>
            <w:tcW w:w="1260" w:type="dxa"/>
            <w:vAlign w:val="bottom"/>
            <w:tcBorders>
              <w:top w:val="single" w:sz="8" w:color="006880"/>
              <w:bottom w:val="single" w:sz="8" w:color="004054"/>
            </w:tcBorders>
            <w:shd w:val="clear" w:color="auto" w:fill="006880"/>
          </w:tcPr>
          <w:p>
            <w:pPr>
              <w:spacing w:after="0"/>
              <w:rPr>
                <w:sz w:val="20"/>
                <w:szCs w:val="20"/>
                <w:color w:val="auto"/>
              </w:rPr>
            </w:pPr>
          </w:p>
        </w:tc>
        <w:tc>
          <w:tcPr>
            <w:tcW w:w="20" w:type="dxa"/>
            <w:vAlign w:val="bottom"/>
            <w:tcBorders>
              <w:top w:val="single" w:sz="8" w:color="006880"/>
              <w:bottom w:val="single" w:sz="8" w:color="006880"/>
            </w:tcBorders>
            <w:shd w:val="clear" w:color="auto" w:fill="006880"/>
          </w:tcPr>
          <w:p>
            <w:pPr>
              <w:spacing w:after="0"/>
              <w:rPr>
                <w:sz w:val="20"/>
                <w:szCs w:val="20"/>
                <w:color w:val="auto"/>
              </w:rPr>
            </w:pPr>
          </w:p>
        </w:tc>
      </w:tr>
      <w:tr>
        <w:trPr>
          <w:trHeight w:val="180"/>
        </w:trPr>
        <w:tc>
          <w:tcPr>
            <w:tcW w:w="7280" w:type="dxa"/>
            <w:vAlign w:val="bottom"/>
            <w:tcBorders>
              <w:right w:val="single" w:sz="8" w:color="004054"/>
            </w:tcBorders>
            <w:shd w:val="clear" w:color="auto" w:fill="004054"/>
          </w:tcPr>
          <w:p>
            <w:pPr>
              <w:spacing w:after="0"/>
              <w:rPr>
                <w:sz w:val="15"/>
                <w:szCs w:val="15"/>
                <w:color w:val="auto"/>
              </w:rPr>
            </w:pPr>
          </w:p>
        </w:tc>
        <w:tc>
          <w:tcPr>
            <w:tcW w:w="19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 of Shares</w:t>
            </w:r>
          </w:p>
        </w:tc>
        <w:tc>
          <w:tcPr>
            <w:tcW w:w="740" w:type="dxa"/>
            <w:vAlign w:val="bottom"/>
            <w:shd w:val="clear" w:color="auto" w:fill="004054"/>
          </w:tcPr>
          <w:p>
            <w:pPr>
              <w:spacing w:after="0"/>
              <w:rPr>
                <w:sz w:val="15"/>
                <w:szCs w:val="15"/>
                <w:color w:val="auto"/>
              </w:rPr>
            </w:pPr>
          </w:p>
        </w:tc>
        <w:tc>
          <w:tcPr>
            <w:tcW w:w="12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Value Realized</w:t>
            </w:r>
          </w:p>
        </w:tc>
        <w:tc>
          <w:tcPr>
            <w:tcW w:w="20" w:type="dxa"/>
            <w:vAlign w:val="bottom"/>
            <w:shd w:val="clear" w:color="auto" w:fill="004054"/>
          </w:tcPr>
          <w:p>
            <w:pPr>
              <w:spacing w:after="0"/>
              <w:rPr>
                <w:sz w:val="15"/>
                <w:szCs w:val="15"/>
                <w:color w:val="auto"/>
              </w:rPr>
            </w:pPr>
          </w:p>
        </w:tc>
      </w:tr>
      <w:tr>
        <w:trPr>
          <w:trHeight w:val="176"/>
        </w:trPr>
        <w:tc>
          <w:tcPr>
            <w:tcW w:w="7280" w:type="dxa"/>
            <w:vAlign w:val="bottom"/>
            <w:tcBorders>
              <w:right w:val="single" w:sz="8" w:color="004054"/>
            </w:tcBorders>
            <w:shd w:val="clear" w:color="auto" w:fill="004054"/>
          </w:tcPr>
          <w:p>
            <w:pPr>
              <w:spacing w:after="0"/>
              <w:rPr>
                <w:sz w:val="15"/>
                <w:szCs w:val="15"/>
                <w:color w:val="auto"/>
              </w:rPr>
            </w:pPr>
          </w:p>
        </w:tc>
        <w:tc>
          <w:tcPr>
            <w:tcW w:w="19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Acquired on Vesting</w:t>
            </w:r>
          </w:p>
        </w:tc>
        <w:tc>
          <w:tcPr>
            <w:tcW w:w="740" w:type="dxa"/>
            <w:vAlign w:val="bottom"/>
            <w:shd w:val="clear" w:color="auto" w:fill="004054"/>
          </w:tcPr>
          <w:p>
            <w:pPr>
              <w:spacing w:after="0"/>
              <w:rPr>
                <w:sz w:val="15"/>
                <w:szCs w:val="15"/>
                <w:color w:val="auto"/>
              </w:rPr>
            </w:pPr>
          </w:p>
        </w:tc>
        <w:tc>
          <w:tcPr>
            <w:tcW w:w="12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on Vesting</w:t>
            </w:r>
            <w:r>
              <w:rPr>
                <w:rFonts w:ascii="Arial" w:cs="Arial" w:eastAsia="Arial" w:hAnsi="Arial"/>
                <w:sz w:val="9"/>
                <w:szCs w:val="9"/>
                <w:b w:val="1"/>
                <w:bCs w:val="1"/>
                <w:color w:val="FFFFFF"/>
              </w:rPr>
              <w:t>(1)</w:t>
            </w:r>
          </w:p>
        </w:tc>
        <w:tc>
          <w:tcPr>
            <w:tcW w:w="20" w:type="dxa"/>
            <w:vAlign w:val="bottom"/>
            <w:shd w:val="clear" w:color="auto" w:fill="004054"/>
          </w:tcPr>
          <w:p>
            <w:pPr>
              <w:spacing w:after="0"/>
              <w:rPr>
                <w:sz w:val="15"/>
                <w:szCs w:val="15"/>
                <w:color w:val="auto"/>
              </w:rPr>
            </w:pPr>
          </w:p>
        </w:tc>
      </w:tr>
      <w:tr>
        <w:trPr>
          <w:trHeight w:val="205"/>
        </w:trPr>
        <w:tc>
          <w:tcPr>
            <w:tcW w:w="7280" w:type="dxa"/>
            <w:vAlign w:val="bottom"/>
            <w:tcBorders>
              <w:bottom w:val="single" w:sz="8" w:color="004054"/>
              <w:right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Name</w:t>
            </w:r>
          </w:p>
        </w:tc>
        <w:tc>
          <w:tcPr>
            <w:tcW w:w="19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004054"/>
            </w:tcBorders>
            <w:shd w:val="clear" w:color="auto" w:fill="004054"/>
          </w:tcPr>
          <w:p>
            <w:pPr>
              <w:spacing w:after="0"/>
              <w:rPr>
                <w:sz w:val="17"/>
                <w:szCs w:val="17"/>
                <w:color w:val="auto"/>
              </w:rPr>
            </w:pPr>
          </w:p>
        </w:tc>
        <w:tc>
          <w:tcPr>
            <w:tcW w:w="12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004054"/>
            </w:tcBorders>
            <w:shd w:val="clear" w:color="auto" w:fill="004054"/>
          </w:tcPr>
          <w:p>
            <w:pPr>
              <w:spacing w:after="0"/>
              <w:rPr>
                <w:sz w:val="17"/>
                <w:szCs w:val="17"/>
                <w:color w:val="auto"/>
              </w:rPr>
            </w:pPr>
          </w:p>
        </w:tc>
      </w:tr>
      <w:tr>
        <w:trPr>
          <w:trHeight w:val="243"/>
        </w:trPr>
        <w:tc>
          <w:tcPr>
            <w:tcW w:w="7280" w:type="dxa"/>
            <w:vAlign w:val="bottom"/>
            <w:tcBorders>
              <w:right w:val="single" w:sz="8" w:color="EBFBFF"/>
            </w:tcBorders>
            <w:shd w:val="clear" w:color="auto" w:fill="EBFBFF"/>
          </w:tcPr>
          <w:p>
            <w:pPr>
              <w:ind w:left="20"/>
              <w:spacing w:after="0"/>
              <w:rPr>
                <w:sz w:val="20"/>
                <w:szCs w:val="20"/>
                <w:color w:val="auto"/>
              </w:rPr>
            </w:pPr>
            <w:r>
              <w:rPr>
                <w:rFonts w:ascii="Arial" w:cs="Arial" w:eastAsia="Arial" w:hAnsi="Arial"/>
                <w:sz w:val="16"/>
                <w:szCs w:val="16"/>
                <w:b w:val="1"/>
                <w:bCs w:val="1"/>
                <w:color w:val="51555C"/>
              </w:rPr>
              <w:t>Michael P. Gianoni</w:t>
            </w:r>
          </w:p>
        </w:tc>
        <w:tc>
          <w:tcPr>
            <w:tcW w:w="1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128,051</w:t>
            </w:r>
          </w:p>
        </w:tc>
        <w:tc>
          <w:tcPr>
            <w:tcW w:w="740" w:type="dxa"/>
            <w:vAlign w:val="bottom"/>
            <w:shd w:val="clear" w:color="auto" w:fill="EBFBFF"/>
          </w:tcPr>
          <w:p>
            <w:pPr>
              <w:jc w:val="right"/>
              <w:ind w:right="539"/>
              <w:spacing w:after="0"/>
              <w:rPr>
                <w:sz w:val="20"/>
                <w:szCs w:val="20"/>
                <w:color w:val="auto"/>
              </w:rPr>
            </w:pPr>
            <w:r>
              <w:rPr>
                <w:rFonts w:ascii="Arial" w:cs="Arial" w:eastAsia="Arial" w:hAnsi="Arial"/>
                <w:sz w:val="16"/>
                <w:szCs w:val="16"/>
                <w:color w:val="51555C"/>
              </w:rPr>
              <w:t>$</w:t>
            </w:r>
          </w:p>
        </w:tc>
        <w:tc>
          <w:tcPr>
            <w:tcW w:w="1260" w:type="dxa"/>
            <w:vAlign w:val="bottom"/>
            <w:shd w:val="clear" w:color="auto" w:fill="EBFBFF"/>
          </w:tcPr>
          <w:p>
            <w:pPr>
              <w:jc w:val="right"/>
              <w:ind w:right="2"/>
              <w:spacing w:after="0"/>
              <w:rPr>
                <w:sz w:val="20"/>
                <w:szCs w:val="20"/>
                <w:color w:val="auto"/>
              </w:rPr>
            </w:pPr>
            <w:r>
              <w:rPr>
                <w:rFonts w:ascii="Arial" w:cs="Arial" w:eastAsia="Arial" w:hAnsi="Arial"/>
                <w:sz w:val="16"/>
                <w:szCs w:val="16"/>
                <w:color w:val="51555C"/>
              </w:rPr>
              <w:t>9,081,535</w:t>
            </w:r>
          </w:p>
        </w:tc>
        <w:tc>
          <w:tcPr>
            <w:tcW w:w="20" w:type="dxa"/>
            <w:vAlign w:val="bottom"/>
          </w:tcPr>
          <w:p>
            <w:pPr>
              <w:spacing w:after="0"/>
              <w:rPr>
                <w:sz w:val="21"/>
                <w:szCs w:val="21"/>
                <w:color w:val="auto"/>
              </w:rPr>
            </w:pPr>
          </w:p>
        </w:tc>
      </w:tr>
      <w:tr>
        <w:trPr>
          <w:trHeight w:val="239"/>
        </w:trPr>
        <w:tc>
          <w:tcPr>
            <w:tcW w:w="7280" w:type="dxa"/>
            <w:vAlign w:val="bottom"/>
          </w:tcPr>
          <w:p>
            <w:pPr>
              <w:ind w:left="20"/>
              <w:spacing w:after="0"/>
              <w:rPr>
                <w:sz w:val="20"/>
                <w:szCs w:val="20"/>
                <w:color w:val="auto"/>
              </w:rPr>
            </w:pPr>
            <w:r>
              <w:rPr>
                <w:rFonts w:ascii="Arial" w:cs="Arial" w:eastAsia="Arial" w:hAnsi="Arial"/>
                <w:sz w:val="16"/>
                <w:szCs w:val="16"/>
                <w:b w:val="1"/>
                <w:bCs w:val="1"/>
                <w:color w:val="51555C"/>
              </w:rPr>
              <w:t>Chad M. Anderson</w:t>
            </w:r>
          </w:p>
        </w:tc>
        <w:tc>
          <w:tcPr>
            <w:tcW w:w="1960" w:type="dxa"/>
            <w:vAlign w:val="bottom"/>
          </w:tcPr>
          <w:p>
            <w:pPr>
              <w:jc w:val="right"/>
              <w:spacing w:after="0"/>
              <w:rPr>
                <w:sz w:val="20"/>
                <w:szCs w:val="20"/>
                <w:color w:val="auto"/>
              </w:rPr>
            </w:pPr>
            <w:r>
              <w:rPr>
                <w:rFonts w:ascii="Arial" w:cs="Arial" w:eastAsia="Arial" w:hAnsi="Arial"/>
                <w:sz w:val="16"/>
                <w:szCs w:val="16"/>
                <w:color w:val="51555C"/>
              </w:rPr>
              <w:t>12,637</w:t>
            </w:r>
          </w:p>
        </w:tc>
        <w:tc>
          <w:tcPr>
            <w:tcW w:w="740" w:type="dxa"/>
            <w:vAlign w:val="bottom"/>
          </w:tcPr>
          <w:p>
            <w:pPr>
              <w:spacing w:after="0"/>
              <w:rPr>
                <w:sz w:val="20"/>
                <w:szCs w:val="20"/>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51555C"/>
              </w:rPr>
              <w:t>900,708</w:t>
            </w:r>
          </w:p>
        </w:tc>
        <w:tc>
          <w:tcPr>
            <w:tcW w:w="20" w:type="dxa"/>
            <w:vAlign w:val="bottom"/>
          </w:tcPr>
          <w:p>
            <w:pPr>
              <w:spacing w:after="0"/>
              <w:rPr>
                <w:sz w:val="20"/>
                <w:szCs w:val="20"/>
                <w:color w:val="auto"/>
              </w:rPr>
            </w:pPr>
          </w:p>
        </w:tc>
      </w:tr>
      <w:tr>
        <w:trPr>
          <w:trHeight w:val="247"/>
        </w:trPr>
        <w:tc>
          <w:tcPr>
            <w:tcW w:w="7280" w:type="dxa"/>
            <w:vAlign w:val="bottom"/>
            <w:tcBorders>
              <w:right w:val="single" w:sz="8" w:color="EBFBFF"/>
            </w:tcBorders>
            <w:shd w:val="clear" w:color="auto" w:fill="EBFBFF"/>
          </w:tcPr>
          <w:p>
            <w:pPr>
              <w:ind w:left="20"/>
              <w:spacing w:after="0"/>
              <w:rPr>
                <w:sz w:val="20"/>
                <w:szCs w:val="20"/>
                <w:color w:val="auto"/>
              </w:rPr>
            </w:pPr>
            <w:r>
              <w:rPr>
                <w:rFonts w:ascii="Arial" w:cs="Arial" w:eastAsia="Arial" w:hAnsi="Arial"/>
                <w:sz w:val="16"/>
                <w:szCs w:val="16"/>
                <w:b w:val="1"/>
                <w:bCs w:val="1"/>
                <w:color w:val="51555C"/>
              </w:rPr>
              <w:t>Anthony W. Boor</w:t>
            </w:r>
          </w:p>
        </w:tc>
        <w:tc>
          <w:tcPr>
            <w:tcW w:w="1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49,732</w:t>
            </w:r>
          </w:p>
        </w:tc>
        <w:tc>
          <w:tcPr>
            <w:tcW w:w="740" w:type="dxa"/>
            <w:vAlign w:val="bottom"/>
            <w:shd w:val="clear" w:color="auto" w:fill="EBFBFF"/>
          </w:tcPr>
          <w:p>
            <w:pPr>
              <w:spacing w:after="0"/>
              <w:rPr>
                <w:sz w:val="21"/>
                <w:szCs w:val="21"/>
                <w:color w:val="auto"/>
              </w:rPr>
            </w:pPr>
          </w:p>
        </w:tc>
        <w:tc>
          <w:tcPr>
            <w:tcW w:w="1260" w:type="dxa"/>
            <w:vAlign w:val="bottom"/>
            <w:shd w:val="clear" w:color="auto" w:fill="EBFBFF"/>
          </w:tcPr>
          <w:p>
            <w:pPr>
              <w:jc w:val="right"/>
              <w:ind w:right="2"/>
              <w:spacing w:after="0"/>
              <w:rPr>
                <w:sz w:val="20"/>
                <w:szCs w:val="20"/>
                <w:color w:val="auto"/>
              </w:rPr>
            </w:pPr>
            <w:r>
              <w:rPr>
                <w:rFonts w:ascii="Arial" w:cs="Arial" w:eastAsia="Arial" w:hAnsi="Arial"/>
                <w:sz w:val="16"/>
                <w:szCs w:val="16"/>
                <w:color w:val="51555C"/>
              </w:rPr>
              <w:t>3,530,296</w:t>
            </w:r>
          </w:p>
        </w:tc>
        <w:tc>
          <w:tcPr>
            <w:tcW w:w="20" w:type="dxa"/>
            <w:vAlign w:val="bottom"/>
          </w:tcPr>
          <w:p>
            <w:pPr>
              <w:spacing w:after="0"/>
              <w:rPr>
                <w:sz w:val="21"/>
                <w:szCs w:val="21"/>
                <w:color w:val="auto"/>
              </w:rPr>
            </w:pPr>
          </w:p>
        </w:tc>
      </w:tr>
      <w:tr>
        <w:trPr>
          <w:trHeight w:val="239"/>
        </w:trPr>
        <w:tc>
          <w:tcPr>
            <w:tcW w:w="7280" w:type="dxa"/>
            <w:vAlign w:val="bottom"/>
          </w:tcPr>
          <w:p>
            <w:pPr>
              <w:ind w:left="20"/>
              <w:spacing w:after="0"/>
              <w:rPr>
                <w:sz w:val="20"/>
                <w:szCs w:val="20"/>
                <w:color w:val="auto"/>
              </w:rPr>
            </w:pPr>
            <w:r>
              <w:rPr>
                <w:rFonts w:ascii="Arial" w:cs="Arial" w:eastAsia="Arial" w:hAnsi="Arial"/>
                <w:sz w:val="16"/>
                <w:szCs w:val="16"/>
                <w:b w:val="1"/>
                <w:bCs w:val="1"/>
                <w:color w:val="51555C"/>
              </w:rPr>
              <w:t>David J. Benjamin</w:t>
            </w:r>
          </w:p>
        </w:tc>
        <w:tc>
          <w:tcPr>
            <w:tcW w:w="1960" w:type="dxa"/>
            <w:vAlign w:val="bottom"/>
          </w:tcPr>
          <w:p>
            <w:pPr>
              <w:jc w:val="right"/>
              <w:spacing w:after="0"/>
              <w:rPr>
                <w:sz w:val="20"/>
                <w:szCs w:val="20"/>
                <w:color w:val="auto"/>
              </w:rPr>
            </w:pPr>
            <w:r>
              <w:rPr>
                <w:rFonts w:ascii="Arial" w:cs="Arial" w:eastAsia="Arial" w:hAnsi="Arial"/>
                <w:sz w:val="16"/>
                <w:szCs w:val="16"/>
                <w:color w:val="51555C"/>
              </w:rPr>
              <w:t>47,460</w:t>
            </w:r>
          </w:p>
        </w:tc>
        <w:tc>
          <w:tcPr>
            <w:tcW w:w="740" w:type="dxa"/>
            <w:vAlign w:val="bottom"/>
          </w:tcPr>
          <w:p>
            <w:pPr>
              <w:spacing w:after="0"/>
              <w:rPr>
                <w:sz w:val="20"/>
                <w:szCs w:val="20"/>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51555C"/>
              </w:rPr>
              <w:t>3,293,482</w:t>
            </w:r>
          </w:p>
        </w:tc>
        <w:tc>
          <w:tcPr>
            <w:tcW w:w="20" w:type="dxa"/>
            <w:vAlign w:val="bottom"/>
          </w:tcPr>
          <w:p>
            <w:pPr>
              <w:spacing w:after="0"/>
              <w:rPr>
                <w:sz w:val="20"/>
                <w:szCs w:val="20"/>
                <w:color w:val="auto"/>
              </w:rPr>
            </w:pPr>
          </w:p>
        </w:tc>
      </w:tr>
      <w:tr>
        <w:trPr>
          <w:trHeight w:val="247"/>
        </w:trPr>
        <w:tc>
          <w:tcPr>
            <w:tcW w:w="7280" w:type="dxa"/>
            <w:vAlign w:val="bottom"/>
            <w:tcBorders>
              <w:right w:val="single" w:sz="8" w:color="EBFBFF"/>
            </w:tcBorders>
            <w:shd w:val="clear" w:color="auto" w:fill="EBFBFF"/>
          </w:tcPr>
          <w:p>
            <w:pPr>
              <w:ind w:left="20"/>
              <w:spacing w:after="0"/>
              <w:rPr>
                <w:sz w:val="20"/>
                <w:szCs w:val="20"/>
                <w:color w:val="auto"/>
              </w:rPr>
            </w:pPr>
            <w:r>
              <w:rPr>
                <w:rFonts w:ascii="Arial" w:cs="Arial" w:eastAsia="Arial" w:hAnsi="Arial"/>
                <w:sz w:val="16"/>
                <w:szCs w:val="16"/>
                <w:b w:val="1"/>
                <w:bCs w:val="1"/>
                <w:color w:val="51555C"/>
              </w:rPr>
              <w:t>Kevin P. Gregoire</w:t>
            </w:r>
          </w:p>
        </w:tc>
        <w:tc>
          <w:tcPr>
            <w:tcW w:w="1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51,236</w:t>
            </w:r>
          </w:p>
        </w:tc>
        <w:tc>
          <w:tcPr>
            <w:tcW w:w="740" w:type="dxa"/>
            <w:vAlign w:val="bottom"/>
            <w:shd w:val="clear" w:color="auto" w:fill="EBFBFF"/>
          </w:tcPr>
          <w:p>
            <w:pPr>
              <w:spacing w:after="0"/>
              <w:rPr>
                <w:sz w:val="21"/>
                <w:szCs w:val="21"/>
                <w:color w:val="auto"/>
              </w:rPr>
            </w:pPr>
          </w:p>
        </w:tc>
        <w:tc>
          <w:tcPr>
            <w:tcW w:w="1260" w:type="dxa"/>
            <w:vAlign w:val="bottom"/>
            <w:shd w:val="clear" w:color="auto" w:fill="EBFBFF"/>
          </w:tcPr>
          <w:p>
            <w:pPr>
              <w:jc w:val="right"/>
              <w:ind w:right="2"/>
              <w:spacing w:after="0"/>
              <w:rPr>
                <w:sz w:val="20"/>
                <w:szCs w:val="20"/>
                <w:color w:val="auto"/>
              </w:rPr>
            </w:pPr>
            <w:r>
              <w:rPr>
                <w:rFonts w:ascii="Arial" w:cs="Arial" w:eastAsia="Arial" w:hAnsi="Arial"/>
                <w:sz w:val="16"/>
                <w:szCs w:val="16"/>
                <w:color w:val="51555C"/>
              </w:rPr>
              <w:t>3,558,997</w:t>
            </w:r>
          </w:p>
        </w:tc>
        <w:tc>
          <w:tcPr>
            <w:tcW w:w="20" w:type="dxa"/>
            <w:vAlign w:val="bottom"/>
          </w:tcPr>
          <w:p>
            <w:pPr>
              <w:spacing w:after="0"/>
              <w:rPr>
                <w:sz w:val="21"/>
                <w:szCs w:val="21"/>
                <w:color w:val="auto"/>
              </w:rPr>
            </w:pPr>
          </w:p>
        </w:tc>
      </w:tr>
      <w:tr>
        <w:trPr>
          <w:trHeight w:val="239"/>
        </w:trPr>
        <w:tc>
          <w:tcPr>
            <w:tcW w:w="7280" w:type="dxa"/>
            <w:vAlign w:val="bottom"/>
            <w:tcBorders>
              <w:bottom w:val="single" w:sz="8" w:color="0CD973"/>
            </w:tcBorders>
          </w:tcPr>
          <w:p>
            <w:pPr>
              <w:ind w:left="20"/>
              <w:spacing w:after="0"/>
              <w:rPr>
                <w:sz w:val="20"/>
                <w:szCs w:val="20"/>
                <w:color w:val="auto"/>
              </w:rPr>
            </w:pPr>
            <w:r>
              <w:rPr>
                <w:rFonts w:ascii="Arial" w:cs="Arial" w:eastAsia="Arial" w:hAnsi="Arial"/>
                <w:sz w:val="16"/>
                <w:szCs w:val="16"/>
                <w:b w:val="1"/>
                <w:bCs w:val="1"/>
                <w:color w:val="51555C"/>
              </w:rPr>
              <w:t>Kevin R. McDearis</w:t>
            </w:r>
          </w:p>
        </w:tc>
        <w:tc>
          <w:tcPr>
            <w:tcW w:w="196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35,452</w:t>
            </w:r>
          </w:p>
        </w:tc>
        <w:tc>
          <w:tcPr>
            <w:tcW w:w="740" w:type="dxa"/>
            <w:vAlign w:val="bottom"/>
            <w:tcBorders>
              <w:bottom w:val="single" w:sz="8" w:color="0CD973"/>
            </w:tcBorders>
          </w:tcPr>
          <w:p>
            <w:pPr>
              <w:spacing w:after="0"/>
              <w:rPr>
                <w:sz w:val="20"/>
                <w:szCs w:val="20"/>
                <w:color w:val="auto"/>
              </w:rPr>
            </w:pPr>
          </w:p>
        </w:tc>
        <w:tc>
          <w:tcPr>
            <w:tcW w:w="1260" w:type="dxa"/>
            <w:vAlign w:val="bottom"/>
            <w:tcBorders>
              <w:bottom w:val="single" w:sz="8" w:color="0CD973"/>
            </w:tcBorders>
          </w:tcPr>
          <w:p>
            <w:pPr>
              <w:jc w:val="right"/>
              <w:ind w:right="2"/>
              <w:spacing w:after="0"/>
              <w:rPr>
                <w:sz w:val="20"/>
                <w:szCs w:val="20"/>
                <w:color w:val="auto"/>
              </w:rPr>
            </w:pPr>
            <w:r>
              <w:rPr>
                <w:rFonts w:ascii="Arial" w:cs="Arial" w:eastAsia="Arial" w:hAnsi="Arial"/>
                <w:sz w:val="16"/>
                <w:szCs w:val="16"/>
                <w:color w:val="51555C"/>
              </w:rPr>
              <w:t>2,513,659</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-1311275</wp:posOffset>
            </wp:positionV>
            <wp:extent cx="253746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52" w:lineRule="exact"/>
        <w:rPr>
          <w:sz w:val="20"/>
          <w:szCs w:val="20"/>
          <w:color w:val="auto"/>
        </w:rPr>
      </w:pPr>
    </w:p>
    <w:p>
      <w:pPr>
        <w:jc w:val="both"/>
        <w:ind w:left="340" w:right="20" w:hanging="332"/>
        <w:spacing w:after="0" w:line="283" w:lineRule="auto"/>
        <w:tabs>
          <w:tab w:leader="none" w:pos="354" w:val="left"/>
        </w:tabs>
        <w:numPr>
          <w:ilvl w:val="0"/>
          <w:numId w:val="67"/>
        </w:numPr>
        <w:rPr>
          <w:rFonts w:ascii="Arial" w:cs="Arial" w:eastAsia="Arial" w:hAnsi="Arial"/>
          <w:sz w:val="14"/>
          <w:szCs w:val="14"/>
          <w:color w:val="51555C"/>
        </w:rPr>
      </w:pPr>
      <w:r>
        <w:rPr>
          <w:rFonts w:ascii="Arial" w:cs="Arial" w:eastAsia="Arial" w:hAnsi="Arial"/>
          <w:sz w:val="14"/>
          <w:szCs w:val="14"/>
          <w:color w:val="51555C"/>
        </w:rPr>
        <w:t>The amounts reported represent the aggregate market value of the shares of our common stock based on the closing price of our common stock on each date of vesting (or if the Nasdaq Global Select Market was closed to trading on such date, then the closing price on the immediately preceding trading day) multiplied by the number of shares acquired on vesting.</w:t>
      </w:r>
    </w:p>
    <w:p>
      <w:pPr>
        <w:spacing w:after="0" w:line="320"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58</w:t>
      </w:r>
      <w:r>
        <w:rPr>
          <w:sz w:val="20"/>
          <w:szCs w:val="20"/>
          <w:color w:val="auto"/>
        </w:rPr>
        <w:tab/>
      </w:r>
      <w:r>
        <w:rPr>
          <w:sz w:val="1"/>
          <w:szCs w:val="1"/>
          <w:color w:val="auto"/>
        </w:rPr>
        <w:drawing>
          <wp:inline distT="0" distB="0" distL="0" distR="0">
            <wp:extent cx="702945" cy="111125"/>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60" w:name="page61"/>
    <w:bookmarkEnd w:id="60"/>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b w:val="1"/>
          <w:bCs w:val="1"/>
          <w:color w:val="5155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PAY VERSUS PERFORMANCE</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2025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51555C"/>
        </w:rPr>
        <w:t>The following table sets forth information related to "compensation actually paid" (as defined by and in accordance with SEC rules) to our principal executive officer ("PEO") and our other NEOs as a group and information regarding Company and peer group performance during 2025, 2024, 2023, 2022 and 2021. Note that "compensation actually paid" differs from the Summary Compensation Table totals as indicated in the table below. The information in the disclosure below does not necessarily reflect the Company’s approach to performance-based compensation, and the Compensation Committee did not consider the pay versus performance disclosure below when determining NEO compensation. For further information regarding the Company’s executive compensation philosophy and the Company’s approach to aligning executive compensation with Company performance, please see the “Compensation Discussion and Analysis” section of this Proxy Statement.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shd w:val="clear" w:color="auto" w:fill="004054"/>
          </w:tcPr>
          <w:p>
            <w:pPr>
              <w:spacing w:after="0"/>
              <w:rPr>
                <w:sz w:val="17"/>
                <w:szCs w:val="17"/>
                <w:color w:val="auto"/>
              </w:rPr>
            </w:pPr>
          </w:p>
        </w:tc>
        <w:tc>
          <w:tcPr>
            <w:tcW w:w="200" w:type="dxa"/>
            <w:vAlign w:val="bottom"/>
            <w:shd w:val="clear" w:color="auto" w:fill="004054"/>
          </w:tcPr>
          <w:p>
            <w:pPr>
              <w:spacing w:after="0"/>
              <w:rPr>
                <w:sz w:val="17"/>
                <w:szCs w:val="17"/>
                <w:color w:val="auto"/>
              </w:rPr>
            </w:pPr>
          </w:p>
        </w:tc>
        <w:tc>
          <w:tcPr>
            <w:tcW w:w="1080" w:type="dxa"/>
            <w:vAlign w:val="bottom"/>
            <w:shd w:val="clear" w:color="auto" w:fill="004054"/>
          </w:tcPr>
          <w:p>
            <w:pPr>
              <w:spacing w:after="0"/>
              <w:rPr>
                <w:sz w:val="17"/>
                <w:szCs w:val="17"/>
                <w:color w:val="auto"/>
              </w:rPr>
            </w:pPr>
          </w:p>
        </w:tc>
        <w:tc>
          <w:tcPr>
            <w:tcW w:w="200" w:type="dxa"/>
            <w:vAlign w:val="bottom"/>
            <w:shd w:val="clear" w:color="auto" w:fill="004054"/>
          </w:tcPr>
          <w:p>
            <w:pPr>
              <w:spacing w:after="0"/>
              <w:rPr>
                <w:sz w:val="17"/>
                <w:szCs w:val="17"/>
                <w:color w:val="auto"/>
              </w:rPr>
            </w:pPr>
          </w:p>
        </w:tc>
        <w:tc>
          <w:tcPr>
            <w:tcW w:w="1245" w:type="dxa"/>
            <w:vAlign w:val="bottom"/>
            <w:shd w:val="clear" w:color="auto" w:fill="004054"/>
          </w:tcPr>
          <w:p>
            <w:pPr>
              <w:spacing w:after="0"/>
              <w:rPr>
                <w:sz w:val="17"/>
                <w:szCs w:val="17"/>
                <w:color w:val="auto"/>
              </w:rPr>
            </w:pPr>
          </w:p>
        </w:tc>
        <w:tc>
          <w:tcPr>
            <w:tcW w:w="375" w:type="dxa"/>
            <w:vAlign w:val="bottom"/>
            <w:shd w:val="clear" w:color="auto" w:fill="004054"/>
          </w:tcPr>
          <w:p>
            <w:pPr>
              <w:spacing w:after="0"/>
              <w:rPr>
                <w:sz w:val="17"/>
                <w:szCs w:val="17"/>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Average</w:t>
            </w:r>
          </w:p>
        </w:tc>
        <w:tc>
          <w:tcPr>
            <w:tcW w:w="220" w:type="dxa"/>
            <w:vAlign w:val="bottom"/>
            <w:shd w:val="clear" w:color="auto" w:fill="004054"/>
          </w:tcPr>
          <w:p>
            <w:pPr>
              <w:spacing w:after="0"/>
              <w:rPr>
                <w:sz w:val="17"/>
                <w:szCs w:val="17"/>
                <w:color w:val="auto"/>
              </w:rPr>
            </w:pPr>
          </w:p>
        </w:tc>
        <w:tc>
          <w:tcPr>
            <w:tcW w:w="109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Average</w:t>
            </w:r>
          </w:p>
        </w:tc>
        <w:tc>
          <w:tcPr>
            <w:tcW w:w="310" w:type="dxa"/>
            <w:vAlign w:val="bottom"/>
            <w:shd w:val="clear" w:color="auto" w:fill="004054"/>
          </w:tcPr>
          <w:p>
            <w:pPr>
              <w:spacing w:after="0"/>
              <w:rPr>
                <w:sz w:val="17"/>
                <w:szCs w:val="17"/>
                <w:color w:val="auto"/>
              </w:rPr>
            </w:pPr>
          </w:p>
        </w:tc>
        <w:tc>
          <w:tcPr>
            <w:tcW w:w="2220" w:type="dxa"/>
            <w:vAlign w:val="bottom"/>
            <w:tcBorders>
              <w:right w:val="single" w:sz="8" w:color="006880"/>
            </w:tcBorders>
            <w:gridSpan w:val="2"/>
            <w:shd w:val="clear" w:color="auto" w:fill="006880"/>
          </w:tcPr>
          <w:p>
            <w:pPr>
              <w:jc w:val="right"/>
              <w:ind w:right="181"/>
              <w:spacing w:after="0"/>
              <w:rPr>
                <w:sz w:val="20"/>
                <w:szCs w:val="20"/>
                <w:color w:val="auto"/>
              </w:rPr>
            </w:pPr>
            <w:r>
              <w:rPr>
                <w:rFonts w:ascii="Arial" w:cs="Arial" w:eastAsia="Arial" w:hAnsi="Arial"/>
                <w:sz w:val="14"/>
                <w:szCs w:val="14"/>
                <w:b w:val="1"/>
                <w:bCs w:val="1"/>
                <w:color w:val="FFFFFF"/>
              </w:rPr>
              <w:t>Value of initial fixed $100</w:t>
            </w:r>
          </w:p>
        </w:tc>
        <w:tc>
          <w:tcPr>
            <w:tcW w:w="280" w:type="dxa"/>
            <w:vAlign w:val="bottom"/>
            <w:shd w:val="clear" w:color="auto" w:fill="004054"/>
          </w:tcPr>
          <w:p>
            <w:pPr>
              <w:spacing w:after="0"/>
              <w:rPr>
                <w:sz w:val="17"/>
                <w:szCs w:val="17"/>
                <w:color w:val="auto"/>
              </w:rPr>
            </w:pPr>
          </w:p>
        </w:tc>
        <w:tc>
          <w:tcPr>
            <w:tcW w:w="940" w:type="dxa"/>
            <w:vAlign w:val="bottom"/>
            <w:shd w:val="clear" w:color="auto" w:fill="004054"/>
          </w:tcPr>
          <w:p>
            <w:pPr>
              <w:spacing w:after="0"/>
              <w:rPr>
                <w:sz w:val="17"/>
                <w:szCs w:val="17"/>
                <w:color w:val="auto"/>
              </w:rPr>
            </w:pPr>
          </w:p>
        </w:tc>
        <w:tc>
          <w:tcPr>
            <w:tcW w:w="1400" w:type="dxa"/>
            <w:vAlign w:val="bottom"/>
            <w:shd w:val="clear" w:color="auto" w:fill="004054"/>
          </w:tcPr>
          <w:p>
            <w:pPr>
              <w:spacing w:after="0"/>
              <w:rPr>
                <w:sz w:val="17"/>
                <w:szCs w:val="17"/>
                <w:color w:val="auto"/>
              </w:rPr>
            </w:pPr>
          </w:p>
        </w:tc>
        <w:tc>
          <w:tcPr>
            <w:tcW w:w="20" w:type="dxa"/>
            <w:vAlign w:val="bottom"/>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20" w:type="dxa"/>
            <w:vAlign w:val="bottom"/>
            <w:shd w:val="clear" w:color="auto" w:fill="004054"/>
          </w:tcPr>
          <w:p>
            <w:pPr>
              <w:spacing w:after="0"/>
              <w:rPr>
                <w:sz w:val="14"/>
                <w:szCs w:val="14"/>
                <w:color w:val="auto"/>
              </w:rPr>
            </w:pPr>
          </w:p>
        </w:tc>
        <w:tc>
          <w:tcPr>
            <w:tcW w:w="200" w:type="dxa"/>
            <w:vAlign w:val="bottom"/>
            <w:shd w:val="clear" w:color="auto" w:fill="004054"/>
          </w:tcPr>
          <w:p>
            <w:pPr>
              <w:spacing w:after="0"/>
              <w:rPr>
                <w:sz w:val="14"/>
                <w:szCs w:val="14"/>
                <w:color w:val="auto"/>
              </w:rPr>
            </w:pPr>
          </w:p>
        </w:tc>
        <w:tc>
          <w:tcPr>
            <w:tcW w:w="1080" w:type="dxa"/>
            <w:vAlign w:val="bottom"/>
            <w:shd w:val="clear" w:color="auto" w:fill="004054"/>
          </w:tcPr>
          <w:p>
            <w:pPr>
              <w:spacing w:after="0"/>
              <w:rPr>
                <w:sz w:val="14"/>
                <w:szCs w:val="14"/>
                <w:color w:val="auto"/>
              </w:rPr>
            </w:pPr>
          </w:p>
        </w:tc>
        <w:tc>
          <w:tcPr>
            <w:tcW w:w="200" w:type="dxa"/>
            <w:vAlign w:val="bottom"/>
            <w:shd w:val="clear" w:color="auto" w:fill="004054"/>
          </w:tcPr>
          <w:p>
            <w:pPr>
              <w:spacing w:after="0"/>
              <w:rPr>
                <w:sz w:val="14"/>
                <w:szCs w:val="14"/>
                <w:color w:val="auto"/>
              </w:rPr>
            </w:pPr>
          </w:p>
        </w:tc>
        <w:tc>
          <w:tcPr>
            <w:tcW w:w="1245" w:type="dxa"/>
            <w:vAlign w:val="bottom"/>
            <w:shd w:val="clear" w:color="auto" w:fill="004054"/>
          </w:tcPr>
          <w:p>
            <w:pPr>
              <w:spacing w:after="0"/>
              <w:rPr>
                <w:sz w:val="14"/>
                <w:szCs w:val="14"/>
                <w:color w:val="auto"/>
              </w:rPr>
            </w:pPr>
          </w:p>
        </w:tc>
        <w:tc>
          <w:tcPr>
            <w:tcW w:w="375" w:type="dxa"/>
            <w:vAlign w:val="bottom"/>
            <w:shd w:val="clear" w:color="auto" w:fill="004054"/>
          </w:tcPr>
          <w:p>
            <w:pPr>
              <w:spacing w:after="0"/>
              <w:rPr>
                <w:sz w:val="14"/>
                <w:szCs w:val="14"/>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summary</w:t>
            </w:r>
          </w:p>
        </w:tc>
        <w:tc>
          <w:tcPr>
            <w:tcW w:w="220" w:type="dxa"/>
            <w:vAlign w:val="bottom"/>
            <w:shd w:val="clear" w:color="auto" w:fill="004054"/>
          </w:tcPr>
          <w:p>
            <w:pPr>
              <w:spacing w:after="0"/>
              <w:rPr>
                <w:sz w:val="14"/>
                <w:szCs w:val="14"/>
                <w:color w:val="auto"/>
              </w:rPr>
            </w:pPr>
          </w:p>
        </w:tc>
        <w:tc>
          <w:tcPr>
            <w:tcW w:w="1090" w:type="dxa"/>
            <w:vAlign w:val="bottom"/>
            <w:vMerge w:val="continue"/>
            <w:shd w:val="clear" w:color="auto" w:fill="004054"/>
          </w:tcPr>
          <w:p>
            <w:pPr>
              <w:spacing w:after="0"/>
              <w:rPr>
                <w:sz w:val="14"/>
                <w:szCs w:val="14"/>
                <w:color w:val="auto"/>
              </w:rPr>
            </w:pPr>
          </w:p>
        </w:tc>
        <w:tc>
          <w:tcPr>
            <w:tcW w:w="310" w:type="dxa"/>
            <w:vAlign w:val="bottom"/>
            <w:shd w:val="clear" w:color="auto" w:fill="004054"/>
          </w:tcPr>
          <w:p>
            <w:pPr>
              <w:spacing w:after="0"/>
              <w:rPr>
                <w:sz w:val="14"/>
                <w:szCs w:val="14"/>
                <w:color w:val="auto"/>
              </w:rPr>
            </w:pPr>
          </w:p>
        </w:tc>
        <w:tc>
          <w:tcPr>
            <w:tcW w:w="2220" w:type="dxa"/>
            <w:vAlign w:val="bottom"/>
            <w:tcBorders>
              <w:right w:val="single" w:sz="8" w:color="006880"/>
            </w:tcBorders>
            <w:gridSpan w:val="2"/>
            <w:shd w:val="clear" w:color="auto" w:fill="006880"/>
          </w:tcPr>
          <w:p>
            <w:pPr>
              <w:jc w:val="right"/>
              <w:ind w:right="301"/>
              <w:spacing w:after="0"/>
              <w:rPr>
                <w:sz w:val="20"/>
                <w:szCs w:val="20"/>
                <w:color w:val="auto"/>
              </w:rPr>
            </w:pPr>
            <w:r>
              <w:rPr>
                <w:rFonts w:ascii="Arial" w:cs="Arial" w:eastAsia="Arial" w:hAnsi="Arial"/>
                <w:sz w:val="14"/>
                <w:szCs w:val="14"/>
                <w:b w:val="1"/>
                <w:bCs w:val="1"/>
                <w:color w:val="FFFFFF"/>
              </w:rPr>
              <w:t>investment based on:</w:t>
            </w:r>
          </w:p>
        </w:tc>
        <w:tc>
          <w:tcPr>
            <w:tcW w:w="280" w:type="dxa"/>
            <w:vAlign w:val="bottom"/>
            <w:shd w:val="clear" w:color="auto" w:fill="004054"/>
          </w:tcPr>
          <w:p>
            <w:pPr>
              <w:spacing w:after="0"/>
              <w:rPr>
                <w:sz w:val="14"/>
                <w:szCs w:val="14"/>
                <w:color w:val="auto"/>
              </w:rPr>
            </w:pPr>
          </w:p>
        </w:tc>
        <w:tc>
          <w:tcPr>
            <w:tcW w:w="940" w:type="dxa"/>
            <w:vAlign w:val="bottom"/>
            <w:shd w:val="clear" w:color="auto" w:fill="004054"/>
          </w:tcPr>
          <w:p>
            <w:pPr>
              <w:spacing w:after="0"/>
              <w:rPr>
                <w:sz w:val="14"/>
                <w:szCs w:val="14"/>
                <w:color w:val="auto"/>
              </w:rPr>
            </w:pPr>
          </w:p>
        </w:tc>
        <w:tc>
          <w:tcPr>
            <w:tcW w:w="1400" w:type="dxa"/>
            <w:vAlign w:val="bottom"/>
            <w:shd w:val="clear" w:color="auto" w:fill="004054"/>
          </w:tcPr>
          <w:p>
            <w:pPr>
              <w:spacing w:after="0"/>
              <w:rPr>
                <w:sz w:val="14"/>
                <w:szCs w:val="14"/>
                <w:color w:val="auto"/>
              </w:rPr>
            </w:pPr>
          </w:p>
        </w:tc>
        <w:tc>
          <w:tcPr>
            <w:tcW w:w="2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620" w:type="dxa"/>
            <w:vAlign w:val="bottom"/>
            <w:shd w:val="clear" w:color="auto" w:fill="004054"/>
          </w:tcPr>
          <w:p>
            <w:pPr>
              <w:spacing w:after="0"/>
              <w:rPr>
                <w:sz w:val="5"/>
                <w:szCs w:val="5"/>
                <w:color w:val="auto"/>
              </w:rPr>
            </w:pPr>
          </w:p>
        </w:tc>
        <w:tc>
          <w:tcPr>
            <w:tcW w:w="200" w:type="dxa"/>
            <w:vAlign w:val="bottom"/>
            <w:shd w:val="clear" w:color="auto" w:fill="004054"/>
          </w:tcPr>
          <w:p>
            <w:pPr>
              <w:spacing w:after="0"/>
              <w:rPr>
                <w:sz w:val="5"/>
                <w:szCs w:val="5"/>
                <w:color w:val="auto"/>
              </w:rPr>
            </w:pPr>
          </w:p>
        </w:tc>
        <w:tc>
          <w:tcPr>
            <w:tcW w:w="1080" w:type="dxa"/>
            <w:vAlign w:val="bottom"/>
            <w:shd w:val="clear" w:color="auto" w:fill="004054"/>
          </w:tcPr>
          <w:p>
            <w:pPr>
              <w:spacing w:after="0"/>
              <w:rPr>
                <w:sz w:val="5"/>
                <w:szCs w:val="5"/>
                <w:color w:val="auto"/>
              </w:rPr>
            </w:pPr>
          </w:p>
        </w:tc>
        <w:tc>
          <w:tcPr>
            <w:tcW w:w="200" w:type="dxa"/>
            <w:vAlign w:val="bottom"/>
            <w:shd w:val="clear" w:color="auto" w:fill="004054"/>
          </w:tcPr>
          <w:p>
            <w:pPr>
              <w:spacing w:after="0"/>
              <w:rPr>
                <w:sz w:val="5"/>
                <w:szCs w:val="5"/>
                <w:color w:val="auto"/>
              </w:rPr>
            </w:pPr>
          </w:p>
        </w:tc>
        <w:tc>
          <w:tcPr>
            <w:tcW w:w="1245" w:type="dxa"/>
            <w:vAlign w:val="bottom"/>
            <w:shd w:val="clear" w:color="auto" w:fill="004054"/>
          </w:tcPr>
          <w:p>
            <w:pPr>
              <w:spacing w:after="0"/>
              <w:rPr>
                <w:sz w:val="5"/>
                <w:szCs w:val="5"/>
                <w:color w:val="auto"/>
              </w:rPr>
            </w:pPr>
          </w:p>
        </w:tc>
        <w:tc>
          <w:tcPr>
            <w:tcW w:w="375" w:type="dxa"/>
            <w:vAlign w:val="bottom"/>
            <w:shd w:val="clear" w:color="auto" w:fill="004054"/>
          </w:tcPr>
          <w:p>
            <w:pPr>
              <w:spacing w:after="0"/>
              <w:rPr>
                <w:sz w:val="5"/>
                <w:szCs w:val="5"/>
                <w:color w:val="auto"/>
              </w:rPr>
            </w:pPr>
          </w:p>
        </w:tc>
        <w:tc>
          <w:tcPr>
            <w:tcW w:w="106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compensation</w:t>
            </w:r>
          </w:p>
        </w:tc>
        <w:tc>
          <w:tcPr>
            <w:tcW w:w="220" w:type="dxa"/>
            <w:vAlign w:val="bottom"/>
            <w:shd w:val="clear" w:color="auto" w:fill="004054"/>
          </w:tcPr>
          <w:p>
            <w:pPr>
              <w:spacing w:after="0"/>
              <w:rPr>
                <w:sz w:val="5"/>
                <w:szCs w:val="5"/>
                <w:color w:val="auto"/>
              </w:rPr>
            </w:pPr>
          </w:p>
        </w:tc>
        <w:tc>
          <w:tcPr>
            <w:tcW w:w="109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compensation</w:t>
            </w:r>
          </w:p>
        </w:tc>
        <w:tc>
          <w:tcPr>
            <w:tcW w:w="310" w:type="dxa"/>
            <w:vAlign w:val="bottom"/>
            <w:vMerge w:val="restart"/>
            <w:shd w:val="clear" w:color="auto" w:fill="004054"/>
          </w:tcPr>
          <w:p>
            <w:pPr>
              <w:spacing w:after="0"/>
              <w:rPr>
                <w:sz w:val="5"/>
                <w:szCs w:val="5"/>
                <w:color w:val="auto"/>
              </w:rPr>
            </w:pPr>
          </w:p>
        </w:tc>
        <w:tc>
          <w:tcPr>
            <w:tcW w:w="1100" w:type="dxa"/>
            <w:vAlign w:val="bottom"/>
            <w:shd w:val="clear" w:color="auto" w:fill="006880"/>
          </w:tcPr>
          <w:p>
            <w:pPr>
              <w:spacing w:after="0"/>
              <w:rPr>
                <w:sz w:val="5"/>
                <w:szCs w:val="5"/>
                <w:color w:val="auto"/>
              </w:rPr>
            </w:pPr>
          </w:p>
        </w:tc>
        <w:tc>
          <w:tcPr>
            <w:tcW w:w="1120" w:type="dxa"/>
            <w:vAlign w:val="bottom"/>
            <w:tcBorders>
              <w:right w:val="single" w:sz="8" w:color="006880"/>
            </w:tcBorders>
            <w:shd w:val="clear" w:color="auto" w:fill="006880"/>
          </w:tcPr>
          <w:p>
            <w:pPr>
              <w:spacing w:after="0"/>
              <w:rPr>
                <w:sz w:val="5"/>
                <w:szCs w:val="5"/>
                <w:color w:val="auto"/>
              </w:rPr>
            </w:pPr>
          </w:p>
        </w:tc>
        <w:tc>
          <w:tcPr>
            <w:tcW w:w="280" w:type="dxa"/>
            <w:vAlign w:val="bottom"/>
            <w:shd w:val="clear" w:color="auto" w:fill="004054"/>
          </w:tcPr>
          <w:p>
            <w:pPr>
              <w:spacing w:after="0"/>
              <w:rPr>
                <w:sz w:val="5"/>
                <w:szCs w:val="5"/>
                <w:color w:val="auto"/>
              </w:rPr>
            </w:pPr>
          </w:p>
        </w:tc>
        <w:tc>
          <w:tcPr>
            <w:tcW w:w="940" w:type="dxa"/>
            <w:vAlign w:val="bottom"/>
            <w:shd w:val="clear" w:color="auto" w:fill="004054"/>
          </w:tcPr>
          <w:p>
            <w:pPr>
              <w:spacing w:after="0"/>
              <w:rPr>
                <w:sz w:val="5"/>
                <w:szCs w:val="5"/>
                <w:color w:val="auto"/>
              </w:rPr>
            </w:pPr>
          </w:p>
        </w:tc>
        <w:tc>
          <w:tcPr>
            <w:tcW w:w="140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620" w:type="dxa"/>
            <w:vAlign w:val="bottom"/>
            <w:shd w:val="clear" w:color="auto" w:fill="004054"/>
          </w:tcPr>
          <w:p>
            <w:pPr>
              <w:spacing w:after="0"/>
              <w:rPr>
                <w:sz w:val="9"/>
                <w:szCs w:val="9"/>
                <w:color w:val="auto"/>
              </w:rPr>
            </w:pPr>
          </w:p>
        </w:tc>
        <w:tc>
          <w:tcPr>
            <w:tcW w:w="200" w:type="dxa"/>
            <w:vAlign w:val="bottom"/>
            <w:shd w:val="clear" w:color="auto" w:fill="004054"/>
          </w:tcPr>
          <w:p>
            <w:pPr>
              <w:spacing w:after="0"/>
              <w:rPr>
                <w:sz w:val="9"/>
                <w:szCs w:val="9"/>
                <w:color w:val="auto"/>
              </w:rPr>
            </w:pPr>
          </w:p>
        </w:tc>
        <w:tc>
          <w:tcPr>
            <w:tcW w:w="1080" w:type="dxa"/>
            <w:vAlign w:val="bottom"/>
            <w:shd w:val="clear" w:color="auto" w:fill="004054"/>
          </w:tcPr>
          <w:p>
            <w:pPr>
              <w:spacing w:after="0"/>
              <w:rPr>
                <w:sz w:val="9"/>
                <w:szCs w:val="9"/>
                <w:color w:val="auto"/>
              </w:rPr>
            </w:pPr>
          </w:p>
        </w:tc>
        <w:tc>
          <w:tcPr>
            <w:tcW w:w="200" w:type="dxa"/>
            <w:vAlign w:val="bottom"/>
            <w:shd w:val="clear" w:color="auto" w:fill="004054"/>
          </w:tcPr>
          <w:p>
            <w:pPr>
              <w:spacing w:after="0"/>
              <w:rPr>
                <w:sz w:val="9"/>
                <w:szCs w:val="9"/>
                <w:color w:val="auto"/>
              </w:rPr>
            </w:pPr>
          </w:p>
        </w:tc>
        <w:tc>
          <w:tcPr>
            <w:tcW w:w="1245" w:type="dxa"/>
            <w:vAlign w:val="bottom"/>
            <w:shd w:val="clear" w:color="auto" w:fill="004054"/>
          </w:tcPr>
          <w:p>
            <w:pPr>
              <w:spacing w:after="0"/>
              <w:rPr>
                <w:sz w:val="9"/>
                <w:szCs w:val="9"/>
                <w:color w:val="auto"/>
              </w:rPr>
            </w:pPr>
          </w:p>
        </w:tc>
        <w:tc>
          <w:tcPr>
            <w:tcW w:w="375" w:type="dxa"/>
            <w:vAlign w:val="bottom"/>
            <w:shd w:val="clear" w:color="auto" w:fill="004054"/>
          </w:tcPr>
          <w:p>
            <w:pPr>
              <w:spacing w:after="0"/>
              <w:rPr>
                <w:sz w:val="9"/>
                <w:szCs w:val="9"/>
                <w:color w:val="auto"/>
              </w:rPr>
            </w:pPr>
          </w:p>
        </w:tc>
        <w:tc>
          <w:tcPr>
            <w:tcW w:w="1060" w:type="dxa"/>
            <w:vAlign w:val="bottom"/>
            <w:vMerge w:val="continue"/>
            <w:shd w:val="clear" w:color="auto" w:fill="004054"/>
          </w:tcPr>
          <w:p>
            <w:pPr>
              <w:spacing w:after="0"/>
              <w:rPr>
                <w:sz w:val="9"/>
                <w:szCs w:val="9"/>
                <w:color w:val="auto"/>
              </w:rPr>
            </w:pPr>
          </w:p>
        </w:tc>
        <w:tc>
          <w:tcPr>
            <w:tcW w:w="220" w:type="dxa"/>
            <w:vAlign w:val="bottom"/>
            <w:shd w:val="clear" w:color="auto" w:fill="004054"/>
          </w:tcPr>
          <w:p>
            <w:pPr>
              <w:spacing w:after="0"/>
              <w:rPr>
                <w:sz w:val="9"/>
                <w:szCs w:val="9"/>
                <w:color w:val="auto"/>
              </w:rPr>
            </w:pPr>
          </w:p>
        </w:tc>
        <w:tc>
          <w:tcPr>
            <w:tcW w:w="1090" w:type="dxa"/>
            <w:vAlign w:val="bottom"/>
            <w:vMerge w:val="continue"/>
            <w:shd w:val="clear" w:color="auto" w:fill="004054"/>
          </w:tcPr>
          <w:p>
            <w:pPr>
              <w:spacing w:after="0"/>
              <w:rPr>
                <w:sz w:val="9"/>
                <w:szCs w:val="9"/>
                <w:color w:val="auto"/>
              </w:rPr>
            </w:pPr>
          </w:p>
        </w:tc>
        <w:tc>
          <w:tcPr>
            <w:tcW w:w="310" w:type="dxa"/>
            <w:vAlign w:val="bottom"/>
            <w:vMerge w:val="continue"/>
            <w:shd w:val="clear" w:color="auto" w:fill="004054"/>
          </w:tcPr>
          <w:p>
            <w:pPr>
              <w:spacing w:after="0"/>
              <w:rPr>
                <w:sz w:val="9"/>
                <w:szCs w:val="9"/>
                <w:color w:val="auto"/>
              </w:rPr>
            </w:pPr>
          </w:p>
        </w:tc>
        <w:tc>
          <w:tcPr>
            <w:tcW w:w="1100" w:type="dxa"/>
            <w:vAlign w:val="bottom"/>
            <w:shd w:val="clear" w:color="auto" w:fill="004054"/>
          </w:tcPr>
          <w:p>
            <w:pPr>
              <w:spacing w:after="0"/>
              <w:rPr>
                <w:sz w:val="9"/>
                <w:szCs w:val="9"/>
                <w:color w:val="auto"/>
              </w:rPr>
            </w:pPr>
          </w:p>
        </w:tc>
        <w:tc>
          <w:tcPr>
            <w:tcW w:w="1120" w:type="dxa"/>
            <w:vAlign w:val="bottom"/>
            <w:tcBorders>
              <w:right w:val="single" w:sz="8" w:color="006880"/>
            </w:tcBorders>
            <w:shd w:val="clear" w:color="auto" w:fill="004054"/>
          </w:tcPr>
          <w:p>
            <w:pPr>
              <w:spacing w:after="0"/>
              <w:rPr>
                <w:sz w:val="9"/>
                <w:szCs w:val="9"/>
                <w:color w:val="auto"/>
              </w:rPr>
            </w:pPr>
          </w:p>
        </w:tc>
        <w:tc>
          <w:tcPr>
            <w:tcW w:w="280" w:type="dxa"/>
            <w:vAlign w:val="bottom"/>
            <w:shd w:val="clear" w:color="auto" w:fill="004054"/>
          </w:tcPr>
          <w:p>
            <w:pPr>
              <w:spacing w:after="0"/>
              <w:rPr>
                <w:sz w:val="9"/>
                <w:szCs w:val="9"/>
                <w:color w:val="auto"/>
              </w:rPr>
            </w:pPr>
          </w:p>
        </w:tc>
        <w:tc>
          <w:tcPr>
            <w:tcW w:w="940" w:type="dxa"/>
            <w:vAlign w:val="bottom"/>
            <w:shd w:val="clear" w:color="auto" w:fill="004054"/>
          </w:tcPr>
          <w:p>
            <w:pPr>
              <w:spacing w:after="0"/>
              <w:rPr>
                <w:sz w:val="9"/>
                <w:szCs w:val="9"/>
                <w:color w:val="auto"/>
              </w:rPr>
            </w:pPr>
          </w:p>
        </w:tc>
        <w:tc>
          <w:tcPr>
            <w:tcW w:w="1400" w:type="dxa"/>
            <w:vAlign w:val="bottom"/>
            <w:shd w:val="clear" w:color="auto" w:fill="004054"/>
          </w:tcPr>
          <w:p>
            <w:pPr>
              <w:spacing w:after="0"/>
              <w:rPr>
                <w:sz w:val="9"/>
                <w:szCs w:val="9"/>
                <w:color w:val="auto"/>
              </w:rPr>
            </w:pPr>
          </w:p>
        </w:tc>
        <w:tc>
          <w:tcPr>
            <w:tcW w:w="20" w:type="dxa"/>
            <w:vAlign w:val="bottom"/>
            <w:shd w:val="clear" w:color="auto" w:fill="004054"/>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620" w:type="dxa"/>
            <w:vAlign w:val="bottom"/>
            <w:shd w:val="clear" w:color="auto" w:fill="004054"/>
          </w:tcPr>
          <w:p>
            <w:pPr>
              <w:spacing w:after="0"/>
              <w:rPr>
                <w:sz w:val="15"/>
                <w:szCs w:val="15"/>
                <w:color w:val="auto"/>
              </w:rPr>
            </w:pPr>
          </w:p>
        </w:tc>
        <w:tc>
          <w:tcPr>
            <w:tcW w:w="200" w:type="dxa"/>
            <w:vAlign w:val="bottom"/>
            <w:shd w:val="clear" w:color="auto" w:fill="004054"/>
          </w:tcPr>
          <w:p>
            <w:pPr>
              <w:spacing w:after="0"/>
              <w:rPr>
                <w:sz w:val="15"/>
                <w:szCs w:val="15"/>
                <w:color w:val="auto"/>
              </w:rPr>
            </w:pPr>
          </w:p>
        </w:tc>
        <w:tc>
          <w:tcPr>
            <w:tcW w:w="1080" w:type="dxa"/>
            <w:vAlign w:val="bottom"/>
            <w:shd w:val="clear" w:color="auto" w:fill="004054"/>
          </w:tcPr>
          <w:p>
            <w:pPr>
              <w:spacing w:after="0"/>
              <w:rPr>
                <w:sz w:val="15"/>
                <w:szCs w:val="15"/>
                <w:color w:val="auto"/>
              </w:rPr>
            </w:pPr>
          </w:p>
        </w:tc>
        <w:tc>
          <w:tcPr>
            <w:tcW w:w="200" w:type="dxa"/>
            <w:vAlign w:val="bottom"/>
            <w:shd w:val="clear" w:color="auto" w:fill="004054"/>
          </w:tcPr>
          <w:p>
            <w:pPr>
              <w:spacing w:after="0"/>
              <w:rPr>
                <w:sz w:val="15"/>
                <w:szCs w:val="15"/>
                <w:color w:val="auto"/>
              </w:rPr>
            </w:pPr>
          </w:p>
        </w:tc>
        <w:tc>
          <w:tcPr>
            <w:tcW w:w="1245" w:type="dxa"/>
            <w:vAlign w:val="bottom"/>
            <w:shd w:val="clear" w:color="auto" w:fill="004054"/>
          </w:tcPr>
          <w:p>
            <w:pPr>
              <w:spacing w:after="0"/>
              <w:rPr>
                <w:sz w:val="15"/>
                <w:szCs w:val="15"/>
                <w:color w:val="auto"/>
              </w:rPr>
            </w:pPr>
          </w:p>
        </w:tc>
        <w:tc>
          <w:tcPr>
            <w:tcW w:w="375" w:type="dxa"/>
            <w:vAlign w:val="bottom"/>
            <w:shd w:val="clear" w:color="auto" w:fill="004054"/>
          </w:tcPr>
          <w:p>
            <w:pPr>
              <w:spacing w:after="0"/>
              <w:rPr>
                <w:sz w:val="15"/>
                <w:szCs w:val="15"/>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table total for</w:t>
            </w:r>
          </w:p>
        </w:tc>
        <w:tc>
          <w:tcPr>
            <w:tcW w:w="220" w:type="dxa"/>
            <w:vAlign w:val="bottom"/>
            <w:shd w:val="clear" w:color="auto" w:fill="004054"/>
          </w:tcPr>
          <w:p>
            <w:pPr>
              <w:spacing w:after="0"/>
              <w:rPr>
                <w:sz w:val="15"/>
                <w:szCs w:val="15"/>
                <w:color w:val="auto"/>
              </w:rPr>
            </w:pPr>
          </w:p>
        </w:tc>
        <w:tc>
          <w:tcPr>
            <w:tcW w:w="109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actually paid</w:t>
            </w:r>
          </w:p>
        </w:tc>
        <w:tc>
          <w:tcPr>
            <w:tcW w:w="310" w:type="dxa"/>
            <w:vAlign w:val="bottom"/>
            <w:shd w:val="clear" w:color="auto" w:fill="004054"/>
          </w:tcPr>
          <w:p>
            <w:pPr>
              <w:spacing w:after="0"/>
              <w:rPr>
                <w:sz w:val="15"/>
                <w:szCs w:val="15"/>
                <w:color w:val="auto"/>
              </w:rPr>
            </w:pPr>
          </w:p>
        </w:tc>
        <w:tc>
          <w:tcPr>
            <w:tcW w:w="1100" w:type="dxa"/>
            <w:vAlign w:val="bottom"/>
            <w:shd w:val="clear" w:color="auto" w:fill="004054"/>
          </w:tcPr>
          <w:p>
            <w:pPr>
              <w:spacing w:after="0"/>
              <w:rPr>
                <w:sz w:val="15"/>
                <w:szCs w:val="15"/>
                <w:color w:val="auto"/>
              </w:rPr>
            </w:pPr>
          </w:p>
        </w:tc>
        <w:tc>
          <w:tcPr>
            <w:tcW w:w="1120" w:type="dxa"/>
            <w:vAlign w:val="bottom"/>
            <w:tcBorders>
              <w:right w:val="single" w:sz="8" w:color="006880"/>
            </w:tcBorders>
            <w:shd w:val="clear" w:color="auto" w:fill="004054"/>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940" w:type="dxa"/>
            <w:vAlign w:val="bottom"/>
            <w:shd w:val="clear" w:color="auto" w:fill="004054"/>
          </w:tcPr>
          <w:p>
            <w:pPr>
              <w:spacing w:after="0"/>
              <w:rPr>
                <w:sz w:val="15"/>
                <w:szCs w:val="15"/>
                <w:color w:val="auto"/>
              </w:rPr>
            </w:pPr>
          </w:p>
        </w:tc>
        <w:tc>
          <w:tcPr>
            <w:tcW w:w="140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20" w:type="dxa"/>
            <w:vAlign w:val="bottom"/>
            <w:shd w:val="clear" w:color="auto" w:fill="004054"/>
          </w:tcPr>
          <w:p>
            <w:pPr>
              <w:spacing w:after="0"/>
              <w:rPr>
                <w:sz w:val="14"/>
                <w:szCs w:val="14"/>
                <w:color w:val="auto"/>
              </w:rPr>
            </w:pPr>
          </w:p>
        </w:tc>
        <w:tc>
          <w:tcPr>
            <w:tcW w:w="200" w:type="dxa"/>
            <w:vAlign w:val="bottom"/>
            <w:shd w:val="clear" w:color="auto" w:fill="004054"/>
          </w:tcPr>
          <w:p>
            <w:pPr>
              <w:spacing w:after="0"/>
              <w:rPr>
                <w:sz w:val="14"/>
                <w:szCs w:val="14"/>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Summary</w:t>
            </w:r>
          </w:p>
        </w:tc>
        <w:tc>
          <w:tcPr>
            <w:tcW w:w="200" w:type="dxa"/>
            <w:vAlign w:val="bottom"/>
            <w:shd w:val="clear" w:color="auto" w:fill="004054"/>
          </w:tcPr>
          <w:p>
            <w:pPr>
              <w:spacing w:after="0"/>
              <w:rPr>
                <w:sz w:val="14"/>
                <w:szCs w:val="14"/>
                <w:color w:val="auto"/>
              </w:rPr>
            </w:pPr>
          </w:p>
        </w:tc>
        <w:tc>
          <w:tcPr>
            <w:tcW w:w="1245" w:type="dxa"/>
            <w:vAlign w:val="bottom"/>
            <w:shd w:val="clear" w:color="auto" w:fill="004054"/>
          </w:tcPr>
          <w:p>
            <w:pPr>
              <w:spacing w:after="0"/>
              <w:rPr>
                <w:sz w:val="14"/>
                <w:szCs w:val="14"/>
                <w:color w:val="auto"/>
              </w:rPr>
            </w:pPr>
          </w:p>
        </w:tc>
        <w:tc>
          <w:tcPr>
            <w:tcW w:w="375" w:type="dxa"/>
            <w:vAlign w:val="bottom"/>
            <w:shd w:val="clear" w:color="auto" w:fill="004054"/>
          </w:tcPr>
          <w:p>
            <w:pPr>
              <w:spacing w:after="0"/>
              <w:rPr>
                <w:sz w:val="14"/>
                <w:szCs w:val="14"/>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non-PEO</w:t>
            </w:r>
          </w:p>
        </w:tc>
        <w:tc>
          <w:tcPr>
            <w:tcW w:w="220" w:type="dxa"/>
            <w:vAlign w:val="bottom"/>
            <w:shd w:val="clear" w:color="auto" w:fill="004054"/>
          </w:tcPr>
          <w:p>
            <w:pPr>
              <w:spacing w:after="0"/>
              <w:rPr>
                <w:sz w:val="14"/>
                <w:szCs w:val="14"/>
                <w:color w:val="auto"/>
              </w:rPr>
            </w:pPr>
          </w:p>
        </w:tc>
        <w:tc>
          <w:tcPr>
            <w:tcW w:w="109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to non-PEO</w:t>
            </w:r>
          </w:p>
        </w:tc>
        <w:tc>
          <w:tcPr>
            <w:tcW w:w="310" w:type="dxa"/>
            <w:vAlign w:val="bottom"/>
            <w:shd w:val="clear" w:color="auto" w:fill="004054"/>
          </w:tcPr>
          <w:p>
            <w:pPr>
              <w:spacing w:after="0"/>
              <w:rPr>
                <w:sz w:val="14"/>
                <w:szCs w:val="14"/>
                <w:color w:val="auto"/>
              </w:rPr>
            </w:pPr>
          </w:p>
        </w:tc>
        <w:tc>
          <w:tcPr>
            <w:tcW w:w="1100" w:type="dxa"/>
            <w:vAlign w:val="bottom"/>
            <w:shd w:val="clear" w:color="auto" w:fill="004054"/>
          </w:tcPr>
          <w:p>
            <w:pPr>
              <w:spacing w:after="0"/>
              <w:rPr>
                <w:sz w:val="14"/>
                <w:szCs w:val="14"/>
                <w:color w:val="auto"/>
              </w:rPr>
            </w:pPr>
          </w:p>
        </w:tc>
        <w:tc>
          <w:tcPr>
            <w:tcW w:w="1120" w:type="dxa"/>
            <w:vAlign w:val="bottom"/>
            <w:tcBorders>
              <w:right w:val="single" w:sz="8" w:color="006880"/>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Peer group</w:t>
            </w:r>
          </w:p>
        </w:tc>
        <w:tc>
          <w:tcPr>
            <w:tcW w:w="280" w:type="dxa"/>
            <w:vAlign w:val="bottom"/>
            <w:shd w:val="clear" w:color="auto" w:fill="004054"/>
          </w:tcPr>
          <w:p>
            <w:pPr>
              <w:spacing w:after="0"/>
              <w:rPr>
                <w:sz w:val="14"/>
                <w:szCs w:val="14"/>
                <w:color w:val="auto"/>
              </w:rPr>
            </w:pPr>
          </w:p>
        </w:tc>
        <w:tc>
          <w:tcPr>
            <w:tcW w:w="940" w:type="dxa"/>
            <w:vAlign w:val="bottom"/>
            <w:shd w:val="clear" w:color="auto" w:fill="004054"/>
          </w:tcPr>
          <w:p>
            <w:pPr>
              <w:spacing w:after="0"/>
              <w:rPr>
                <w:sz w:val="14"/>
                <w:szCs w:val="14"/>
                <w:color w:val="auto"/>
              </w:rPr>
            </w:pPr>
          </w:p>
        </w:tc>
        <w:tc>
          <w:tcPr>
            <w:tcW w:w="1400" w:type="dxa"/>
            <w:vAlign w:val="bottom"/>
            <w:shd w:val="clear" w:color="auto" w:fill="004054"/>
          </w:tcPr>
          <w:p>
            <w:pPr>
              <w:spacing w:after="0"/>
              <w:rPr>
                <w:sz w:val="14"/>
                <w:szCs w:val="14"/>
                <w:color w:val="auto"/>
              </w:rPr>
            </w:pPr>
          </w:p>
        </w:tc>
        <w:tc>
          <w:tcPr>
            <w:tcW w:w="2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20" w:type="dxa"/>
            <w:vAlign w:val="bottom"/>
            <w:shd w:val="clear" w:color="auto" w:fill="004054"/>
          </w:tcPr>
          <w:p>
            <w:pPr>
              <w:spacing w:after="0"/>
              <w:rPr>
                <w:sz w:val="15"/>
                <w:szCs w:val="15"/>
                <w:color w:val="auto"/>
              </w:rPr>
            </w:pPr>
          </w:p>
        </w:tc>
        <w:tc>
          <w:tcPr>
            <w:tcW w:w="20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compensation</w:t>
            </w:r>
          </w:p>
        </w:tc>
        <w:tc>
          <w:tcPr>
            <w:tcW w:w="200" w:type="dxa"/>
            <w:vAlign w:val="bottom"/>
            <w:shd w:val="clear" w:color="auto" w:fill="004054"/>
          </w:tcPr>
          <w:p>
            <w:pPr>
              <w:spacing w:after="0"/>
              <w:rPr>
                <w:sz w:val="15"/>
                <w:szCs w:val="15"/>
                <w:color w:val="auto"/>
              </w:rPr>
            </w:pPr>
          </w:p>
        </w:tc>
        <w:tc>
          <w:tcPr>
            <w:tcW w:w="1245" w:type="dxa"/>
            <w:vAlign w:val="bottom"/>
            <w:shd w:val="clear" w:color="auto" w:fill="004054"/>
          </w:tcPr>
          <w:p>
            <w:pPr>
              <w:jc w:val="right"/>
              <w:ind w:right="105"/>
              <w:spacing w:after="0"/>
              <w:rPr>
                <w:sz w:val="20"/>
                <w:szCs w:val="20"/>
                <w:color w:val="auto"/>
              </w:rPr>
            </w:pPr>
            <w:r>
              <w:rPr>
                <w:rFonts w:ascii="Arial" w:cs="Arial" w:eastAsia="Arial" w:hAnsi="Arial"/>
                <w:sz w:val="14"/>
                <w:szCs w:val="14"/>
                <w:b w:val="1"/>
                <w:bCs w:val="1"/>
                <w:color w:val="FFFFFF"/>
              </w:rPr>
              <w:t>Compensation</w:t>
            </w:r>
          </w:p>
        </w:tc>
        <w:tc>
          <w:tcPr>
            <w:tcW w:w="375" w:type="dxa"/>
            <w:vAlign w:val="bottom"/>
            <w:shd w:val="clear" w:color="auto" w:fill="004054"/>
          </w:tcPr>
          <w:p>
            <w:pPr>
              <w:spacing w:after="0"/>
              <w:rPr>
                <w:sz w:val="15"/>
                <w:szCs w:val="15"/>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named</w:t>
            </w:r>
          </w:p>
        </w:tc>
        <w:tc>
          <w:tcPr>
            <w:tcW w:w="220" w:type="dxa"/>
            <w:vAlign w:val="bottom"/>
            <w:shd w:val="clear" w:color="auto" w:fill="004054"/>
          </w:tcPr>
          <w:p>
            <w:pPr>
              <w:spacing w:after="0"/>
              <w:rPr>
                <w:sz w:val="15"/>
                <w:szCs w:val="15"/>
                <w:color w:val="auto"/>
              </w:rPr>
            </w:pPr>
          </w:p>
        </w:tc>
        <w:tc>
          <w:tcPr>
            <w:tcW w:w="109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named</w:t>
            </w:r>
          </w:p>
        </w:tc>
        <w:tc>
          <w:tcPr>
            <w:tcW w:w="310" w:type="dxa"/>
            <w:vAlign w:val="bottom"/>
            <w:shd w:val="clear" w:color="auto" w:fill="004054"/>
          </w:tcPr>
          <w:p>
            <w:pPr>
              <w:spacing w:after="0"/>
              <w:rPr>
                <w:sz w:val="15"/>
                <w:szCs w:val="15"/>
                <w:color w:val="auto"/>
              </w:rPr>
            </w:pPr>
          </w:p>
        </w:tc>
        <w:tc>
          <w:tcPr>
            <w:tcW w:w="11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1120" w:type="dxa"/>
            <w:vAlign w:val="bottom"/>
            <w:tcBorders>
              <w:right w:val="single" w:sz="8" w:color="006880"/>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280" w:type="dxa"/>
            <w:vAlign w:val="bottom"/>
            <w:shd w:val="clear" w:color="auto" w:fill="004054"/>
          </w:tcPr>
          <w:p>
            <w:pPr>
              <w:spacing w:after="0"/>
              <w:rPr>
                <w:sz w:val="15"/>
                <w:szCs w:val="15"/>
                <w:color w:val="auto"/>
              </w:rPr>
            </w:pPr>
          </w:p>
        </w:tc>
        <w:tc>
          <w:tcPr>
            <w:tcW w:w="9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Net income</w:t>
            </w:r>
          </w:p>
        </w:tc>
        <w:tc>
          <w:tcPr>
            <w:tcW w:w="140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20" w:type="dxa"/>
            <w:vAlign w:val="bottom"/>
            <w:shd w:val="clear" w:color="auto" w:fill="004054"/>
          </w:tcPr>
          <w:p>
            <w:pPr>
              <w:spacing w:after="0"/>
              <w:rPr>
                <w:sz w:val="15"/>
                <w:szCs w:val="15"/>
                <w:color w:val="auto"/>
              </w:rPr>
            </w:pPr>
          </w:p>
        </w:tc>
        <w:tc>
          <w:tcPr>
            <w:tcW w:w="20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table total for</w:t>
            </w:r>
          </w:p>
        </w:tc>
        <w:tc>
          <w:tcPr>
            <w:tcW w:w="200" w:type="dxa"/>
            <w:vAlign w:val="bottom"/>
            <w:shd w:val="clear" w:color="auto" w:fill="004054"/>
          </w:tcPr>
          <w:p>
            <w:pPr>
              <w:spacing w:after="0"/>
              <w:rPr>
                <w:sz w:val="15"/>
                <w:szCs w:val="15"/>
                <w:color w:val="auto"/>
              </w:rPr>
            </w:pPr>
          </w:p>
        </w:tc>
        <w:tc>
          <w:tcPr>
            <w:tcW w:w="1245" w:type="dxa"/>
            <w:vAlign w:val="bottom"/>
            <w:shd w:val="clear" w:color="auto" w:fill="004054"/>
          </w:tcPr>
          <w:p>
            <w:pPr>
              <w:jc w:val="right"/>
              <w:ind w:right="105"/>
              <w:spacing w:after="0"/>
              <w:rPr>
                <w:sz w:val="20"/>
                <w:szCs w:val="20"/>
                <w:color w:val="auto"/>
              </w:rPr>
            </w:pPr>
            <w:r>
              <w:rPr>
                <w:rFonts w:ascii="Arial" w:cs="Arial" w:eastAsia="Arial" w:hAnsi="Arial"/>
                <w:sz w:val="14"/>
                <w:szCs w:val="14"/>
                <w:b w:val="1"/>
                <w:bCs w:val="1"/>
                <w:color w:val="FFFFFF"/>
              </w:rPr>
              <w:t>actually paid</w:t>
            </w:r>
          </w:p>
        </w:tc>
        <w:tc>
          <w:tcPr>
            <w:tcW w:w="375" w:type="dxa"/>
            <w:vAlign w:val="bottom"/>
            <w:shd w:val="clear" w:color="auto" w:fill="004054"/>
          </w:tcPr>
          <w:p>
            <w:pPr>
              <w:spacing w:after="0"/>
              <w:rPr>
                <w:sz w:val="15"/>
                <w:szCs w:val="15"/>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executive</w:t>
            </w:r>
          </w:p>
        </w:tc>
        <w:tc>
          <w:tcPr>
            <w:tcW w:w="220" w:type="dxa"/>
            <w:vAlign w:val="bottom"/>
            <w:shd w:val="clear" w:color="auto" w:fill="004054"/>
          </w:tcPr>
          <w:p>
            <w:pPr>
              <w:spacing w:after="0"/>
              <w:rPr>
                <w:sz w:val="15"/>
                <w:szCs w:val="15"/>
                <w:color w:val="auto"/>
              </w:rPr>
            </w:pPr>
          </w:p>
        </w:tc>
        <w:tc>
          <w:tcPr>
            <w:tcW w:w="109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executive</w:t>
            </w:r>
          </w:p>
        </w:tc>
        <w:tc>
          <w:tcPr>
            <w:tcW w:w="310" w:type="dxa"/>
            <w:vAlign w:val="bottom"/>
            <w:shd w:val="clear" w:color="auto" w:fill="004054"/>
          </w:tcPr>
          <w:p>
            <w:pPr>
              <w:spacing w:after="0"/>
              <w:rPr>
                <w:sz w:val="15"/>
                <w:szCs w:val="15"/>
                <w:color w:val="auto"/>
              </w:rPr>
            </w:pPr>
          </w:p>
        </w:tc>
        <w:tc>
          <w:tcPr>
            <w:tcW w:w="11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shareholder</w:t>
            </w:r>
          </w:p>
        </w:tc>
        <w:tc>
          <w:tcPr>
            <w:tcW w:w="1120" w:type="dxa"/>
            <w:vAlign w:val="bottom"/>
            <w:tcBorders>
              <w:right w:val="single" w:sz="8" w:color="006880"/>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shareholder</w:t>
            </w:r>
          </w:p>
        </w:tc>
        <w:tc>
          <w:tcPr>
            <w:tcW w:w="280" w:type="dxa"/>
            <w:vAlign w:val="bottom"/>
            <w:shd w:val="clear" w:color="auto" w:fill="004054"/>
          </w:tcPr>
          <w:p>
            <w:pPr>
              <w:spacing w:after="0"/>
              <w:rPr>
                <w:sz w:val="15"/>
                <w:szCs w:val="15"/>
                <w:color w:val="auto"/>
              </w:rPr>
            </w:pPr>
          </w:p>
        </w:tc>
        <w:tc>
          <w:tcPr>
            <w:tcW w:w="9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(loss)</w:t>
            </w:r>
          </w:p>
        </w:tc>
        <w:tc>
          <w:tcPr>
            <w:tcW w:w="140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Year</w:t>
            </w:r>
          </w:p>
        </w:tc>
        <w:tc>
          <w:tcPr>
            <w:tcW w:w="200" w:type="dxa"/>
            <w:vAlign w:val="bottom"/>
            <w:tcBorders>
              <w:bottom w:val="single" w:sz="8" w:color="004054"/>
            </w:tcBorders>
            <w:shd w:val="clear" w:color="auto" w:fill="004054"/>
          </w:tcPr>
          <w:p>
            <w:pPr>
              <w:spacing w:after="0"/>
              <w:rPr>
                <w:sz w:val="18"/>
                <w:szCs w:val="18"/>
                <w:color w:val="auto"/>
              </w:rPr>
            </w:pPr>
          </w:p>
        </w:tc>
        <w:tc>
          <w:tcPr>
            <w:tcW w:w="1080" w:type="dxa"/>
            <w:vAlign w:val="bottom"/>
            <w:tcBorders>
              <w:bottom w:val="single" w:sz="8" w:color="004054"/>
            </w:tcBorders>
            <w:shd w:val="clear" w:color="auto" w:fill="004054"/>
          </w:tcPr>
          <w:p>
            <w:pPr>
              <w:jc w:val="right"/>
              <w:spacing w:after="0" w:line="214" w:lineRule="exact"/>
              <w:rPr>
                <w:sz w:val="20"/>
                <w:szCs w:val="20"/>
                <w:color w:val="auto"/>
              </w:rPr>
            </w:pPr>
            <w:r>
              <w:rPr>
                <w:rFonts w:ascii="Arial" w:cs="Arial" w:eastAsia="Arial" w:hAnsi="Arial"/>
                <w:sz w:val="24"/>
                <w:szCs w:val="24"/>
                <w:b w:val="1"/>
                <w:bCs w:val="1"/>
                <w:color w:val="FFFFFF"/>
                <w:vertAlign w:val="subscript"/>
              </w:rPr>
              <w:t>PEO</w:t>
            </w:r>
            <w:r>
              <w:rPr>
                <w:rFonts w:ascii="Arial" w:cs="Arial" w:eastAsia="Arial" w:hAnsi="Arial"/>
                <w:sz w:val="9"/>
                <w:szCs w:val="9"/>
                <w:b w:val="1"/>
                <w:bCs w:val="1"/>
                <w:color w:val="FFFFFF"/>
              </w:rPr>
              <w:t>(1)</w:t>
            </w:r>
          </w:p>
        </w:tc>
        <w:tc>
          <w:tcPr>
            <w:tcW w:w="200" w:type="dxa"/>
            <w:vAlign w:val="bottom"/>
            <w:tcBorders>
              <w:bottom w:val="single" w:sz="8" w:color="004054"/>
            </w:tcBorders>
            <w:shd w:val="clear" w:color="auto" w:fill="004054"/>
          </w:tcPr>
          <w:p>
            <w:pPr>
              <w:spacing w:after="0"/>
              <w:rPr>
                <w:sz w:val="18"/>
                <w:szCs w:val="18"/>
                <w:color w:val="auto"/>
              </w:rPr>
            </w:pPr>
          </w:p>
        </w:tc>
        <w:tc>
          <w:tcPr>
            <w:tcW w:w="1245" w:type="dxa"/>
            <w:vAlign w:val="bottom"/>
            <w:tcBorders>
              <w:bottom w:val="single" w:sz="8" w:color="004054"/>
            </w:tcBorders>
            <w:shd w:val="clear" w:color="auto" w:fill="004054"/>
          </w:tcPr>
          <w:p>
            <w:pPr>
              <w:jc w:val="right"/>
              <w:ind w:right="105"/>
              <w:spacing w:after="0" w:line="214" w:lineRule="exact"/>
              <w:rPr>
                <w:sz w:val="20"/>
                <w:szCs w:val="20"/>
                <w:color w:val="auto"/>
              </w:rPr>
            </w:pPr>
            <w:r>
              <w:rPr>
                <w:rFonts w:ascii="Arial" w:cs="Arial" w:eastAsia="Arial" w:hAnsi="Arial"/>
                <w:sz w:val="24"/>
                <w:szCs w:val="24"/>
                <w:b w:val="1"/>
                <w:bCs w:val="1"/>
                <w:color w:val="FFFFFF"/>
                <w:vertAlign w:val="subscript"/>
              </w:rPr>
              <w:t>to PEO</w:t>
            </w:r>
            <w:r>
              <w:rPr>
                <w:rFonts w:ascii="Arial" w:cs="Arial" w:eastAsia="Arial" w:hAnsi="Arial"/>
                <w:sz w:val="9"/>
                <w:szCs w:val="9"/>
                <w:b w:val="1"/>
                <w:bCs w:val="1"/>
                <w:color w:val="FFFFFF"/>
              </w:rPr>
              <w:t>(1)(3)</w:t>
            </w:r>
          </w:p>
        </w:tc>
        <w:tc>
          <w:tcPr>
            <w:tcW w:w="375" w:type="dxa"/>
            <w:vAlign w:val="bottom"/>
            <w:tcBorders>
              <w:bottom w:val="single" w:sz="8" w:color="004054"/>
            </w:tcBorders>
            <w:shd w:val="clear" w:color="auto" w:fill="004054"/>
          </w:tcPr>
          <w:p>
            <w:pPr>
              <w:spacing w:after="0"/>
              <w:rPr>
                <w:sz w:val="18"/>
                <w:szCs w:val="18"/>
                <w:color w:val="auto"/>
              </w:rPr>
            </w:pPr>
          </w:p>
        </w:tc>
        <w:tc>
          <w:tcPr>
            <w:tcW w:w="10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officers</w:t>
            </w:r>
            <w:r>
              <w:rPr>
                <w:rFonts w:ascii="Arial" w:cs="Arial" w:eastAsia="Arial" w:hAnsi="Arial"/>
                <w:sz w:val="18"/>
                <w:szCs w:val="18"/>
                <w:b w:val="1"/>
                <w:bCs w:val="1"/>
                <w:color w:val="FFFFFF"/>
                <w:vertAlign w:val="superscript"/>
              </w:rPr>
              <w:t>(2)</w:t>
            </w:r>
          </w:p>
        </w:tc>
        <w:tc>
          <w:tcPr>
            <w:tcW w:w="220" w:type="dxa"/>
            <w:vAlign w:val="bottom"/>
            <w:tcBorders>
              <w:bottom w:val="single" w:sz="8" w:color="004054"/>
            </w:tcBorders>
            <w:shd w:val="clear" w:color="auto" w:fill="004054"/>
          </w:tcPr>
          <w:p>
            <w:pPr>
              <w:spacing w:after="0"/>
              <w:rPr>
                <w:sz w:val="18"/>
                <w:szCs w:val="18"/>
                <w:color w:val="auto"/>
              </w:rPr>
            </w:pPr>
          </w:p>
        </w:tc>
        <w:tc>
          <w:tcPr>
            <w:tcW w:w="109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officers</w:t>
            </w:r>
            <w:r>
              <w:rPr>
                <w:rFonts w:ascii="Arial" w:cs="Arial" w:eastAsia="Arial" w:hAnsi="Arial"/>
                <w:sz w:val="18"/>
                <w:szCs w:val="18"/>
                <w:b w:val="1"/>
                <w:bCs w:val="1"/>
                <w:color w:val="FFFFFF"/>
                <w:vertAlign w:val="superscript"/>
              </w:rPr>
              <w:t>(2)(3)</w:t>
            </w:r>
          </w:p>
        </w:tc>
        <w:tc>
          <w:tcPr>
            <w:tcW w:w="310" w:type="dxa"/>
            <w:vAlign w:val="bottom"/>
            <w:tcBorders>
              <w:bottom w:val="single" w:sz="8" w:color="004054"/>
            </w:tcBorders>
            <w:shd w:val="clear" w:color="auto" w:fill="004054"/>
          </w:tcPr>
          <w:p>
            <w:pPr>
              <w:spacing w:after="0"/>
              <w:rPr>
                <w:sz w:val="18"/>
                <w:szCs w:val="18"/>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return</w:t>
            </w:r>
            <w:r>
              <w:rPr>
                <w:rFonts w:ascii="Arial" w:cs="Arial" w:eastAsia="Arial" w:hAnsi="Arial"/>
                <w:sz w:val="18"/>
                <w:szCs w:val="18"/>
                <w:b w:val="1"/>
                <w:bCs w:val="1"/>
                <w:color w:val="FFFFFF"/>
                <w:vertAlign w:val="superscript"/>
              </w:rPr>
              <w:t>(4)</w:t>
            </w:r>
          </w:p>
        </w:tc>
        <w:tc>
          <w:tcPr>
            <w:tcW w:w="1120" w:type="dxa"/>
            <w:vAlign w:val="bottom"/>
            <w:tcBorders>
              <w:bottom w:val="single" w:sz="8" w:color="004054"/>
              <w:right w:val="single" w:sz="8" w:color="006880"/>
            </w:tcBorders>
            <w:shd w:val="clear" w:color="auto" w:fill="004054"/>
          </w:tcPr>
          <w:p>
            <w:pPr>
              <w:jc w:val="right"/>
              <w:spacing w:after="0" w:line="214" w:lineRule="exact"/>
              <w:rPr>
                <w:sz w:val="20"/>
                <w:szCs w:val="20"/>
                <w:color w:val="auto"/>
              </w:rPr>
            </w:pPr>
            <w:r>
              <w:rPr>
                <w:rFonts w:ascii="Arial" w:cs="Arial" w:eastAsia="Arial" w:hAnsi="Arial"/>
                <w:sz w:val="24"/>
                <w:szCs w:val="24"/>
                <w:b w:val="1"/>
                <w:bCs w:val="1"/>
                <w:color w:val="FFFFFF"/>
                <w:vertAlign w:val="subscript"/>
              </w:rPr>
              <w:t>return</w:t>
            </w:r>
            <w:r>
              <w:rPr>
                <w:rFonts w:ascii="Arial" w:cs="Arial" w:eastAsia="Arial" w:hAnsi="Arial"/>
                <w:sz w:val="9"/>
                <w:szCs w:val="9"/>
                <w:b w:val="1"/>
                <w:bCs w:val="1"/>
                <w:color w:val="FFFFFF"/>
              </w:rPr>
              <w:t>(4)(5)</w:t>
            </w:r>
          </w:p>
        </w:tc>
        <w:tc>
          <w:tcPr>
            <w:tcW w:w="280" w:type="dxa"/>
            <w:vAlign w:val="bottom"/>
            <w:tcBorders>
              <w:bottom w:val="single" w:sz="8" w:color="004054"/>
            </w:tcBorders>
            <w:shd w:val="clear" w:color="auto" w:fill="004054"/>
          </w:tcPr>
          <w:p>
            <w:pPr>
              <w:spacing w:after="0"/>
              <w:rPr>
                <w:sz w:val="18"/>
                <w:szCs w:val="18"/>
                <w:color w:val="auto"/>
              </w:rPr>
            </w:pPr>
          </w:p>
        </w:tc>
        <w:tc>
          <w:tcPr>
            <w:tcW w:w="9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($M)</w:t>
            </w:r>
            <w:r>
              <w:rPr>
                <w:rFonts w:ascii="Arial" w:cs="Arial" w:eastAsia="Arial" w:hAnsi="Arial"/>
                <w:sz w:val="18"/>
                <w:szCs w:val="18"/>
                <w:b w:val="1"/>
                <w:bCs w:val="1"/>
                <w:color w:val="FFFFFF"/>
                <w:vertAlign w:val="superscript"/>
              </w:rPr>
              <w:t>(6)</w:t>
            </w:r>
          </w:p>
        </w:tc>
        <w:tc>
          <w:tcPr>
            <w:tcW w:w="14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Rule of 40</w:t>
            </w:r>
            <w:r>
              <w:rPr>
                <w:rFonts w:ascii="Arial" w:cs="Arial" w:eastAsia="Arial" w:hAnsi="Arial"/>
                <w:sz w:val="9"/>
                <w:szCs w:val="9"/>
                <w:b w:val="1"/>
                <w:bCs w:val="1"/>
                <w:color w:val="FFFFFF"/>
              </w:rPr>
              <w:t>(7)(8)</w:t>
            </w:r>
          </w:p>
        </w:tc>
        <w:tc>
          <w:tcPr>
            <w:tcW w:w="20" w:type="dxa"/>
            <w:vAlign w:val="bottom"/>
            <w:tcBorders>
              <w:bottom w:val="single" w:sz="8" w:color="004054"/>
            </w:tcBorders>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62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2025</w:t>
            </w:r>
          </w:p>
        </w:tc>
        <w:tc>
          <w:tcPr>
            <w:tcW w:w="200" w:type="dxa"/>
            <w:vAlign w:val="bottom"/>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080" w:type="dxa"/>
            <w:vAlign w:val="bottom"/>
            <w:shd w:val="clear" w:color="auto" w:fill="EBFBFF"/>
          </w:tcPr>
          <w:p>
            <w:pPr>
              <w:jc w:val="right"/>
              <w:ind w:right="1"/>
              <w:spacing w:after="0"/>
              <w:rPr>
                <w:sz w:val="20"/>
                <w:szCs w:val="20"/>
                <w:color w:val="auto"/>
              </w:rPr>
            </w:pPr>
            <w:r>
              <w:rPr>
                <w:rFonts w:ascii="Arial" w:cs="Arial" w:eastAsia="Arial" w:hAnsi="Arial"/>
                <w:sz w:val="18"/>
                <w:szCs w:val="18"/>
                <w:color w:val="51555C"/>
              </w:rPr>
              <w:t>6,022,250</w:t>
            </w:r>
          </w:p>
        </w:tc>
        <w:tc>
          <w:tcPr>
            <w:tcW w:w="200" w:type="dxa"/>
            <w:vAlign w:val="bottom"/>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245" w:type="dxa"/>
            <w:vAlign w:val="bottom"/>
            <w:shd w:val="clear" w:color="auto" w:fill="EBFBFF"/>
          </w:tcPr>
          <w:p>
            <w:pPr>
              <w:jc w:val="right"/>
              <w:ind w:right="165"/>
              <w:spacing w:after="0"/>
              <w:rPr>
                <w:sz w:val="20"/>
                <w:szCs w:val="20"/>
                <w:color w:val="auto"/>
              </w:rPr>
            </w:pPr>
            <w:r>
              <w:rPr>
                <w:rFonts w:ascii="Arial" w:cs="Arial" w:eastAsia="Arial" w:hAnsi="Arial"/>
                <w:sz w:val="18"/>
                <w:szCs w:val="18"/>
                <w:color w:val="51555C"/>
              </w:rPr>
              <w:t>3,844,890</w:t>
            </w:r>
          </w:p>
        </w:tc>
        <w:tc>
          <w:tcPr>
            <w:tcW w:w="375" w:type="dxa"/>
            <w:vAlign w:val="bottom"/>
            <w:shd w:val="clear" w:color="auto" w:fill="EBFBFF"/>
          </w:tcPr>
          <w:p>
            <w:pPr>
              <w:jc w:val="right"/>
              <w:ind w:right="10"/>
              <w:spacing w:after="0"/>
              <w:rPr>
                <w:sz w:val="20"/>
                <w:szCs w:val="20"/>
                <w:color w:val="auto"/>
              </w:rPr>
            </w:pPr>
            <w:r>
              <w:rPr>
                <w:rFonts w:ascii="Arial" w:cs="Arial" w:eastAsia="Arial" w:hAnsi="Arial"/>
                <w:sz w:val="18"/>
                <w:szCs w:val="18"/>
                <w:color w:val="51555C"/>
              </w:rPr>
              <w:t>$</w:t>
            </w:r>
          </w:p>
        </w:tc>
        <w:tc>
          <w:tcPr>
            <w:tcW w:w="10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3,150,303</w:t>
            </w:r>
          </w:p>
        </w:tc>
        <w:tc>
          <w:tcPr>
            <w:tcW w:w="220" w:type="dxa"/>
            <w:vAlign w:val="bottom"/>
            <w:shd w:val="clear" w:color="auto" w:fill="EBFBFF"/>
          </w:tcPr>
          <w:p>
            <w:pPr>
              <w:jc w:val="right"/>
              <w:ind w:right="10"/>
              <w:spacing w:after="0"/>
              <w:rPr>
                <w:sz w:val="20"/>
                <w:szCs w:val="20"/>
                <w:color w:val="auto"/>
              </w:rPr>
            </w:pPr>
            <w:r>
              <w:rPr>
                <w:rFonts w:ascii="Arial" w:cs="Arial" w:eastAsia="Arial" w:hAnsi="Arial"/>
                <w:sz w:val="18"/>
                <w:szCs w:val="18"/>
                <w:color w:val="51555C"/>
                <w:w w:val="99"/>
              </w:rPr>
              <w:t>$</w:t>
            </w:r>
          </w:p>
        </w:tc>
        <w:tc>
          <w:tcPr>
            <w:tcW w:w="1090" w:type="dxa"/>
            <w:vAlign w:val="bottom"/>
            <w:shd w:val="clear" w:color="auto" w:fill="EBFBFF"/>
          </w:tcPr>
          <w:p>
            <w:pPr>
              <w:jc w:val="right"/>
              <w:ind w:right="11"/>
              <w:spacing w:after="0"/>
              <w:rPr>
                <w:sz w:val="20"/>
                <w:szCs w:val="20"/>
                <w:color w:val="auto"/>
              </w:rPr>
            </w:pPr>
            <w:r>
              <w:rPr>
                <w:rFonts w:ascii="Arial" w:cs="Arial" w:eastAsia="Arial" w:hAnsi="Arial"/>
                <w:sz w:val="18"/>
                <w:szCs w:val="18"/>
                <w:color w:val="51555C"/>
              </w:rPr>
              <w:t>2,449,737</w:t>
            </w:r>
          </w:p>
        </w:tc>
        <w:tc>
          <w:tcPr>
            <w:tcW w:w="310" w:type="dxa"/>
            <w:vAlign w:val="bottom"/>
            <w:shd w:val="clear" w:color="auto" w:fill="EBFBFF"/>
          </w:tcPr>
          <w:p>
            <w:pPr>
              <w:spacing w:after="0"/>
              <w:rPr>
                <w:sz w:val="24"/>
                <w:szCs w:val="24"/>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$110.01</w:t>
            </w:r>
          </w:p>
        </w:tc>
        <w:tc>
          <w:tcPr>
            <w:tcW w:w="1120" w:type="dxa"/>
            <w:vAlign w:val="bottom"/>
            <w:tcBorders>
              <w:right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$148.53</w:t>
            </w:r>
          </w:p>
        </w:tc>
        <w:tc>
          <w:tcPr>
            <w:tcW w:w="280" w:type="dxa"/>
            <w:vAlign w:val="bottom"/>
            <w:shd w:val="clear" w:color="auto" w:fill="EBFBFF"/>
          </w:tcPr>
          <w:p>
            <w:pPr>
              <w:jc w:val="right"/>
              <w:ind w:right="90"/>
              <w:spacing w:after="0"/>
              <w:rPr>
                <w:sz w:val="20"/>
                <w:szCs w:val="20"/>
                <w:color w:val="auto"/>
              </w:rPr>
            </w:pPr>
            <w:r>
              <w:rPr>
                <w:rFonts w:ascii="Arial" w:cs="Arial" w:eastAsia="Arial" w:hAnsi="Arial"/>
                <w:sz w:val="18"/>
                <w:szCs w:val="18"/>
                <w:color w:val="51555C"/>
                <w:w w:val="79"/>
              </w:rPr>
              <w:t>$</w:t>
            </w:r>
          </w:p>
        </w:tc>
        <w:tc>
          <w:tcPr>
            <w:tcW w:w="9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115.0</w:t>
            </w:r>
          </w:p>
        </w:tc>
        <w:tc>
          <w:tcPr>
            <w:tcW w:w="140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41.4 %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20" w:type="dxa"/>
            <w:vAlign w:val="bottom"/>
          </w:tcPr>
          <w:p>
            <w:pPr>
              <w:ind w:left="20"/>
              <w:spacing w:after="0"/>
              <w:rPr>
                <w:sz w:val="20"/>
                <w:szCs w:val="20"/>
                <w:color w:val="auto"/>
              </w:rPr>
            </w:pPr>
            <w:r>
              <w:rPr>
                <w:rFonts w:ascii="Arial" w:cs="Arial" w:eastAsia="Arial" w:hAnsi="Arial"/>
                <w:sz w:val="18"/>
                <w:szCs w:val="18"/>
                <w:b w:val="1"/>
                <w:bCs w:val="1"/>
                <w:color w:val="51555C"/>
              </w:rPr>
              <w:t>2024</w:t>
            </w:r>
          </w:p>
        </w:tc>
        <w:tc>
          <w:tcPr>
            <w:tcW w:w="200" w:type="dxa"/>
            <w:vAlign w:val="bottom"/>
          </w:tcPr>
          <w:p>
            <w:pPr>
              <w:spacing w:after="0"/>
              <w:rPr>
                <w:sz w:val="24"/>
                <w:szCs w:val="24"/>
                <w:color w:val="auto"/>
              </w:rPr>
            </w:pPr>
          </w:p>
        </w:tc>
        <w:tc>
          <w:tcPr>
            <w:tcW w:w="1080" w:type="dxa"/>
            <w:vAlign w:val="bottom"/>
          </w:tcPr>
          <w:p>
            <w:pPr>
              <w:jc w:val="right"/>
              <w:ind w:right="1"/>
              <w:spacing w:after="0"/>
              <w:rPr>
                <w:sz w:val="20"/>
                <w:szCs w:val="20"/>
                <w:color w:val="auto"/>
              </w:rPr>
            </w:pPr>
            <w:r>
              <w:rPr>
                <w:rFonts w:ascii="Arial" w:cs="Arial" w:eastAsia="Arial" w:hAnsi="Arial"/>
                <w:sz w:val="18"/>
                <w:szCs w:val="18"/>
                <w:color w:val="51555C"/>
              </w:rPr>
              <w:t>10,225,840</w:t>
            </w:r>
          </w:p>
        </w:tc>
        <w:tc>
          <w:tcPr>
            <w:tcW w:w="200" w:type="dxa"/>
            <w:vAlign w:val="bottom"/>
          </w:tcPr>
          <w:p>
            <w:pPr>
              <w:spacing w:after="0"/>
              <w:rPr>
                <w:sz w:val="24"/>
                <w:szCs w:val="24"/>
                <w:color w:val="auto"/>
              </w:rPr>
            </w:pPr>
          </w:p>
        </w:tc>
        <w:tc>
          <w:tcPr>
            <w:tcW w:w="1245" w:type="dxa"/>
            <w:vAlign w:val="bottom"/>
          </w:tcPr>
          <w:p>
            <w:pPr>
              <w:jc w:val="right"/>
              <w:ind w:right="165"/>
              <w:spacing w:after="0"/>
              <w:rPr>
                <w:sz w:val="20"/>
                <w:szCs w:val="20"/>
                <w:color w:val="auto"/>
              </w:rPr>
            </w:pPr>
            <w:r>
              <w:rPr>
                <w:rFonts w:ascii="Arial" w:cs="Arial" w:eastAsia="Arial" w:hAnsi="Arial"/>
                <w:sz w:val="18"/>
                <w:szCs w:val="18"/>
                <w:color w:val="51555C"/>
              </w:rPr>
              <w:t>6,547,279</w:t>
            </w:r>
          </w:p>
        </w:tc>
        <w:tc>
          <w:tcPr>
            <w:tcW w:w="375"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3,354,884</w:t>
            </w:r>
          </w:p>
        </w:tc>
        <w:tc>
          <w:tcPr>
            <w:tcW w:w="220" w:type="dxa"/>
            <w:vAlign w:val="bottom"/>
          </w:tcPr>
          <w:p>
            <w:pPr>
              <w:spacing w:after="0"/>
              <w:rPr>
                <w:sz w:val="24"/>
                <w:szCs w:val="24"/>
                <w:color w:val="auto"/>
              </w:rPr>
            </w:pPr>
          </w:p>
        </w:tc>
        <w:tc>
          <w:tcPr>
            <w:tcW w:w="1090" w:type="dxa"/>
            <w:vAlign w:val="bottom"/>
          </w:tcPr>
          <w:p>
            <w:pPr>
              <w:jc w:val="right"/>
              <w:ind w:right="11"/>
              <w:spacing w:after="0"/>
              <w:rPr>
                <w:sz w:val="20"/>
                <w:szCs w:val="20"/>
                <w:color w:val="auto"/>
              </w:rPr>
            </w:pPr>
            <w:r>
              <w:rPr>
                <w:rFonts w:ascii="Arial" w:cs="Arial" w:eastAsia="Arial" w:hAnsi="Arial"/>
                <w:sz w:val="18"/>
                <w:szCs w:val="18"/>
                <w:color w:val="51555C"/>
              </w:rPr>
              <w:t>2,062,531</w:t>
            </w:r>
          </w:p>
        </w:tc>
        <w:tc>
          <w:tcPr>
            <w:tcW w:w="31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93.03</w:t>
            </w:r>
          </w:p>
        </w:tc>
        <w:tc>
          <w:tcPr>
            <w:tcW w:w="1120" w:type="dxa"/>
            <w:vAlign w:val="bottom"/>
          </w:tcPr>
          <w:p>
            <w:pPr>
              <w:jc w:val="right"/>
              <w:spacing w:after="0"/>
              <w:rPr>
                <w:sz w:val="20"/>
                <w:szCs w:val="20"/>
                <w:color w:val="auto"/>
              </w:rPr>
            </w:pPr>
            <w:r>
              <w:rPr>
                <w:rFonts w:ascii="Arial" w:cs="Arial" w:eastAsia="Arial" w:hAnsi="Arial"/>
                <w:sz w:val="18"/>
                <w:szCs w:val="18"/>
                <w:color w:val="51555C"/>
              </w:rPr>
              <w:t>211.18</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51555C"/>
              </w:rPr>
              <w:t>(283.2)</w:t>
            </w:r>
          </w:p>
        </w:tc>
        <w:tc>
          <w:tcPr>
            <w:tcW w:w="1400" w:type="dxa"/>
            <w:vAlign w:val="bottom"/>
          </w:tcPr>
          <w:p>
            <w:pPr>
              <w:jc w:val="right"/>
              <w:spacing w:after="0"/>
              <w:rPr>
                <w:sz w:val="20"/>
                <w:szCs w:val="20"/>
                <w:color w:val="auto"/>
              </w:rPr>
            </w:pPr>
            <w:r>
              <w:rPr>
                <w:rFonts w:ascii="Arial" w:cs="Arial" w:eastAsia="Arial" w:hAnsi="Arial"/>
                <w:sz w:val="18"/>
                <w:szCs w:val="18"/>
                <w:color w:val="51555C"/>
              </w:rPr>
              <w:t>38.9 %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2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2023</w:t>
            </w:r>
          </w:p>
        </w:tc>
        <w:tc>
          <w:tcPr>
            <w:tcW w:w="200" w:type="dxa"/>
            <w:vAlign w:val="bottom"/>
            <w:shd w:val="clear" w:color="auto" w:fill="EBFBFF"/>
          </w:tcPr>
          <w:p>
            <w:pPr>
              <w:spacing w:after="0"/>
              <w:rPr>
                <w:sz w:val="24"/>
                <w:szCs w:val="24"/>
                <w:color w:val="auto"/>
              </w:rPr>
            </w:pPr>
          </w:p>
        </w:tc>
        <w:tc>
          <w:tcPr>
            <w:tcW w:w="1080" w:type="dxa"/>
            <w:vAlign w:val="bottom"/>
            <w:shd w:val="clear" w:color="auto" w:fill="EBFBFF"/>
          </w:tcPr>
          <w:p>
            <w:pPr>
              <w:jc w:val="right"/>
              <w:ind w:right="1"/>
              <w:spacing w:after="0"/>
              <w:rPr>
                <w:sz w:val="20"/>
                <w:szCs w:val="20"/>
                <w:color w:val="auto"/>
              </w:rPr>
            </w:pPr>
            <w:r>
              <w:rPr>
                <w:rFonts w:ascii="Arial" w:cs="Arial" w:eastAsia="Arial" w:hAnsi="Arial"/>
                <w:sz w:val="18"/>
                <w:szCs w:val="18"/>
                <w:color w:val="51555C"/>
              </w:rPr>
              <w:t>9,596,722</w:t>
            </w:r>
          </w:p>
        </w:tc>
        <w:tc>
          <w:tcPr>
            <w:tcW w:w="200" w:type="dxa"/>
            <w:vAlign w:val="bottom"/>
            <w:shd w:val="clear" w:color="auto" w:fill="EBFBFF"/>
          </w:tcPr>
          <w:p>
            <w:pPr>
              <w:spacing w:after="0"/>
              <w:rPr>
                <w:sz w:val="24"/>
                <w:szCs w:val="24"/>
                <w:color w:val="auto"/>
              </w:rPr>
            </w:pPr>
          </w:p>
        </w:tc>
        <w:tc>
          <w:tcPr>
            <w:tcW w:w="1245" w:type="dxa"/>
            <w:vAlign w:val="bottom"/>
            <w:shd w:val="clear" w:color="auto" w:fill="EBFBFF"/>
          </w:tcPr>
          <w:p>
            <w:pPr>
              <w:jc w:val="right"/>
              <w:ind w:right="165"/>
              <w:spacing w:after="0"/>
              <w:rPr>
                <w:sz w:val="20"/>
                <w:szCs w:val="20"/>
                <w:color w:val="auto"/>
              </w:rPr>
            </w:pPr>
            <w:r>
              <w:rPr>
                <w:rFonts w:ascii="Arial" w:cs="Arial" w:eastAsia="Arial" w:hAnsi="Arial"/>
                <w:sz w:val="18"/>
                <w:szCs w:val="18"/>
                <w:color w:val="51555C"/>
              </w:rPr>
              <w:t>18,169,412</w:t>
            </w:r>
          </w:p>
        </w:tc>
        <w:tc>
          <w:tcPr>
            <w:tcW w:w="375" w:type="dxa"/>
            <w:vAlign w:val="bottom"/>
            <w:shd w:val="clear" w:color="auto" w:fill="EBFBFF"/>
          </w:tcPr>
          <w:p>
            <w:pPr>
              <w:spacing w:after="0"/>
              <w:rPr>
                <w:sz w:val="24"/>
                <w:szCs w:val="24"/>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3,627,392</w:t>
            </w:r>
          </w:p>
        </w:tc>
        <w:tc>
          <w:tcPr>
            <w:tcW w:w="220" w:type="dxa"/>
            <w:vAlign w:val="bottom"/>
            <w:shd w:val="clear" w:color="auto" w:fill="EBFBFF"/>
          </w:tcPr>
          <w:p>
            <w:pPr>
              <w:spacing w:after="0"/>
              <w:rPr>
                <w:sz w:val="24"/>
                <w:szCs w:val="24"/>
                <w:color w:val="auto"/>
              </w:rPr>
            </w:pPr>
          </w:p>
        </w:tc>
        <w:tc>
          <w:tcPr>
            <w:tcW w:w="1090" w:type="dxa"/>
            <w:vAlign w:val="bottom"/>
            <w:shd w:val="clear" w:color="auto" w:fill="EBFBFF"/>
          </w:tcPr>
          <w:p>
            <w:pPr>
              <w:jc w:val="right"/>
              <w:ind w:right="11"/>
              <w:spacing w:after="0"/>
              <w:rPr>
                <w:sz w:val="20"/>
                <w:szCs w:val="20"/>
                <w:color w:val="auto"/>
              </w:rPr>
            </w:pPr>
            <w:r>
              <w:rPr>
                <w:rFonts w:ascii="Arial" w:cs="Arial" w:eastAsia="Arial" w:hAnsi="Arial"/>
                <w:sz w:val="18"/>
                <w:szCs w:val="18"/>
                <w:color w:val="51555C"/>
              </w:rPr>
              <w:t>6,678,600</w:t>
            </w:r>
          </w:p>
        </w:tc>
        <w:tc>
          <w:tcPr>
            <w:tcW w:w="310" w:type="dxa"/>
            <w:vAlign w:val="bottom"/>
            <w:shd w:val="clear" w:color="auto" w:fill="EBFBFF"/>
          </w:tcPr>
          <w:p>
            <w:pPr>
              <w:spacing w:after="0"/>
              <w:rPr>
                <w:sz w:val="24"/>
                <w:szCs w:val="24"/>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109.11</w:t>
            </w:r>
          </w:p>
        </w:tc>
        <w:tc>
          <w:tcPr>
            <w:tcW w:w="1120" w:type="dxa"/>
            <w:vAlign w:val="bottom"/>
            <w:tcBorders>
              <w:right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153.64</w:t>
            </w:r>
          </w:p>
        </w:tc>
        <w:tc>
          <w:tcPr>
            <w:tcW w:w="280" w:type="dxa"/>
            <w:vAlign w:val="bottom"/>
            <w:shd w:val="clear" w:color="auto" w:fill="EBFBFF"/>
          </w:tcPr>
          <w:p>
            <w:pPr>
              <w:spacing w:after="0"/>
              <w:rPr>
                <w:sz w:val="24"/>
                <w:szCs w:val="24"/>
                <w:color w:val="auto"/>
              </w:rPr>
            </w:pPr>
          </w:p>
        </w:tc>
        <w:tc>
          <w:tcPr>
            <w:tcW w:w="9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1.8</w:t>
            </w:r>
          </w:p>
        </w:tc>
        <w:tc>
          <w:tcPr>
            <w:tcW w:w="140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37.0 %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20" w:type="dxa"/>
            <w:vAlign w:val="bottom"/>
          </w:tcPr>
          <w:p>
            <w:pPr>
              <w:ind w:left="20"/>
              <w:spacing w:after="0"/>
              <w:rPr>
                <w:sz w:val="20"/>
                <w:szCs w:val="20"/>
                <w:color w:val="auto"/>
              </w:rPr>
            </w:pPr>
            <w:r>
              <w:rPr>
                <w:rFonts w:ascii="Arial" w:cs="Arial" w:eastAsia="Arial" w:hAnsi="Arial"/>
                <w:sz w:val="18"/>
                <w:szCs w:val="18"/>
                <w:b w:val="1"/>
                <w:bCs w:val="1"/>
                <w:color w:val="51555C"/>
              </w:rPr>
              <w:t>2022</w:t>
            </w:r>
          </w:p>
        </w:tc>
        <w:tc>
          <w:tcPr>
            <w:tcW w:w="200" w:type="dxa"/>
            <w:vAlign w:val="bottom"/>
          </w:tcPr>
          <w:p>
            <w:pPr>
              <w:spacing w:after="0"/>
              <w:rPr>
                <w:sz w:val="24"/>
                <w:szCs w:val="24"/>
                <w:color w:val="auto"/>
              </w:rPr>
            </w:pPr>
          </w:p>
        </w:tc>
        <w:tc>
          <w:tcPr>
            <w:tcW w:w="1080" w:type="dxa"/>
            <w:vAlign w:val="bottom"/>
          </w:tcPr>
          <w:p>
            <w:pPr>
              <w:jc w:val="right"/>
              <w:ind w:right="1"/>
              <w:spacing w:after="0"/>
              <w:rPr>
                <w:sz w:val="20"/>
                <w:szCs w:val="20"/>
                <w:color w:val="auto"/>
              </w:rPr>
            </w:pPr>
            <w:r>
              <w:rPr>
                <w:rFonts w:ascii="Arial" w:cs="Arial" w:eastAsia="Arial" w:hAnsi="Arial"/>
                <w:sz w:val="18"/>
                <w:szCs w:val="18"/>
                <w:color w:val="51555C"/>
              </w:rPr>
              <w:t>8,819,151</w:t>
            </w:r>
          </w:p>
        </w:tc>
        <w:tc>
          <w:tcPr>
            <w:tcW w:w="200" w:type="dxa"/>
            <w:vAlign w:val="bottom"/>
          </w:tcPr>
          <w:p>
            <w:pPr>
              <w:spacing w:after="0"/>
              <w:rPr>
                <w:sz w:val="24"/>
                <w:szCs w:val="24"/>
                <w:color w:val="auto"/>
              </w:rPr>
            </w:pPr>
          </w:p>
        </w:tc>
        <w:tc>
          <w:tcPr>
            <w:tcW w:w="1245" w:type="dxa"/>
            <w:vAlign w:val="bottom"/>
          </w:tcPr>
          <w:p>
            <w:pPr>
              <w:jc w:val="right"/>
              <w:ind w:right="165"/>
              <w:spacing w:after="0"/>
              <w:rPr>
                <w:sz w:val="20"/>
                <w:szCs w:val="20"/>
                <w:color w:val="auto"/>
              </w:rPr>
            </w:pPr>
            <w:r>
              <w:rPr>
                <w:rFonts w:ascii="Arial" w:cs="Arial" w:eastAsia="Arial" w:hAnsi="Arial"/>
                <w:sz w:val="18"/>
                <w:szCs w:val="18"/>
                <w:color w:val="51555C"/>
              </w:rPr>
              <w:t>3,450,876</w:t>
            </w:r>
          </w:p>
        </w:tc>
        <w:tc>
          <w:tcPr>
            <w:tcW w:w="375"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3,654,102</w:t>
            </w:r>
          </w:p>
        </w:tc>
        <w:tc>
          <w:tcPr>
            <w:tcW w:w="220" w:type="dxa"/>
            <w:vAlign w:val="bottom"/>
          </w:tcPr>
          <w:p>
            <w:pPr>
              <w:spacing w:after="0"/>
              <w:rPr>
                <w:sz w:val="24"/>
                <w:szCs w:val="24"/>
                <w:color w:val="auto"/>
              </w:rPr>
            </w:pPr>
          </w:p>
        </w:tc>
        <w:tc>
          <w:tcPr>
            <w:tcW w:w="1090" w:type="dxa"/>
            <w:vAlign w:val="bottom"/>
          </w:tcPr>
          <w:p>
            <w:pPr>
              <w:jc w:val="right"/>
              <w:ind w:right="11"/>
              <w:spacing w:after="0"/>
              <w:rPr>
                <w:sz w:val="20"/>
                <w:szCs w:val="20"/>
                <w:color w:val="auto"/>
              </w:rPr>
            </w:pPr>
            <w:r>
              <w:rPr>
                <w:rFonts w:ascii="Arial" w:cs="Arial" w:eastAsia="Arial" w:hAnsi="Arial"/>
                <w:sz w:val="18"/>
                <w:szCs w:val="18"/>
                <w:color w:val="51555C"/>
              </w:rPr>
              <w:t>2,110,183</w:t>
            </w:r>
          </w:p>
        </w:tc>
        <w:tc>
          <w:tcPr>
            <w:tcW w:w="31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74.07</w:t>
            </w:r>
          </w:p>
        </w:tc>
        <w:tc>
          <w:tcPr>
            <w:tcW w:w="1120" w:type="dxa"/>
            <w:vAlign w:val="bottom"/>
          </w:tcPr>
          <w:p>
            <w:pPr>
              <w:jc w:val="right"/>
              <w:spacing w:after="0"/>
              <w:rPr>
                <w:sz w:val="20"/>
                <w:szCs w:val="20"/>
                <w:color w:val="auto"/>
              </w:rPr>
            </w:pPr>
            <w:r>
              <w:rPr>
                <w:rFonts w:ascii="Arial" w:cs="Arial" w:eastAsia="Arial" w:hAnsi="Arial"/>
                <w:sz w:val="18"/>
                <w:szCs w:val="18"/>
                <w:color w:val="51555C"/>
              </w:rPr>
              <w:t>120.32</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51555C"/>
              </w:rPr>
              <w:t>(45.4)</w:t>
            </w:r>
          </w:p>
        </w:tc>
        <w:tc>
          <w:tcPr>
            <w:tcW w:w="1400" w:type="dxa"/>
            <w:vAlign w:val="bottom"/>
          </w:tcPr>
          <w:p>
            <w:pPr>
              <w:jc w:val="right"/>
              <w:spacing w:after="0"/>
              <w:rPr>
                <w:sz w:val="20"/>
                <w:szCs w:val="20"/>
                <w:color w:val="auto"/>
              </w:rPr>
            </w:pPr>
            <w:r>
              <w:rPr>
                <w:rFonts w:ascii="Arial" w:cs="Arial" w:eastAsia="Arial" w:hAnsi="Arial"/>
                <w:sz w:val="18"/>
                <w:szCs w:val="18"/>
                <w:color w:val="51555C"/>
              </w:rPr>
              <w:t>27.5 %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620" w:type="dxa"/>
            <w:vAlign w:val="bottom"/>
            <w:tcBorders>
              <w:bottom w:val="single" w:sz="8" w:color="0CD973"/>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2021</w:t>
            </w:r>
          </w:p>
        </w:tc>
        <w:tc>
          <w:tcPr>
            <w:tcW w:w="200" w:type="dxa"/>
            <w:vAlign w:val="bottom"/>
            <w:tcBorders>
              <w:bottom w:val="single" w:sz="8" w:color="0CD973"/>
            </w:tcBorders>
            <w:shd w:val="clear" w:color="auto" w:fill="EBFBFF"/>
          </w:tcPr>
          <w:p>
            <w:pPr>
              <w:spacing w:after="0"/>
              <w:rPr>
                <w:sz w:val="24"/>
                <w:szCs w:val="24"/>
                <w:color w:val="auto"/>
              </w:rPr>
            </w:pPr>
          </w:p>
        </w:tc>
        <w:tc>
          <w:tcPr>
            <w:tcW w:w="1080" w:type="dxa"/>
            <w:vAlign w:val="bottom"/>
            <w:tcBorders>
              <w:bottom w:val="single" w:sz="8" w:color="0CD973"/>
            </w:tcBorders>
            <w:shd w:val="clear" w:color="auto" w:fill="EBFBFF"/>
          </w:tcPr>
          <w:p>
            <w:pPr>
              <w:jc w:val="right"/>
              <w:ind w:right="1"/>
              <w:spacing w:after="0"/>
              <w:rPr>
                <w:sz w:val="20"/>
                <w:szCs w:val="20"/>
                <w:color w:val="auto"/>
              </w:rPr>
            </w:pPr>
            <w:r>
              <w:rPr>
                <w:rFonts w:ascii="Arial" w:cs="Arial" w:eastAsia="Arial" w:hAnsi="Arial"/>
                <w:sz w:val="18"/>
                <w:szCs w:val="18"/>
                <w:color w:val="51555C"/>
              </w:rPr>
              <w:t>11,810,500</w:t>
            </w:r>
          </w:p>
        </w:tc>
        <w:tc>
          <w:tcPr>
            <w:tcW w:w="200" w:type="dxa"/>
            <w:vAlign w:val="bottom"/>
            <w:tcBorders>
              <w:bottom w:val="single" w:sz="8" w:color="0CD973"/>
            </w:tcBorders>
            <w:shd w:val="clear" w:color="auto" w:fill="EBFBFF"/>
          </w:tcPr>
          <w:p>
            <w:pPr>
              <w:spacing w:after="0"/>
              <w:rPr>
                <w:sz w:val="24"/>
                <w:szCs w:val="24"/>
                <w:color w:val="auto"/>
              </w:rPr>
            </w:pPr>
          </w:p>
        </w:tc>
        <w:tc>
          <w:tcPr>
            <w:tcW w:w="1245" w:type="dxa"/>
            <w:vAlign w:val="bottom"/>
            <w:tcBorders>
              <w:bottom w:val="single" w:sz="8" w:color="0CD973"/>
            </w:tcBorders>
            <w:shd w:val="clear" w:color="auto" w:fill="EBFBFF"/>
          </w:tcPr>
          <w:p>
            <w:pPr>
              <w:jc w:val="right"/>
              <w:ind w:right="165"/>
              <w:spacing w:after="0"/>
              <w:rPr>
                <w:sz w:val="20"/>
                <w:szCs w:val="20"/>
                <w:color w:val="auto"/>
              </w:rPr>
            </w:pPr>
            <w:r>
              <w:rPr>
                <w:rFonts w:ascii="Arial" w:cs="Arial" w:eastAsia="Arial" w:hAnsi="Arial"/>
                <w:sz w:val="18"/>
                <w:szCs w:val="18"/>
                <w:color w:val="51555C"/>
              </w:rPr>
              <w:t>18,011,733</w:t>
            </w:r>
          </w:p>
        </w:tc>
        <w:tc>
          <w:tcPr>
            <w:tcW w:w="375" w:type="dxa"/>
            <w:vAlign w:val="bottom"/>
            <w:tcBorders>
              <w:bottom w:val="single" w:sz="8" w:color="0CD973"/>
            </w:tcBorders>
            <w:shd w:val="clear" w:color="auto" w:fill="EBFBFF"/>
          </w:tcPr>
          <w:p>
            <w:pPr>
              <w:spacing w:after="0"/>
              <w:rPr>
                <w:sz w:val="24"/>
                <w:szCs w:val="24"/>
                <w:color w:val="auto"/>
              </w:rPr>
            </w:pPr>
          </w:p>
        </w:tc>
        <w:tc>
          <w:tcPr>
            <w:tcW w:w="106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3,734,533</w:t>
            </w:r>
          </w:p>
        </w:tc>
        <w:tc>
          <w:tcPr>
            <w:tcW w:w="220" w:type="dxa"/>
            <w:vAlign w:val="bottom"/>
            <w:tcBorders>
              <w:bottom w:val="single" w:sz="8" w:color="0CD973"/>
            </w:tcBorders>
            <w:shd w:val="clear" w:color="auto" w:fill="EBFBFF"/>
          </w:tcPr>
          <w:p>
            <w:pPr>
              <w:spacing w:after="0"/>
              <w:rPr>
                <w:sz w:val="24"/>
                <w:szCs w:val="24"/>
                <w:color w:val="auto"/>
              </w:rPr>
            </w:pPr>
          </w:p>
        </w:tc>
        <w:tc>
          <w:tcPr>
            <w:tcW w:w="1090" w:type="dxa"/>
            <w:vAlign w:val="bottom"/>
            <w:tcBorders>
              <w:bottom w:val="single" w:sz="8" w:color="0CD973"/>
            </w:tcBorders>
            <w:shd w:val="clear" w:color="auto" w:fill="EBFBFF"/>
          </w:tcPr>
          <w:p>
            <w:pPr>
              <w:jc w:val="right"/>
              <w:ind w:right="11"/>
              <w:spacing w:after="0"/>
              <w:rPr>
                <w:sz w:val="20"/>
                <w:szCs w:val="20"/>
                <w:color w:val="auto"/>
              </w:rPr>
            </w:pPr>
            <w:r>
              <w:rPr>
                <w:rFonts w:ascii="Arial" w:cs="Arial" w:eastAsia="Arial" w:hAnsi="Arial"/>
                <w:sz w:val="18"/>
                <w:szCs w:val="18"/>
                <w:color w:val="51555C"/>
              </w:rPr>
              <w:t>5,582,811</w:t>
            </w:r>
          </w:p>
        </w:tc>
        <w:tc>
          <w:tcPr>
            <w:tcW w:w="310" w:type="dxa"/>
            <w:vAlign w:val="bottom"/>
            <w:tcBorders>
              <w:bottom w:val="single" w:sz="8" w:color="0CD973"/>
            </w:tcBorders>
            <w:shd w:val="clear" w:color="auto" w:fill="EBFBFF"/>
          </w:tcPr>
          <w:p>
            <w:pPr>
              <w:spacing w:after="0"/>
              <w:rPr>
                <w:sz w:val="24"/>
                <w:szCs w:val="24"/>
                <w:color w:val="auto"/>
              </w:rPr>
            </w:pPr>
          </w:p>
        </w:tc>
        <w:tc>
          <w:tcPr>
            <w:tcW w:w="110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99.39</w:t>
            </w:r>
          </w:p>
        </w:tc>
        <w:tc>
          <w:tcPr>
            <w:tcW w:w="1120" w:type="dxa"/>
            <w:vAlign w:val="bottom"/>
            <w:tcBorders>
              <w:bottom w:val="single" w:sz="8" w:color="0CD973"/>
              <w:right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145.22</w:t>
            </w:r>
          </w:p>
        </w:tc>
        <w:tc>
          <w:tcPr>
            <w:tcW w:w="280" w:type="dxa"/>
            <w:vAlign w:val="bottom"/>
            <w:tcBorders>
              <w:bottom w:val="single" w:sz="8" w:color="0CD973"/>
            </w:tcBorders>
            <w:shd w:val="clear" w:color="auto" w:fill="EBFBFF"/>
          </w:tcPr>
          <w:p>
            <w:pPr>
              <w:spacing w:after="0"/>
              <w:rPr>
                <w:sz w:val="24"/>
                <w:szCs w:val="24"/>
                <w:color w:val="auto"/>
              </w:rPr>
            </w:pPr>
          </w:p>
        </w:tc>
        <w:tc>
          <w:tcPr>
            <w:tcW w:w="9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5.7</w:t>
            </w:r>
          </w:p>
        </w:tc>
        <w:tc>
          <w:tcPr>
            <w:tcW w:w="140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28.1 %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-1687830</wp:posOffset>
            </wp:positionV>
            <wp:extent cx="14147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65"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4"/>
          <w:szCs w:val="14"/>
          <w:color w:val="51555C"/>
        </w:rPr>
      </w:pPr>
      <w:r>
        <w:rPr>
          <w:rFonts w:ascii="Arial" w:cs="Arial" w:eastAsia="Arial" w:hAnsi="Arial"/>
          <w:sz w:val="14"/>
          <w:szCs w:val="14"/>
          <w:color w:val="51555C"/>
        </w:rPr>
        <w:t>During all years presented, Mr. Gianoni was our CEO and President.</w:t>
      </w:r>
    </w:p>
    <w:p>
      <w:pPr>
        <w:spacing w:after="0" w:line="28" w:lineRule="exact"/>
        <w:rPr>
          <w:rFonts w:ascii="Arial" w:cs="Arial" w:eastAsia="Arial" w:hAnsi="Arial"/>
          <w:sz w:val="14"/>
          <w:szCs w:val="14"/>
          <w:color w:val="51555C"/>
        </w:rPr>
      </w:pPr>
    </w:p>
    <w:p>
      <w:pPr>
        <w:ind w:left="340" w:hanging="332"/>
        <w:spacing w:after="0"/>
        <w:tabs>
          <w:tab w:leader="none" w:pos="340" w:val="left"/>
        </w:tabs>
        <w:numPr>
          <w:ilvl w:val="0"/>
          <w:numId w:val="68"/>
        </w:numPr>
        <w:rPr>
          <w:rFonts w:ascii="Arial" w:cs="Arial" w:eastAsia="Arial" w:hAnsi="Arial"/>
          <w:sz w:val="14"/>
          <w:szCs w:val="14"/>
          <w:color w:val="51555C"/>
        </w:rPr>
      </w:pPr>
      <w:r>
        <w:rPr>
          <w:rFonts w:ascii="Arial" w:cs="Arial" w:eastAsia="Arial" w:hAnsi="Arial"/>
          <w:sz w:val="14"/>
          <w:szCs w:val="14"/>
          <w:color w:val="51555C"/>
        </w:rPr>
        <w:t>During 2025, our non-PEO NEOs were: Messrs. Anderson, Boor, Benjamin, Gregoire and McDearis. During 2024, 2023 and 2022, our non-PEO NEOs were: Messrs.</w:t>
      </w:r>
    </w:p>
    <w:p>
      <w:pPr>
        <w:spacing w:after="0" w:line="14" w:lineRule="exact"/>
        <w:rPr>
          <w:rFonts w:ascii="Arial" w:cs="Arial" w:eastAsia="Arial" w:hAnsi="Arial"/>
          <w:sz w:val="14"/>
          <w:szCs w:val="14"/>
          <w:color w:val="51555C"/>
        </w:rPr>
      </w:pPr>
    </w:p>
    <w:p>
      <w:pPr>
        <w:ind w:left="340"/>
        <w:spacing w:after="0"/>
        <w:rPr>
          <w:rFonts w:ascii="Arial" w:cs="Arial" w:eastAsia="Arial" w:hAnsi="Arial"/>
          <w:sz w:val="14"/>
          <w:szCs w:val="14"/>
          <w:color w:val="51555C"/>
        </w:rPr>
      </w:pPr>
      <w:r>
        <w:rPr>
          <w:rFonts w:ascii="Arial" w:cs="Arial" w:eastAsia="Arial" w:hAnsi="Arial"/>
          <w:sz w:val="14"/>
          <w:szCs w:val="14"/>
          <w:color w:val="51555C"/>
        </w:rPr>
        <w:t>Boor, Benjamin, Gregoire and McDearis. During 2021, our non-PEO NEOs were: Messrs. Boor, Gregoire, McDearis and Kevin M. Mooney.</w:t>
      </w:r>
    </w:p>
    <w:p>
      <w:pPr>
        <w:spacing w:after="0" w:line="1" w:lineRule="exact"/>
        <w:rPr>
          <w:rFonts w:ascii="Arial" w:cs="Arial" w:eastAsia="Arial" w:hAnsi="Arial"/>
          <w:sz w:val="14"/>
          <w:szCs w:val="14"/>
          <w:color w:val="51555C"/>
        </w:rPr>
      </w:pPr>
    </w:p>
    <w:p>
      <w:pPr>
        <w:jc w:val="both"/>
        <w:ind w:left="340" w:right="20" w:hanging="332"/>
        <w:spacing w:after="0" w:line="272" w:lineRule="auto"/>
        <w:tabs>
          <w:tab w:leader="none" w:pos="354" w:val="left"/>
        </w:tabs>
        <w:numPr>
          <w:ilvl w:val="0"/>
          <w:numId w:val="68"/>
        </w:numPr>
        <w:rPr>
          <w:rFonts w:ascii="Arial" w:cs="Arial" w:eastAsia="Arial" w:hAnsi="Arial"/>
          <w:sz w:val="14"/>
          <w:szCs w:val="14"/>
          <w:color w:val="51555C"/>
        </w:rPr>
      </w:pPr>
      <w:r>
        <w:rPr>
          <w:rFonts w:ascii="Arial" w:cs="Arial" w:eastAsia="Arial" w:hAnsi="Arial"/>
          <w:sz w:val="14"/>
          <w:szCs w:val="14"/>
          <w:color w:val="51555C"/>
        </w:rPr>
        <w:t>The dollar amounts shown represent "compensation actually paid" to our PEO and non-PEO NEOs, as determined in accordance with SEC rules. The dollar amounts do not necessarily reflect the actual amount of compensation earned, received or realized by our PEO and non-PEO NEOs for the applicable year. The following table sets forth the adjustments included in the 2025 compensation actually paid calculation, per SEC rules, for our PEO and non-PEO NEOs: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40" w:type="dxa"/>
            <w:vAlign w:val="bottom"/>
          </w:tcPr>
          <w:p>
            <w:pPr>
              <w:spacing w:after="0"/>
              <w:rPr>
                <w:sz w:val="22"/>
                <w:szCs w:val="22"/>
                <w:color w:val="auto"/>
              </w:rPr>
            </w:pPr>
          </w:p>
        </w:tc>
        <w:tc>
          <w:tcPr>
            <w:tcW w:w="7980" w:type="dxa"/>
            <w:vAlign w:val="bottom"/>
            <w:shd w:val="clear" w:color="auto" w:fill="004054"/>
          </w:tcPr>
          <w:p>
            <w:pPr>
              <w:spacing w:after="0"/>
              <w:rPr>
                <w:sz w:val="22"/>
                <w:szCs w:val="22"/>
                <w:color w:val="auto"/>
              </w:rPr>
            </w:pPr>
          </w:p>
        </w:tc>
        <w:tc>
          <w:tcPr>
            <w:tcW w:w="300" w:type="dxa"/>
            <w:vAlign w:val="bottom"/>
            <w:shd w:val="clear" w:color="auto" w:fill="004054"/>
          </w:tcPr>
          <w:p>
            <w:pPr>
              <w:spacing w:after="0"/>
              <w:rPr>
                <w:sz w:val="22"/>
                <w:szCs w:val="22"/>
                <w:color w:val="auto"/>
              </w:rPr>
            </w:pPr>
          </w:p>
        </w:tc>
        <w:tc>
          <w:tcPr>
            <w:tcW w:w="118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060" w:type="dxa"/>
            <w:vAlign w:val="bottom"/>
            <w:shd w:val="clear" w:color="auto" w:fill="004054"/>
          </w:tcPr>
          <w:p>
            <w:pPr>
              <w:spacing w:after="0"/>
              <w:rPr>
                <w:sz w:val="22"/>
                <w:szCs w:val="22"/>
                <w:color w:val="auto"/>
              </w:rPr>
            </w:pPr>
          </w:p>
        </w:tc>
        <w:tc>
          <w:tcPr>
            <w:tcW w:w="380" w:type="dxa"/>
            <w:vAlign w:val="bottom"/>
            <w:tcBorders>
              <w:left w:val="single" w:sz="8" w:color="004054"/>
            </w:tcBorders>
          </w:tcPr>
          <w:p>
            <w:pPr>
              <w:spacing w:after="0"/>
              <w:rPr>
                <w:sz w:val="22"/>
                <w:szCs w:val="22"/>
                <w:color w:val="auto"/>
              </w:rPr>
            </w:pPr>
          </w:p>
        </w:tc>
      </w:tr>
      <w:tr>
        <w:trPr>
          <w:trHeight w:val="209"/>
        </w:trPr>
        <w:tc>
          <w:tcPr>
            <w:tcW w:w="340" w:type="dxa"/>
            <w:vAlign w:val="bottom"/>
          </w:tcPr>
          <w:p>
            <w:pPr>
              <w:spacing w:after="0"/>
              <w:rPr>
                <w:sz w:val="18"/>
                <w:szCs w:val="18"/>
                <w:color w:val="auto"/>
              </w:rPr>
            </w:pPr>
          </w:p>
        </w:tc>
        <w:tc>
          <w:tcPr>
            <w:tcW w:w="7980" w:type="dxa"/>
            <w:vAlign w:val="bottom"/>
            <w:shd w:val="clear" w:color="auto" w:fill="004054"/>
          </w:tcPr>
          <w:p>
            <w:pPr>
              <w:spacing w:after="0"/>
              <w:rPr>
                <w:sz w:val="18"/>
                <w:szCs w:val="18"/>
                <w:color w:val="auto"/>
              </w:rPr>
            </w:pPr>
          </w:p>
        </w:tc>
        <w:tc>
          <w:tcPr>
            <w:tcW w:w="300" w:type="dxa"/>
            <w:vAlign w:val="bottom"/>
            <w:shd w:val="clear" w:color="auto" w:fill="004054"/>
          </w:tcPr>
          <w:p>
            <w:pPr>
              <w:spacing w:after="0"/>
              <w:rPr>
                <w:sz w:val="18"/>
                <w:szCs w:val="18"/>
                <w:color w:val="auto"/>
              </w:rPr>
            </w:pPr>
          </w:p>
        </w:tc>
        <w:tc>
          <w:tcPr>
            <w:tcW w:w="980" w:type="dxa"/>
            <w:vAlign w:val="bottom"/>
            <w:shd w:val="clear" w:color="auto" w:fill="004054"/>
          </w:tcPr>
          <w:p>
            <w:pPr>
              <w:spacing w:after="0"/>
              <w:rPr>
                <w:sz w:val="18"/>
                <w:szCs w:val="18"/>
                <w:color w:val="auto"/>
              </w:rPr>
            </w:pPr>
          </w:p>
        </w:tc>
        <w:tc>
          <w:tcPr>
            <w:tcW w:w="200" w:type="dxa"/>
            <w:vAlign w:val="bottom"/>
            <w:shd w:val="clear" w:color="auto" w:fill="004054"/>
          </w:tcPr>
          <w:p>
            <w:pPr>
              <w:spacing w:after="0"/>
              <w:rPr>
                <w:sz w:val="18"/>
                <w:szCs w:val="18"/>
                <w:color w:val="auto"/>
              </w:rPr>
            </w:pPr>
          </w:p>
        </w:tc>
        <w:tc>
          <w:tcPr>
            <w:tcW w:w="1060" w:type="dxa"/>
            <w:vAlign w:val="bottom"/>
            <w:shd w:val="clear" w:color="auto" w:fill="004054"/>
          </w:tcPr>
          <w:p>
            <w:pPr>
              <w:jc w:val="right"/>
              <w:ind w:right="188"/>
              <w:spacing w:after="0"/>
              <w:rPr>
                <w:sz w:val="20"/>
                <w:szCs w:val="20"/>
                <w:color w:val="auto"/>
              </w:rPr>
            </w:pPr>
            <w:r>
              <w:rPr>
                <w:rFonts w:ascii="Arial" w:cs="Arial" w:eastAsia="Arial" w:hAnsi="Arial"/>
                <w:sz w:val="14"/>
                <w:szCs w:val="14"/>
                <w:b w:val="1"/>
                <w:bCs w:val="1"/>
                <w:color w:val="FFFFFF"/>
              </w:rPr>
              <w:t>Average of</w:t>
            </w:r>
          </w:p>
        </w:tc>
        <w:tc>
          <w:tcPr>
            <w:tcW w:w="380" w:type="dxa"/>
            <w:vAlign w:val="bottom"/>
            <w:tcBorders>
              <w:left w:val="single" w:sz="8" w:color="004054"/>
            </w:tcBorders>
          </w:tcPr>
          <w:p>
            <w:pPr>
              <w:spacing w:after="0"/>
              <w:rPr>
                <w:sz w:val="18"/>
                <w:szCs w:val="18"/>
                <w:color w:val="auto"/>
              </w:rPr>
            </w:pPr>
          </w:p>
        </w:tc>
      </w:tr>
      <w:tr>
        <w:trPr>
          <w:trHeight w:val="219"/>
        </w:trPr>
        <w:tc>
          <w:tcPr>
            <w:tcW w:w="340" w:type="dxa"/>
            <w:vAlign w:val="bottom"/>
          </w:tcPr>
          <w:p>
            <w:pPr>
              <w:spacing w:after="0"/>
              <w:rPr>
                <w:sz w:val="19"/>
                <w:szCs w:val="19"/>
                <w:color w:val="auto"/>
              </w:rPr>
            </w:pPr>
          </w:p>
        </w:tc>
        <w:tc>
          <w:tcPr>
            <w:tcW w:w="7980" w:type="dxa"/>
            <w:vAlign w:val="bottom"/>
            <w:tcBorders>
              <w:bottom w:val="single" w:sz="8" w:color="004054"/>
            </w:tcBorders>
            <w:shd w:val="clear" w:color="auto" w:fill="004054"/>
          </w:tcPr>
          <w:p>
            <w:pPr>
              <w:spacing w:after="0"/>
              <w:rPr>
                <w:sz w:val="19"/>
                <w:szCs w:val="19"/>
                <w:color w:val="auto"/>
              </w:rPr>
            </w:pPr>
          </w:p>
        </w:tc>
        <w:tc>
          <w:tcPr>
            <w:tcW w:w="300" w:type="dxa"/>
            <w:vAlign w:val="bottom"/>
            <w:tcBorders>
              <w:bottom w:val="single" w:sz="8" w:color="004054"/>
            </w:tcBorders>
            <w:shd w:val="clear" w:color="auto" w:fill="004054"/>
          </w:tcPr>
          <w:p>
            <w:pPr>
              <w:spacing w:after="0"/>
              <w:rPr>
                <w:sz w:val="19"/>
                <w:szCs w:val="19"/>
                <w:color w:val="auto"/>
              </w:rPr>
            </w:pPr>
          </w:p>
        </w:tc>
        <w:tc>
          <w:tcPr>
            <w:tcW w:w="980" w:type="dxa"/>
            <w:vAlign w:val="bottom"/>
            <w:tcBorders>
              <w:bottom w:val="single" w:sz="8" w:color="004054"/>
            </w:tcBorders>
            <w:shd w:val="clear" w:color="auto" w:fill="004054"/>
          </w:tcPr>
          <w:p>
            <w:pPr>
              <w:jc w:val="right"/>
              <w:ind w:right="408"/>
              <w:spacing w:after="0"/>
              <w:rPr>
                <w:sz w:val="20"/>
                <w:szCs w:val="20"/>
                <w:color w:val="auto"/>
              </w:rPr>
            </w:pPr>
            <w:r>
              <w:rPr>
                <w:rFonts w:ascii="Arial" w:cs="Arial" w:eastAsia="Arial" w:hAnsi="Arial"/>
                <w:sz w:val="14"/>
                <w:szCs w:val="14"/>
                <w:b w:val="1"/>
                <w:bCs w:val="1"/>
                <w:color w:val="FFFFFF"/>
              </w:rPr>
              <w:t>CEO</w:t>
            </w:r>
          </w:p>
        </w:tc>
        <w:tc>
          <w:tcPr>
            <w:tcW w:w="200" w:type="dxa"/>
            <w:vAlign w:val="bottom"/>
            <w:tcBorders>
              <w:bottom w:val="single" w:sz="8" w:color="004054"/>
            </w:tcBorders>
            <w:shd w:val="clear" w:color="auto" w:fill="004054"/>
          </w:tcPr>
          <w:p>
            <w:pPr>
              <w:spacing w:after="0"/>
              <w:rPr>
                <w:sz w:val="19"/>
                <w:szCs w:val="19"/>
                <w:color w:val="auto"/>
              </w:rPr>
            </w:pPr>
          </w:p>
        </w:tc>
        <w:tc>
          <w:tcPr>
            <w:tcW w:w="1060" w:type="dxa"/>
            <w:vAlign w:val="bottom"/>
            <w:tcBorders>
              <w:bottom w:val="single" w:sz="8" w:color="004054"/>
            </w:tcBorders>
            <w:shd w:val="clear" w:color="auto" w:fill="004054"/>
          </w:tcPr>
          <w:p>
            <w:pPr>
              <w:jc w:val="right"/>
              <w:ind w:right="148"/>
              <w:spacing w:after="0"/>
              <w:rPr>
                <w:sz w:val="20"/>
                <w:szCs w:val="20"/>
                <w:color w:val="auto"/>
              </w:rPr>
            </w:pPr>
            <w:r>
              <w:rPr>
                <w:rFonts w:ascii="Arial" w:cs="Arial" w:eastAsia="Arial" w:hAnsi="Arial"/>
                <w:sz w:val="14"/>
                <w:szCs w:val="14"/>
                <w:b w:val="1"/>
                <w:bCs w:val="1"/>
                <w:color w:val="FFFFFF"/>
              </w:rPr>
              <w:t>Other NEOs</w:t>
            </w:r>
          </w:p>
        </w:tc>
        <w:tc>
          <w:tcPr>
            <w:tcW w:w="380" w:type="dxa"/>
            <w:vAlign w:val="bottom"/>
            <w:tcBorders>
              <w:left w:val="single" w:sz="8" w:color="004054"/>
            </w:tcBorders>
          </w:tcPr>
          <w:p>
            <w:pPr>
              <w:spacing w:after="0"/>
              <w:rPr>
                <w:sz w:val="19"/>
                <w:szCs w:val="19"/>
                <w:color w:val="auto"/>
              </w:rPr>
            </w:pPr>
          </w:p>
        </w:tc>
      </w:tr>
      <w:tr>
        <w:trPr>
          <w:trHeight w:val="222"/>
        </w:trPr>
        <w:tc>
          <w:tcPr>
            <w:tcW w:w="340" w:type="dxa"/>
            <w:vAlign w:val="bottom"/>
          </w:tcPr>
          <w:p>
            <w:pPr>
              <w:spacing w:after="0"/>
              <w:rPr>
                <w:sz w:val="19"/>
                <w:szCs w:val="19"/>
                <w:color w:val="auto"/>
              </w:rPr>
            </w:pPr>
          </w:p>
        </w:tc>
        <w:tc>
          <w:tcPr>
            <w:tcW w:w="7980" w:type="dxa"/>
            <w:vAlign w:val="bottom"/>
          </w:tcPr>
          <w:p>
            <w:pPr>
              <w:ind w:left="20"/>
              <w:spacing w:after="0"/>
              <w:rPr>
                <w:sz w:val="20"/>
                <w:szCs w:val="20"/>
                <w:color w:val="auto"/>
              </w:rPr>
            </w:pPr>
            <w:r>
              <w:rPr>
                <w:rFonts w:ascii="Arial" w:cs="Arial" w:eastAsia="Arial" w:hAnsi="Arial"/>
                <w:sz w:val="14"/>
                <w:szCs w:val="14"/>
                <w:b w:val="1"/>
                <w:bCs w:val="1"/>
                <w:color w:val="51555C"/>
              </w:rPr>
              <w:t>Summary Compensation Table Total</w:t>
            </w:r>
          </w:p>
        </w:tc>
        <w:tc>
          <w:tcPr>
            <w:tcW w:w="300" w:type="dxa"/>
            <w:vAlign w:val="bottom"/>
          </w:tcPr>
          <w:p>
            <w:pPr>
              <w:jc w:val="right"/>
              <w:ind w:right="128"/>
              <w:spacing w:after="0"/>
              <w:rPr>
                <w:sz w:val="20"/>
                <w:szCs w:val="20"/>
                <w:color w:val="auto"/>
              </w:rPr>
            </w:pPr>
            <w:r>
              <w:rPr>
                <w:rFonts w:ascii="Arial" w:cs="Arial" w:eastAsia="Arial" w:hAnsi="Arial"/>
                <w:sz w:val="14"/>
                <w:szCs w:val="14"/>
                <w:color w:val="51555C"/>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51555C"/>
              </w:rPr>
              <w:t>6,022,250</w:t>
            </w:r>
          </w:p>
        </w:tc>
        <w:tc>
          <w:tcPr>
            <w:tcW w:w="200" w:type="dxa"/>
            <w:vAlign w:val="bottom"/>
          </w:tcPr>
          <w:p>
            <w:pPr>
              <w:jc w:val="right"/>
              <w:ind w:right="28"/>
              <w:spacing w:after="0"/>
              <w:rPr>
                <w:sz w:val="20"/>
                <w:szCs w:val="20"/>
                <w:color w:val="auto"/>
              </w:rPr>
            </w:pPr>
            <w:r>
              <w:rPr>
                <w:rFonts w:ascii="Arial" w:cs="Arial" w:eastAsia="Arial" w:hAnsi="Arial"/>
                <w:sz w:val="14"/>
                <w:szCs w:val="14"/>
                <w:color w:val="51555C"/>
              </w:rPr>
              <w:t>$</w:t>
            </w:r>
          </w:p>
        </w:tc>
        <w:tc>
          <w:tcPr>
            <w:tcW w:w="1060" w:type="dxa"/>
            <w:vAlign w:val="bottom"/>
          </w:tcPr>
          <w:p>
            <w:pPr>
              <w:jc w:val="right"/>
              <w:spacing w:after="0"/>
              <w:rPr>
                <w:sz w:val="20"/>
                <w:szCs w:val="20"/>
                <w:color w:val="auto"/>
              </w:rPr>
            </w:pPr>
            <w:r>
              <w:rPr>
                <w:rFonts w:ascii="Arial" w:cs="Arial" w:eastAsia="Arial" w:hAnsi="Arial"/>
                <w:sz w:val="14"/>
                <w:szCs w:val="14"/>
                <w:color w:val="51555C"/>
              </w:rPr>
              <w:t>3,150,303</w:t>
            </w:r>
          </w:p>
        </w:tc>
        <w:tc>
          <w:tcPr>
            <w:tcW w:w="380" w:type="dxa"/>
            <w:vAlign w:val="bottom"/>
          </w:tcPr>
          <w:p>
            <w:pPr>
              <w:spacing w:after="0"/>
              <w:rPr>
                <w:sz w:val="19"/>
                <w:szCs w:val="19"/>
                <w:color w:val="auto"/>
              </w:rPr>
            </w:pPr>
          </w:p>
        </w:tc>
      </w:tr>
      <w:tr>
        <w:trPr>
          <w:trHeight w:val="237"/>
        </w:trPr>
        <w:tc>
          <w:tcPr>
            <w:tcW w:w="340" w:type="dxa"/>
            <w:vAlign w:val="bottom"/>
          </w:tcPr>
          <w:p>
            <w:pPr>
              <w:spacing w:after="0"/>
              <w:rPr>
                <w:sz w:val="20"/>
                <w:szCs w:val="20"/>
                <w:color w:val="auto"/>
              </w:rPr>
            </w:pPr>
          </w:p>
        </w:tc>
        <w:tc>
          <w:tcPr>
            <w:tcW w:w="7980" w:type="dxa"/>
            <w:vAlign w:val="bottom"/>
            <w:shd w:val="clear" w:color="auto" w:fill="006880"/>
          </w:tcPr>
          <w:p>
            <w:pPr>
              <w:ind w:left="20"/>
              <w:spacing w:after="0"/>
              <w:rPr>
                <w:sz w:val="20"/>
                <w:szCs w:val="20"/>
                <w:color w:val="auto"/>
              </w:rPr>
            </w:pPr>
            <w:r>
              <w:rPr>
                <w:rFonts w:ascii="Arial" w:cs="Arial" w:eastAsia="Arial" w:hAnsi="Arial"/>
                <w:sz w:val="14"/>
                <w:szCs w:val="14"/>
                <w:b w:val="1"/>
                <w:bCs w:val="1"/>
                <w:color w:val="FFFFFF"/>
              </w:rPr>
              <w:t>Adjustments</w:t>
            </w:r>
          </w:p>
        </w:tc>
        <w:tc>
          <w:tcPr>
            <w:tcW w:w="300" w:type="dxa"/>
            <w:vAlign w:val="bottom"/>
            <w:shd w:val="clear" w:color="auto" w:fill="006880"/>
          </w:tcPr>
          <w:p>
            <w:pPr>
              <w:spacing w:after="0"/>
              <w:rPr>
                <w:sz w:val="20"/>
                <w:szCs w:val="20"/>
                <w:color w:val="auto"/>
              </w:rPr>
            </w:pPr>
          </w:p>
        </w:tc>
        <w:tc>
          <w:tcPr>
            <w:tcW w:w="980" w:type="dxa"/>
            <w:vAlign w:val="bottom"/>
            <w:shd w:val="clear" w:color="auto" w:fill="006880"/>
          </w:tcPr>
          <w:p>
            <w:pPr>
              <w:spacing w:after="0"/>
              <w:rPr>
                <w:sz w:val="20"/>
                <w:szCs w:val="20"/>
                <w:color w:val="auto"/>
              </w:rPr>
            </w:pPr>
          </w:p>
        </w:tc>
        <w:tc>
          <w:tcPr>
            <w:tcW w:w="200" w:type="dxa"/>
            <w:vAlign w:val="bottom"/>
            <w:shd w:val="clear" w:color="auto" w:fill="006880"/>
          </w:tcPr>
          <w:p>
            <w:pPr>
              <w:spacing w:after="0"/>
              <w:rPr>
                <w:sz w:val="20"/>
                <w:szCs w:val="20"/>
                <w:color w:val="auto"/>
              </w:rPr>
            </w:pPr>
          </w:p>
        </w:tc>
        <w:tc>
          <w:tcPr>
            <w:tcW w:w="1060" w:type="dxa"/>
            <w:vAlign w:val="bottom"/>
            <w:shd w:val="clear" w:color="auto" w:fill="006880"/>
          </w:tcPr>
          <w:p>
            <w:pPr>
              <w:spacing w:after="0"/>
              <w:rPr>
                <w:sz w:val="20"/>
                <w:szCs w:val="20"/>
                <w:color w:val="auto"/>
              </w:rPr>
            </w:pPr>
          </w:p>
        </w:tc>
        <w:tc>
          <w:tcPr>
            <w:tcW w:w="380" w:type="dxa"/>
            <w:vAlign w:val="bottom"/>
          </w:tcPr>
          <w:p>
            <w:pPr>
              <w:spacing w:after="0"/>
              <w:rPr>
                <w:sz w:val="20"/>
                <w:szCs w:val="20"/>
                <w:color w:val="auto"/>
              </w:rPr>
            </w:pPr>
          </w:p>
        </w:tc>
      </w:tr>
      <w:tr>
        <w:trPr>
          <w:trHeight w:val="180"/>
        </w:trPr>
        <w:tc>
          <w:tcPr>
            <w:tcW w:w="340" w:type="dxa"/>
            <w:vAlign w:val="bottom"/>
          </w:tcPr>
          <w:p>
            <w:pPr>
              <w:spacing w:after="0"/>
              <w:rPr>
                <w:sz w:val="15"/>
                <w:szCs w:val="15"/>
                <w:color w:val="auto"/>
              </w:rPr>
            </w:pPr>
          </w:p>
        </w:tc>
        <w:tc>
          <w:tcPr>
            <w:tcW w:w="7980" w:type="dxa"/>
            <w:vAlign w:val="bottom"/>
          </w:tcPr>
          <w:p>
            <w:pPr>
              <w:ind w:left="120"/>
              <w:spacing w:after="0"/>
              <w:rPr>
                <w:sz w:val="20"/>
                <w:szCs w:val="20"/>
                <w:color w:val="auto"/>
              </w:rPr>
            </w:pPr>
            <w:r>
              <w:rPr>
                <w:rFonts w:ascii="Arial" w:cs="Arial" w:eastAsia="Arial" w:hAnsi="Arial"/>
                <w:sz w:val="14"/>
                <w:szCs w:val="14"/>
                <w:color w:val="51555C"/>
              </w:rPr>
              <w:t>Deduction for amounts reported under the “Stock Awards” and “Option Awards” columns in the Summary Compensation</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04"/>
        </w:trPr>
        <w:tc>
          <w:tcPr>
            <w:tcW w:w="340" w:type="dxa"/>
            <w:vAlign w:val="bottom"/>
          </w:tcPr>
          <w:p>
            <w:pPr>
              <w:spacing w:after="0"/>
              <w:rPr>
                <w:sz w:val="17"/>
                <w:szCs w:val="17"/>
                <w:color w:val="auto"/>
              </w:rPr>
            </w:pPr>
          </w:p>
        </w:tc>
        <w:tc>
          <w:tcPr>
            <w:tcW w:w="7980" w:type="dxa"/>
            <w:vAlign w:val="bottom"/>
          </w:tcPr>
          <w:p>
            <w:pPr>
              <w:ind w:left="120"/>
              <w:spacing w:after="0"/>
              <w:rPr>
                <w:sz w:val="20"/>
                <w:szCs w:val="20"/>
                <w:color w:val="auto"/>
              </w:rPr>
            </w:pPr>
            <w:r>
              <w:rPr>
                <w:rFonts w:ascii="Arial" w:cs="Arial" w:eastAsia="Arial" w:hAnsi="Arial"/>
                <w:sz w:val="14"/>
                <w:szCs w:val="14"/>
                <w:color w:val="51555C"/>
              </w:rPr>
              <w:t>Table</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51555C"/>
              </w:rPr>
              <w:t>(5,206,285)</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51555C"/>
              </w:rPr>
              <w:t>(2,663,478)</w:t>
            </w:r>
          </w:p>
        </w:tc>
        <w:tc>
          <w:tcPr>
            <w:tcW w:w="380" w:type="dxa"/>
            <w:vAlign w:val="bottom"/>
          </w:tcPr>
          <w:p>
            <w:pPr>
              <w:spacing w:after="0"/>
              <w:rPr>
                <w:sz w:val="17"/>
                <w:szCs w:val="17"/>
                <w:color w:val="auto"/>
              </w:rPr>
            </w:pPr>
          </w:p>
        </w:tc>
      </w:tr>
      <w:tr>
        <w:trPr>
          <w:trHeight w:val="22"/>
        </w:trPr>
        <w:tc>
          <w:tcPr>
            <w:tcW w:w="3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0"/>
        </w:trPr>
        <w:tc>
          <w:tcPr>
            <w:tcW w:w="340" w:type="dxa"/>
            <w:vAlign w:val="bottom"/>
          </w:tcPr>
          <w:p>
            <w:pPr>
              <w:spacing w:after="0"/>
              <w:rPr>
                <w:sz w:val="15"/>
                <w:szCs w:val="15"/>
                <w:color w:val="auto"/>
              </w:rPr>
            </w:pPr>
          </w:p>
        </w:tc>
        <w:tc>
          <w:tcPr>
            <w:tcW w:w="7980" w:type="dxa"/>
            <w:vAlign w:val="bottom"/>
            <w:shd w:val="clear" w:color="auto" w:fill="EBFBFF"/>
          </w:tcPr>
          <w:p>
            <w:pPr>
              <w:ind w:left="120"/>
              <w:spacing w:after="0"/>
              <w:rPr>
                <w:sz w:val="20"/>
                <w:szCs w:val="20"/>
                <w:color w:val="auto"/>
              </w:rPr>
            </w:pPr>
            <w:r>
              <w:rPr>
                <w:rFonts w:ascii="Arial" w:cs="Arial" w:eastAsia="Arial" w:hAnsi="Arial"/>
                <w:sz w:val="14"/>
                <w:szCs w:val="14"/>
                <w:color w:val="51555C"/>
              </w:rPr>
              <w:t>Increase based on ASC 718 fair value of awards granted during fiscal year that remain unvested as of fiscal year end,</w:t>
            </w:r>
          </w:p>
        </w:tc>
        <w:tc>
          <w:tcPr>
            <w:tcW w:w="300" w:type="dxa"/>
            <w:vAlign w:val="bottom"/>
            <w:shd w:val="clear" w:color="auto" w:fill="EBFBFF"/>
          </w:tcPr>
          <w:p>
            <w:pPr>
              <w:spacing w:after="0"/>
              <w:rPr>
                <w:sz w:val="15"/>
                <w:szCs w:val="15"/>
                <w:color w:val="auto"/>
              </w:rPr>
            </w:pPr>
          </w:p>
        </w:tc>
        <w:tc>
          <w:tcPr>
            <w:tcW w:w="980" w:type="dxa"/>
            <w:vAlign w:val="bottom"/>
            <w:shd w:val="clear" w:color="auto" w:fill="EBFBFF"/>
          </w:tcPr>
          <w:p>
            <w:pPr>
              <w:spacing w:after="0"/>
              <w:rPr>
                <w:sz w:val="15"/>
                <w:szCs w:val="15"/>
                <w:color w:val="auto"/>
              </w:rPr>
            </w:pPr>
          </w:p>
        </w:tc>
        <w:tc>
          <w:tcPr>
            <w:tcW w:w="200" w:type="dxa"/>
            <w:vAlign w:val="bottom"/>
            <w:shd w:val="clear" w:color="auto" w:fill="EBFBFF"/>
          </w:tcPr>
          <w:p>
            <w:pPr>
              <w:spacing w:after="0"/>
              <w:rPr>
                <w:sz w:val="15"/>
                <w:szCs w:val="15"/>
                <w:color w:val="auto"/>
              </w:rPr>
            </w:pPr>
          </w:p>
        </w:tc>
        <w:tc>
          <w:tcPr>
            <w:tcW w:w="1060" w:type="dxa"/>
            <w:vAlign w:val="bottom"/>
            <w:shd w:val="clear" w:color="auto" w:fill="EBFBFF"/>
          </w:tcPr>
          <w:p>
            <w:pPr>
              <w:spacing w:after="0"/>
              <w:rPr>
                <w:sz w:val="15"/>
                <w:szCs w:val="15"/>
                <w:color w:val="auto"/>
              </w:rPr>
            </w:pPr>
          </w:p>
        </w:tc>
        <w:tc>
          <w:tcPr>
            <w:tcW w:w="380" w:type="dxa"/>
            <w:vAlign w:val="bottom"/>
          </w:tcPr>
          <w:p>
            <w:pPr>
              <w:spacing w:after="0"/>
              <w:rPr>
                <w:sz w:val="15"/>
                <w:szCs w:val="15"/>
                <w:color w:val="auto"/>
              </w:rPr>
            </w:pPr>
          </w:p>
        </w:tc>
      </w:tr>
      <w:tr>
        <w:trPr>
          <w:trHeight w:val="205"/>
        </w:trPr>
        <w:tc>
          <w:tcPr>
            <w:tcW w:w="340" w:type="dxa"/>
            <w:vAlign w:val="bottom"/>
          </w:tcPr>
          <w:p>
            <w:pPr>
              <w:spacing w:after="0"/>
              <w:rPr>
                <w:sz w:val="17"/>
                <w:szCs w:val="17"/>
                <w:color w:val="auto"/>
              </w:rPr>
            </w:pPr>
          </w:p>
        </w:tc>
        <w:tc>
          <w:tcPr>
            <w:tcW w:w="798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4"/>
                <w:szCs w:val="14"/>
                <w:color w:val="51555C"/>
              </w:rPr>
              <w:t>determined as of fiscal year end</w:t>
            </w:r>
          </w:p>
        </w:tc>
        <w:tc>
          <w:tcPr>
            <w:tcW w:w="300" w:type="dxa"/>
            <w:vAlign w:val="bottom"/>
            <w:tcBorders>
              <w:bottom w:val="single" w:sz="8" w:color="EBFBFF"/>
            </w:tcBorders>
            <w:shd w:val="clear" w:color="auto" w:fill="EBFBFF"/>
          </w:tcPr>
          <w:p>
            <w:pPr>
              <w:spacing w:after="0"/>
              <w:rPr>
                <w:sz w:val="17"/>
                <w:szCs w:val="17"/>
                <w:color w:val="auto"/>
              </w:rPr>
            </w:pPr>
          </w:p>
        </w:tc>
        <w:tc>
          <w:tcPr>
            <w:tcW w:w="980" w:type="dxa"/>
            <w:vAlign w:val="bottom"/>
            <w:tcBorders>
              <w:bottom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4,821,438</w:t>
            </w:r>
          </w:p>
        </w:tc>
        <w:tc>
          <w:tcPr>
            <w:tcW w:w="200" w:type="dxa"/>
            <w:vAlign w:val="bottom"/>
            <w:tcBorders>
              <w:bottom w:val="single" w:sz="8" w:color="EBFBFF"/>
            </w:tcBorders>
            <w:shd w:val="clear" w:color="auto" w:fill="EBFBFF"/>
          </w:tcPr>
          <w:p>
            <w:pPr>
              <w:spacing w:after="0"/>
              <w:rPr>
                <w:sz w:val="17"/>
                <w:szCs w:val="17"/>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2,482,701</w:t>
            </w:r>
          </w:p>
        </w:tc>
        <w:tc>
          <w:tcPr>
            <w:tcW w:w="380" w:type="dxa"/>
            <w:vAlign w:val="bottom"/>
          </w:tcPr>
          <w:p>
            <w:pPr>
              <w:spacing w:after="0"/>
              <w:rPr>
                <w:sz w:val="17"/>
                <w:szCs w:val="17"/>
                <w:color w:val="auto"/>
              </w:rPr>
            </w:pPr>
          </w:p>
        </w:tc>
      </w:tr>
      <w:tr>
        <w:trPr>
          <w:trHeight w:val="180"/>
        </w:trPr>
        <w:tc>
          <w:tcPr>
            <w:tcW w:w="340" w:type="dxa"/>
            <w:vAlign w:val="bottom"/>
          </w:tcPr>
          <w:p>
            <w:pPr>
              <w:spacing w:after="0"/>
              <w:rPr>
                <w:sz w:val="15"/>
                <w:szCs w:val="15"/>
                <w:color w:val="auto"/>
              </w:rPr>
            </w:pPr>
          </w:p>
        </w:tc>
        <w:tc>
          <w:tcPr>
            <w:tcW w:w="7980" w:type="dxa"/>
            <w:vAlign w:val="bottom"/>
          </w:tcPr>
          <w:p>
            <w:pPr>
              <w:ind w:left="120"/>
              <w:spacing w:after="0"/>
              <w:rPr>
                <w:sz w:val="20"/>
                <w:szCs w:val="20"/>
                <w:color w:val="auto"/>
              </w:rPr>
            </w:pPr>
            <w:r>
              <w:rPr>
                <w:rFonts w:ascii="Arial" w:cs="Arial" w:eastAsia="Arial" w:hAnsi="Arial"/>
                <w:sz w:val="14"/>
                <w:szCs w:val="14"/>
                <w:color w:val="51555C"/>
              </w:rPr>
              <w:t>Increase based on ASC 718 fair value of awards granted during fiscal year that vested during fiscal year, determined as of</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04"/>
        </w:trPr>
        <w:tc>
          <w:tcPr>
            <w:tcW w:w="340" w:type="dxa"/>
            <w:vAlign w:val="bottom"/>
          </w:tcPr>
          <w:p>
            <w:pPr>
              <w:spacing w:after="0"/>
              <w:rPr>
                <w:sz w:val="17"/>
                <w:szCs w:val="17"/>
                <w:color w:val="auto"/>
              </w:rPr>
            </w:pPr>
          </w:p>
        </w:tc>
        <w:tc>
          <w:tcPr>
            <w:tcW w:w="7980" w:type="dxa"/>
            <w:vAlign w:val="bottom"/>
          </w:tcPr>
          <w:p>
            <w:pPr>
              <w:ind w:left="120"/>
              <w:spacing w:after="0"/>
              <w:rPr>
                <w:sz w:val="20"/>
                <w:szCs w:val="20"/>
                <w:color w:val="auto"/>
              </w:rPr>
            </w:pPr>
            <w:r>
              <w:rPr>
                <w:rFonts w:ascii="Arial" w:cs="Arial" w:eastAsia="Arial" w:hAnsi="Arial"/>
                <w:sz w:val="14"/>
                <w:szCs w:val="14"/>
                <w:color w:val="51555C"/>
              </w:rPr>
              <w:t>vesting date</w:t>
            </w: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51555C"/>
              </w:rPr>
              <w:t>—</w:t>
            </w:r>
          </w:p>
        </w:tc>
        <w:tc>
          <w:tcPr>
            <w:tcW w:w="200" w:type="dxa"/>
            <w:vAlign w:val="bottom"/>
          </w:tcPr>
          <w:p>
            <w:pPr>
              <w:spacing w:after="0"/>
              <w:rPr>
                <w:sz w:val="17"/>
                <w:szCs w:val="17"/>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4"/>
                <w:szCs w:val="14"/>
                <w:color w:val="51555C"/>
              </w:rPr>
              <w:t>—</w:t>
            </w:r>
          </w:p>
        </w:tc>
      </w:tr>
      <w:tr>
        <w:trPr>
          <w:trHeight w:val="22"/>
        </w:trPr>
        <w:tc>
          <w:tcPr>
            <w:tcW w:w="3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0"/>
        </w:trPr>
        <w:tc>
          <w:tcPr>
            <w:tcW w:w="340" w:type="dxa"/>
            <w:vAlign w:val="bottom"/>
          </w:tcPr>
          <w:p>
            <w:pPr>
              <w:spacing w:after="0"/>
              <w:rPr>
                <w:sz w:val="15"/>
                <w:szCs w:val="15"/>
                <w:color w:val="auto"/>
              </w:rPr>
            </w:pPr>
          </w:p>
        </w:tc>
        <w:tc>
          <w:tcPr>
            <w:tcW w:w="7980" w:type="dxa"/>
            <w:vAlign w:val="bottom"/>
            <w:shd w:val="clear" w:color="auto" w:fill="EBFBFF"/>
          </w:tcPr>
          <w:p>
            <w:pPr>
              <w:ind w:left="120"/>
              <w:spacing w:after="0"/>
              <w:rPr>
                <w:sz w:val="20"/>
                <w:szCs w:val="20"/>
                <w:color w:val="auto"/>
              </w:rPr>
            </w:pPr>
            <w:r>
              <w:rPr>
                <w:rFonts w:ascii="Arial" w:cs="Arial" w:eastAsia="Arial" w:hAnsi="Arial"/>
                <w:sz w:val="14"/>
                <w:szCs w:val="14"/>
                <w:color w:val="51555C"/>
              </w:rPr>
              <w:t>Deduction for awards granted prior to fiscal year that were outstanding and unvested as of fiscal year end, determined</w:t>
            </w:r>
          </w:p>
        </w:tc>
        <w:tc>
          <w:tcPr>
            <w:tcW w:w="300" w:type="dxa"/>
            <w:vAlign w:val="bottom"/>
            <w:shd w:val="clear" w:color="auto" w:fill="EBFBFF"/>
          </w:tcPr>
          <w:p>
            <w:pPr>
              <w:spacing w:after="0"/>
              <w:rPr>
                <w:sz w:val="15"/>
                <w:szCs w:val="15"/>
                <w:color w:val="auto"/>
              </w:rPr>
            </w:pPr>
          </w:p>
        </w:tc>
        <w:tc>
          <w:tcPr>
            <w:tcW w:w="980" w:type="dxa"/>
            <w:vAlign w:val="bottom"/>
            <w:shd w:val="clear" w:color="auto" w:fill="EBFBFF"/>
          </w:tcPr>
          <w:p>
            <w:pPr>
              <w:spacing w:after="0"/>
              <w:rPr>
                <w:sz w:val="15"/>
                <w:szCs w:val="15"/>
                <w:color w:val="auto"/>
              </w:rPr>
            </w:pPr>
          </w:p>
        </w:tc>
        <w:tc>
          <w:tcPr>
            <w:tcW w:w="200" w:type="dxa"/>
            <w:vAlign w:val="bottom"/>
            <w:shd w:val="clear" w:color="auto" w:fill="EBFBFF"/>
          </w:tcPr>
          <w:p>
            <w:pPr>
              <w:spacing w:after="0"/>
              <w:rPr>
                <w:sz w:val="15"/>
                <w:szCs w:val="15"/>
                <w:color w:val="auto"/>
              </w:rPr>
            </w:pPr>
          </w:p>
        </w:tc>
        <w:tc>
          <w:tcPr>
            <w:tcW w:w="1060" w:type="dxa"/>
            <w:vAlign w:val="bottom"/>
            <w:shd w:val="clear" w:color="auto" w:fill="EBFBFF"/>
          </w:tcPr>
          <w:p>
            <w:pPr>
              <w:spacing w:after="0"/>
              <w:rPr>
                <w:sz w:val="15"/>
                <w:szCs w:val="15"/>
                <w:color w:val="auto"/>
              </w:rPr>
            </w:pPr>
          </w:p>
        </w:tc>
        <w:tc>
          <w:tcPr>
            <w:tcW w:w="380" w:type="dxa"/>
            <w:vAlign w:val="bottom"/>
          </w:tcPr>
          <w:p>
            <w:pPr>
              <w:spacing w:after="0"/>
              <w:rPr>
                <w:sz w:val="15"/>
                <w:szCs w:val="15"/>
                <w:color w:val="auto"/>
              </w:rPr>
            </w:pPr>
          </w:p>
        </w:tc>
      </w:tr>
      <w:tr>
        <w:trPr>
          <w:trHeight w:val="205"/>
        </w:trPr>
        <w:tc>
          <w:tcPr>
            <w:tcW w:w="340" w:type="dxa"/>
            <w:vAlign w:val="bottom"/>
          </w:tcPr>
          <w:p>
            <w:pPr>
              <w:spacing w:after="0"/>
              <w:rPr>
                <w:sz w:val="17"/>
                <w:szCs w:val="17"/>
                <w:color w:val="auto"/>
              </w:rPr>
            </w:pPr>
          </w:p>
        </w:tc>
        <w:tc>
          <w:tcPr>
            <w:tcW w:w="798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4"/>
                <w:szCs w:val="14"/>
                <w:color w:val="51555C"/>
              </w:rPr>
              <w:t>based on change in ASC 718 fair value from prior fiscal year end to fiscal year end</w:t>
            </w:r>
          </w:p>
        </w:tc>
        <w:tc>
          <w:tcPr>
            <w:tcW w:w="300" w:type="dxa"/>
            <w:vAlign w:val="bottom"/>
            <w:tcBorders>
              <w:bottom w:val="single" w:sz="8" w:color="EBFBFF"/>
            </w:tcBorders>
            <w:shd w:val="clear" w:color="auto" w:fill="EBFBFF"/>
          </w:tcPr>
          <w:p>
            <w:pPr>
              <w:spacing w:after="0"/>
              <w:rPr>
                <w:sz w:val="17"/>
                <w:szCs w:val="17"/>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(1,408,517)</w:t>
            </w:r>
          </w:p>
        </w:tc>
        <w:tc>
          <w:tcPr>
            <w:tcW w:w="200" w:type="dxa"/>
            <w:vAlign w:val="bottom"/>
            <w:tcBorders>
              <w:bottom w:val="single" w:sz="8" w:color="EBFBFF"/>
            </w:tcBorders>
            <w:shd w:val="clear" w:color="auto" w:fill="EBFBFF"/>
          </w:tcPr>
          <w:p>
            <w:pPr>
              <w:spacing w:after="0"/>
              <w:rPr>
                <w:sz w:val="17"/>
                <w:szCs w:val="17"/>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(373,911)</w:t>
            </w:r>
          </w:p>
        </w:tc>
        <w:tc>
          <w:tcPr>
            <w:tcW w:w="380" w:type="dxa"/>
            <w:vAlign w:val="bottom"/>
          </w:tcPr>
          <w:p>
            <w:pPr>
              <w:spacing w:after="0"/>
              <w:rPr>
                <w:sz w:val="17"/>
                <w:szCs w:val="17"/>
                <w:color w:val="auto"/>
              </w:rPr>
            </w:pPr>
          </w:p>
        </w:tc>
      </w:tr>
      <w:tr>
        <w:trPr>
          <w:trHeight w:val="180"/>
        </w:trPr>
        <w:tc>
          <w:tcPr>
            <w:tcW w:w="340" w:type="dxa"/>
            <w:vAlign w:val="bottom"/>
          </w:tcPr>
          <w:p>
            <w:pPr>
              <w:spacing w:after="0"/>
              <w:rPr>
                <w:sz w:val="15"/>
                <w:szCs w:val="15"/>
                <w:color w:val="auto"/>
              </w:rPr>
            </w:pPr>
          </w:p>
        </w:tc>
        <w:tc>
          <w:tcPr>
            <w:tcW w:w="7980" w:type="dxa"/>
            <w:vAlign w:val="bottom"/>
          </w:tcPr>
          <w:p>
            <w:pPr>
              <w:ind w:left="120"/>
              <w:spacing w:after="0"/>
              <w:rPr>
                <w:sz w:val="20"/>
                <w:szCs w:val="20"/>
                <w:color w:val="auto"/>
              </w:rPr>
            </w:pPr>
            <w:r>
              <w:rPr>
                <w:rFonts w:ascii="Arial" w:cs="Arial" w:eastAsia="Arial" w:hAnsi="Arial"/>
                <w:sz w:val="14"/>
                <w:szCs w:val="14"/>
                <w:color w:val="51555C"/>
              </w:rPr>
              <w:t>Deduction for awards granted prior to fiscal year that vested during fiscal year, determined based on change in ASC 718</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04"/>
        </w:trPr>
        <w:tc>
          <w:tcPr>
            <w:tcW w:w="340" w:type="dxa"/>
            <w:vAlign w:val="bottom"/>
          </w:tcPr>
          <w:p>
            <w:pPr>
              <w:spacing w:after="0"/>
              <w:rPr>
                <w:sz w:val="17"/>
                <w:szCs w:val="17"/>
                <w:color w:val="auto"/>
              </w:rPr>
            </w:pPr>
          </w:p>
        </w:tc>
        <w:tc>
          <w:tcPr>
            <w:tcW w:w="7980" w:type="dxa"/>
            <w:vAlign w:val="bottom"/>
          </w:tcPr>
          <w:p>
            <w:pPr>
              <w:ind w:left="120"/>
              <w:spacing w:after="0"/>
              <w:rPr>
                <w:sz w:val="20"/>
                <w:szCs w:val="20"/>
                <w:color w:val="auto"/>
              </w:rPr>
            </w:pPr>
            <w:r>
              <w:rPr>
                <w:rFonts w:ascii="Arial" w:cs="Arial" w:eastAsia="Arial" w:hAnsi="Arial"/>
                <w:sz w:val="14"/>
                <w:szCs w:val="14"/>
                <w:color w:val="51555C"/>
              </w:rPr>
              <w:t>fair value from prior fiscal year end to vesting date</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51555C"/>
              </w:rPr>
              <w:t>(383,995)</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51555C"/>
              </w:rPr>
              <w:t>(145,879)</w:t>
            </w:r>
          </w:p>
        </w:tc>
        <w:tc>
          <w:tcPr>
            <w:tcW w:w="380" w:type="dxa"/>
            <w:vAlign w:val="bottom"/>
          </w:tcPr>
          <w:p>
            <w:pPr>
              <w:spacing w:after="0"/>
              <w:rPr>
                <w:sz w:val="17"/>
                <w:szCs w:val="17"/>
                <w:color w:val="auto"/>
              </w:rPr>
            </w:pPr>
          </w:p>
        </w:tc>
      </w:tr>
      <w:tr>
        <w:trPr>
          <w:trHeight w:val="21"/>
        </w:trPr>
        <w:tc>
          <w:tcPr>
            <w:tcW w:w="3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0"/>
        </w:trPr>
        <w:tc>
          <w:tcPr>
            <w:tcW w:w="340" w:type="dxa"/>
            <w:vAlign w:val="bottom"/>
          </w:tcPr>
          <w:p>
            <w:pPr>
              <w:spacing w:after="0"/>
              <w:rPr>
                <w:sz w:val="15"/>
                <w:szCs w:val="15"/>
                <w:color w:val="auto"/>
              </w:rPr>
            </w:pPr>
          </w:p>
        </w:tc>
        <w:tc>
          <w:tcPr>
            <w:tcW w:w="7980" w:type="dxa"/>
            <w:vAlign w:val="bottom"/>
            <w:shd w:val="clear" w:color="auto" w:fill="EBFBFF"/>
          </w:tcPr>
          <w:p>
            <w:pPr>
              <w:ind w:left="120"/>
              <w:spacing w:after="0"/>
              <w:rPr>
                <w:sz w:val="20"/>
                <w:szCs w:val="20"/>
                <w:color w:val="auto"/>
              </w:rPr>
            </w:pPr>
            <w:r>
              <w:rPr>
                <w:rFonts w:ascii="Arial" w:cs="Arial" w:eastAsia="Arial" w:hAnsi="Arial"/>
                <w:sz w:val="14"/>
                <w:szCs w:val="14"/>
                <w:color w:val="51555C"/>
              </w:rPr>
              <w:t>Deduction of ASC 718 fair value of awards granted prior to fiscal year that were forfeited during fiscal year, determined as</w:t>
            </w:r>
          </w:p>
        </w:tc>
        <w:tc>
          <w:tcPr>
            <w:tcW w:w="300" w:type="dxa"/>
            <w:vAlign w:val="bottom"/>
            <w:shd w:val="clear" w:color="auto" w:fill="EBFBFF"/>
          </w:tcPr>
          <w:p>
            <w:pPr>
              <w:spacing w:after="0"/>
              <w:rPr>
                <w:sz w:val="15"/>
                <w:szCs w:val="15"/>
                <w:color w:val="auto"/>
              </w:rPr>
            </w:pPr>
          </w:p>
        </w:tc>
        <w:tc>
          <w:tcPr>
            <w:tcW w:w="980" w:type="dxa"/>
            <w:vAlign w:val="bottom"/>
            <w:shd w:val="clear" w:color="auto" w:fill="EBFBFF"/>
          </w:tcPr>
          <w:p>
            <w:pPr>
              <w:spacing w:after="0"/>
              <w:rPr>
                <w:sz w:val="15"/>
                <w:szCs w:val="15"/>
                <w:color w:val="auto"/>
              </w:rPr>
            </w:pPr>
          </w:p>
        </w:tc>
        <w:tc>
          <w:tcPr>
            <w:tcW w:w="200" w:type="dxa"/>
            <w:vAlign w:val="bottom"/>
            <w:shd w:val="clear" w:color="auto" w:fill="EBFBFF"/>
          </w:tcPr>
          <w:p>
            <w:pPr>
              <w:spacing w:after="0"/>
              <w:rPr>
                <w:sz w:val="15"/>
                <w:szCs w:val="15"/>
                <w:color w:val="auto"/>
              </w:rPr>
            </w:pPr>
          </w:p>
        </w:tc>
        <w:tc>
          <w:tcPr>
            <w:tcW w:w="1060" w:type="dxa"/>
            <w:vAlign w:val="bottom"/>
            <w:shd w:val="clear" w:color="auto" w:fill="EBFBFF"/>
          </w:tcPr>
          <w:p>
            <w:pPr>
              <w:spacing w:after="0"/>
              <w:rPr>
                <w:sz w:val="15"/>
                <w:szCs w:val="15"/>
                <w:color w:val="auto"/>
              </w:rPr>
            </w:pPr>
          </w:p>
        </w:tc>
        <w:tc>
          <w:tcPr>
            <w:tcW w:w="380" w:type="dxa"/>
            <w:vAlign w:val="bottom"/>
          </w:tcPr>
          <w:p>
            <w:pPr>
              <w:spacing w:after="0"/>
              <w:rPr>
                <w:sz w:val="15"/>
                <w:szCs w:val="15"/>
                <w:color w:val="auto"/>
              </w:rPr>
            </w:pPr>
          </w:p>
        </w:tc>
      </w:tr>
      <w:tr>
        <w:trPr>
          <w:trHeight w:val="230"/>
        </w:trPr>
        <w:tc>
          <w:tcPr>
            <w:tcW w:w="340" w:type="dxa"/>
            <w:vAlign w:val="bottom"/>
          </w:tcPr>
          <w:p>
            <w:pPr>
              <w:spacing w:after="0"/>
              <w:rPr>
                <w:sz w:val="19"/>
                <w:szCs w:val="19"/>
                <w:color w:val="auto"/>
              </w:rPr>
            </w:pPr>
          </w:p>
        </w:tc>
        <w:tc>
          <w:tcPr>
            <w:tcW w:w="798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4"/>
                <w:szCs w:val="14"/>
                <w:color w:val="51555C"/>
              </w:rPr>
              <w:t>of prior fiscal year end</w:t>
            </w:r>
          </w:p>
        </w:tc>
        <w:tc>
          <w:tcPr>
            <w:tcW w:w="300" w:type="dxa"/>
            <w:vAlign w:val="bottom"/>
            <w:tcBorders>
              <w:bottom w:val="single" w:sz="8" w:color="EBFBFF"/>
            </w:tcBorders>
            <w:shd w:val="clear" w:color="auto" w:fill="EBFBFF"/>
          </w:tcPr>
          <w:p>
            <w:pPr>
              <w:spacing w:after="0"/>
              <w:rPr>
                <w:sz w:val="19"/>
                <w:szCs w:val="19"/>
                <w:color w:val="auto"/>
              </w:rPr>
            </w:pPr>
          </w:p>
        </w:tc>
        <w:tc>
          <w:tcPr>
            <w:tcW w:w="980" w:type="dxa"/>
            <w:vAlign w:val="bottom"/>
            <w:tcBorders>
              <w:bottom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w:t>
            </w:r>
          </w:p>
        </w:tc>
        <w:tc>
          <w:tcPr>
            <w:tcW w:w="200" w:type="dxa"/>
            <w:vAlign w:val="bottom"/>
            <w:tcBorders>
              <w:bottom w:val="single" w:sz="8" w:color="EBFBFF"/>
            </w:tcBorders>
            <w:shd w:val="clear" w:color="auto" w:fill="EBFBFF"/>
          </w:tcPr>
          <w:p>
            <w:pPr>
              <w:spacing w:after="0"/>
              <w:rPr>
                <w:sz w:val="19"/>
                <w:szCs w:val="19"/>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w:t>
            </w:r>
          </w:p>
        </w:tc>
        <w:tc>
          <w:tcPr>
            <w:tcW w:w="3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980" w:type="dxa"/>
            <w:vAlign w:val="bottom"/>
            <w:tcBorders>
              <w:top w:val="single" w:sz="8" w:color="51555C"/>
              <w:bottom w:val="single" w:sz="8" w:color="0CD973"/>
            </w:tcBorders>
          </w:tcPr>
          <w:p>
            <w:pPr>
              <w:ind w:left="20"/>
              <w:spacing w:after="0"/>
              <w:rPr>
                <w:sz w:val="20"/>
                <w:szCs w:val="20"/>
                <w:color w:val="auto"/>
              </w:rPr>
            </w:pPr>
            <w:r>
              <w:rPr>
                <w:rFonts w:ascii="Arial" w:cs="Arial" w:eastAsia="Arial" w:hAnsi="Arial"/>
                <w:sz w:val="14"/>
                <w:szCs w:val="14"/>
                <w:b w:val="1"/>
                <w:bCs w:val="1"/>
                <w:color w:val="51555C"/>
              </w:rPr>
              <w:t>Compensation Actually Paid</w:t>
            </w:r>
          </w:p>
        </w:tc>
        <w:tc>
          <w:tcPr>
            <w:tcW w:w="300" w:type="dxa"/>
            <w:vAlign w:val="bottom"/>
            <w:tcBorders>
              <w:top w:val="single" w:sz="8" w:color="51555C"/>
              <w:bottom w:val="single" w:sz="8" w:color="0CD973"/>
            </w:tcBorders>
          </w:tcPr>
          <w:p>
            <w:pPr>
              <w:jc w:val="right"/>
              <w:ind w:right="128"/>
              <w:spacing w:after="0"/>
              <w:rPr>
                <w:sz w:val="20"/>
                <w:szCs w:val="20"/>
                <w:color w:val="auto"/>
              </w:rPr>
            </w:pPr>
            <w:r>
              <w:rPr>
                <w:rFonts w:ascii="Arial" w:cs="Arial" w:eastAsia="Arial" w:hAnsi="Arial"/>
                <w:sz w:val="14"/>
                <w:szCs w:val="14"/>
                <w:color w:val="51555C"/>
              </w:rPr>
              <w:t>$</w:t>
            </w:r>
          </w:p>
        </w:tc>
        <w:tc>
          <w:tcPr>
            <w:tcW w:w="980" w:type="dxa"/>
            <w:vAlign w:val="bottom"/>
            <w:tcBorders>
              <w:top w:val="single" w:sz="8" w:color="51555C"/>
              <w:bottom w:val="single" w:sz="8" w:color="0CD973"/>
            </w:tcBorders>
          </w:tcPr>
          <w:p>
            <w:pPr>
              <w:jc w:val="right"/>
              <w:ind w:right="8"/>
              <w:spacing w:after="0"/>
              <w:rPr>
                <w:sz w:val="20"/>
                <w:szCs w:val="20"/>
                <w:color w:val="auto"/>
              </w:rPr>
            </w:pPr>
            <w:r>
              <w:rPr>
                <w:rFonts w:ascii="Arial" w:cs="Arial" w:eastAsia="Arial" w:hAnsi="Arial"/>
                <w:sz w:val="14"/>
                <w:szCs w:val="14"/>
                <w:color w:val="51555C"/>
              </w:rPr>
              <w:t>3,844,890</w:t>
            </w:r>
          </w:p>
        </w:tc>
        <w:tc>
          <w:tcPr>
            <w:tcW w:w="200" w:type="dxa"/>
            <w:vAlign w:val="bottom"/>
            <w:tcBorders>
              <w:top w:val="single" w:sz="8" w:color="51555C"/>
              <w:bottom w:val="single" w:sz="8" w:color="0CD973"/>
            </w:tcBorders>
          </w:tcPr>
          <w:p>
            <w:pPr>
              <w:jc w:val="right"/>
              <w:ind w:right="28"/>
              <w:spacing w:after="0"/>
              <w:rPr>
                <w:sz w:val="20"/>
                <w:szCs w:val="20"/>
                <w:color w:val="auto"/>
              </w:rPr>
            </w:pPr>
            <w:r>
              <w:rPr>
                <w:rFonts w:ascii="Arial" w:cs="Arial" w:eastAsia="Arial" w:hAnsi="Arial"/>
                <w:sz w:val="14"/>
                <w:szCs w:val="14"/>
                <w:color w:val="51555C"/>
              </w:rPr>
              <w:t>$</w:t>
            </w:r>
          </w:p>
        </w:tc>
        <w:tc>
          <w:tcPr>
            <w:tcW w:w="1060" w:type="dxa"/>
            <w:vAlign w:val="bottom"/>
            <w:tcBorders>
              <w:top w:val="single" w:sz="8" w:color="51555C"/>
              <w:bottom w:val="single" w:sz="8" w:color="0CD973"/>
            </w:tcBorders>
          </w:tcPr>
          <w:p>
            <w:pPr>
              <w:jc w:val="right"/>
              <w:spacing w:after="0"/>
              <w:rPr>
                <w:sz w:val="20"/>
                <w:szCs w:val="20"/>
                <w:color w:val="auto"/>
              </w:rPr>
            </w:pPr>
            <w:r>
              <w:rPr>
                <w:rFonts w:ascii="Arial" w:cs="Arial" w:eastAsia="Arial" w:hAnsi="Arial"/>
                <w:sz w:val="14"/>
                <w:szCs w:val="14"/>
                <w:color w:val="51555C"/>
              </w:rPr>
              <w:t>2,449,737</w:t>
            </w:r>
          </w:p>
        </w:tc>
        <w:tc>
          <w:tcPr>
            <w:tcW w:w="380" w:type="dxa"/>
            <w:vAlign w:val="bottom"/>
          </w:tcPr>
          <w:p>
            <w:pPr>
              <w:spacing w:after="0"/>
              <w:rPr>
                <w:sz w:val="18"/>
                <w:szCs w:val="18"/>
                <w:color w:val="auto"/>
              </w:rPr>
            </w:pPr>
          </w:p>
        </w:tc>
      </w:tr>
      <w:tr>
        <w:trPr>
          <w:trHeight w:val="640"/>
        </w:trPr>
        <w:tc>
          <w:tcPr>
            <w:tcW w:w="340" w:type="dxa"/>
            <w:vAlign w:val="bottom"/>
          </w:tcPr>
          <w:p>
            <w:pPr>
              <w:spacing w:after="0"/>
              <w:rPr>
                <w:sz w:val="24"/>
                <w:szCs w:val="24"/>
                <w:color w:val="auto"/>
              </w:rPr>
            </w:pPr>
          </w:p>
        </w:tc>
        <w:tc>
          <w:tcPr>
            <w:tcW w:w="9260" w:type="dxa"/>
            <w:vAlign w:val="bottom"/>
            <w:gridSpan w:val="3"/>
          </w:tcPr>
          <w:p>
            <w:pPr>
              <w:ind w:left="7680"/>
              <w:spacing w:after="0"/>
              <w:rPr>
                <w:sz w:val="20"/>
                <w:szCs w:val="20"/>
                <w:color w:val="auto"/>
              </w:rPr>
            </w:pPr>
            <w:r>
              <w:rPr>
                <w:rFonts w:ascii="Arial" w:cs="Arial" w:eastAsia="Arial" w:hAnsi="Arial"/>
                <w:sz w:val="14"/>
                <w:szCs w:val="14"/>
                <w:color w:val="51555C"/>
              </w:rPr>
              <w:t>2026 Proxy Statement</w:t>
            </w:r>
          </w:p>
        </w:tc>
        <w:tc>
          <w:tcPr>
            <w:tcW w:w="200" w:type="dxa"/>
            <w:vAlign w:val="bottom"/>
          </w:tcPr>
          <w:p>
            <w:pPr>
              <w:spacing w:after="0"/>
              <w:rPr>
                <w:sz w:val="24"/>
                <w:szCs w:val="2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51555C"/>
              </w:rPr>
              <w:t>59</w:t>
            </w:r>
          </w:p>
        </w:tc>
      </w:tr>
      <w:tr>
        <w:trPr>
          <w:trHeight w:val="271"/>
        </w:trPr>
        <w:tc>
          <w:tcPr>
            <w:tcW w:w="340" w:type="dxa"/>
            <w:vAlign w:val="bottom"/>
            <w:tcBorders>
              <w:bottom w:val="single" w:sz="8" w:color="9A9A9A"/>
            </w:tcBorders>
          </w:tcPr>
          <w:p>
            <w:pPr>
              <w:spacing w:after="0"/>
              <w:rPr>
                <w:sz w:val="23"/>
                <w:szCs w:val="23"/>
                <w:color w:val="auto"/>
              </w:rPr>
            </w:pPr>
          </w:p>
        </w:tc>
        <w:tc>
          <w:tcPr>
            <w:tcW w:w="798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98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106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-2862580</wp:posOffset>
            </wp:positionV>
            <wp:extent cx="16205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62052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-307975</wp:posOffset>
            </wp:positionV>
            <wp:extent cx="702945" cy="1117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02945" cy="111760"/>
                    </a:xfrm>
                    <a:prstGeom prst="rect">
                      <a:avLst/>
                    </a:prstGeom>
                    <a:noFill/>
                  </pic:spPr>
                </pic:pic>
              </a:graphicData>
            </a:graphic>
          </wp:anchor>
        </w:drawing>
      </w:r>
    </w:p>
    <w:p>
      <w:pPr>
        <w:sectPr>
          <w:pgSz w:w="11900" w:h="16838" w:orient="portrait"/>
          <w:cols w:equalWidth="0" w:num="1">
            <w:col w:w="11260"/>
          </w:cols>
          <w:pgMar w:left="320" w:top="300" w:right="319" w:bottom="1440" w:gutter="0" w:footer="0" w:header="0"/>
        </w:sectPr>
      </w:pPr>
    </w:p>
    <w:bookmarkStart w:id="61" w:name="page62"/>
    <w:bookmarkEnd w:id="61"/>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12"/>
        <w:spacing w:after="0"/>
        <w:rPr>
          <w:sz w:val="20"/>
          <w:szCs w:val="20"/>
          <w:color w:val="auto"/>
        </w:rPr>
      </w:pPr>
      <w:r>
        <w:rPr>
          <w:rFonts w:ascii="Arial" w:cs="Arial" w:eastAsia="Arial" w:hAnsi="Arial"/>
          <w:sz w:val="17"/>
          <w:szCs w:val="17"/>
          <w:b w:val="1"/>
          <w:bCs w:val="1"/>
          <w:color w:val="51555C"/>
        </w:rPr>
        <w:t>EXECUTIVE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32" w:space="720"/>
            <w:col w:w="1080"/>
          </w:cols>
          <w:pgMar w:left="328" w:top="338" w:right="3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both"/>
        <w:ind w:left="332" w:hanging="332"/>
        <w:spacing w:after="0" w:line="283" w:lineRule="auto"/>
        <w:tabs>
          <w:tab w:leader="none" w:pos="346" w:val="left"/>
        </w:tabs>
        <w:numPr>
          <w:ilvl w:val="0"/>
          <w:numId w:val="69"/>
        </w:numPr>
        <w:rPr>
          <w:rFonts w:ascii="Arial" w:cs="Arial" w:eastAsia="Arial" w:hAnsi="Arial"/>
          <w:sz w:val="14"/>
          <w:szCs w:val="14"/>
          <w:color w:val="51555C"/>
        </w:rPr>
      </w:pPr>
      <w:r>
        <w:rPr>
          <w:rFonts w:ascii="Arial" w:cs="Arial" w:eastAsia="Arial" w:hAnsi="Arial"/>
          <w:sz w:val="14"/>
          <w:szCs w:val="14"/>
          <w:color w:val="51555C"/>
        </w:rPr>
        <w:t>In accordance with SEC rules, the amount shown assumes $100 was invested in our common stock and in the peer group, respectively, for the cumulative period from market close on December 31, 2020, through the end of the listed fiscal year. Historical stock price performance is not necessarily indicative of future stock price performance. The following graph describes the relationship between compensation actually paid versus cumulative total shareholder return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-29210</wp:posOffset>
            </wp:positionV>
            <wp:extent cx="4714875" cy="192913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714875"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2" w:hanging="332"/>
        <w:spacing w:after="0" w:line="272" w:lineRule="auto"/>
        <w:tabs>
          <w:tab w:leader="none" w:pos="346" w:val="left"/>
        </w:tabs>
        <w:numPr>
          <w:ilvl w:val="0"/>
          <w:numId w:val="70"/>
        </w:numPr>
        <w:rPr>
          <w:rFonts w:ascii="Arial" w:cs="Arial" w:eastAsia="Arial" w:hAnsi="Arial"/>
          <w:sz w:val="14"/>
          <w:szCs w:val="14"/>
          <w:color w:val="51555C"/>
        </w:rPr>
      </w:pPr>
      <w:r>
        <w:rPr>
          <w:rFonts w:ascii="Arial" w:cs="Arial" w:eastAsia="Arial" w:hAnsi="Arial"/>
          <w:sz w:val="14"/>
          <w:szCs w:val="14"/>
          <w:color w:val="51555C"/>
        </w:rPr>
        <w:t>The peer group total shareholder returns presented include the following compensation peer groups used in evaluating our executive compensation (as discussed beginning on page 39 of this Proxy Statement):</w:t>
      </w:r>
    </w:p>
    <w:p>
      <w:pPr>
        <w:jc w:val="both"/>
        <w:ind w:left="492" w:hanging="168"/>
        <w:spacing w:after="0" w:line="257" w:lineRule="auto"/>
        <w:tabs>
          <w:tab w:leader="none" w:pos="504" w:val="left"/>
        </w:tabs>
        <w:numPr>
          <w:ilvl w:val="1"/>
          <w:numId w:val="70"/>
        </w:numPr>
        <w:rPr>
          <w:rFonts w:ascii="Arial" w:cs="Arial" w:eastAsia="Arial" w:hAnsi="Arial"/>
          <w:sz w:val="14"/>
          <w:szCs w:val="14"/>
          <w:color w:val="51555C"/>
        </w:rPr>
      </w:pPr>
      <w:r>
        <w:rPr>
          <w:rFonts w:ascii="Arial" w:cs="Arial" w:eastAsia="Arial" w:hAnsi="Arial"/>
          <w:sz w:val="14"/>
          <w:szCs w:val="14"/>
          <w:color w:val="51555C"/>
        </w:rPr>
        <w:t>2025 — ACI Worldwide, Inc., BILL Holdings, Inc., Box, Inc., Commvault Systems, Inc., E2open Parent Holdings, Inc., Elastic N.V., Five9, Inc., Guidewire Software, Inc., Informatica, Inc., Pegasystems, Inc., Rapid7, Inc., SolarWinds Corporation, Tenable Holdings, Inc., Tyler Technologies, Inc. and Verint Systems, Inc. For more information, including an explanation of the changes, not due to acquisition, made to our prior year compensation peer group, see page 41. We cannot provide a comparable cumulative TSR versus our 2024 peer group as two companies were removed due to acquisitions and were not public during all of 2025. These companies were: Envestnet, Inc. and PowerSchool Holdings, Inc.</w:t>
      </w:r>
    </w:p>
    <w:p>
      <w:pPr>
        <w:spacing w:after="0" w:line="2" w:lineRule="exact"/>
        <w:rPr>
          <w:rFonts w:ascii="Arial" w:cs="Arial" w:eastAsia="Arial" w:hAnsi="Arial"/>
          <w:sz w:val="14"/>
          <w:szCs w:val="14"/>
          <w:color w:val="51555C"/>
        </w:rPr>
      </w:pPr>
    </w:p>
    <w:p>
      <w:pPr>
        <w:jc w:val="both"/>
        <w:ind w:left="492" w:hanging="168"/>
        <w:spacing w:after="0" w:line="257" w:lineRule="auto"/>
        <w:tabs>
          <w:tab w:leader="none" w:pos="490" w:val="left"/>
        </w:tabs>
        <w:numPr>
          <w:ilvl w:val="1"/>
          <w:numId w:val="70"/>
        </w:numPr>
        <w:rPr>
          <w:rFonts w:ascii="Arial" w:cs="Arial" w:eastAsia="Arial" w:hAnsi="Arial"/>
          <w:sz w:val="14"/>
          <w:szCs w:val="14"/>
          <w:color w:val="51555C"/>
        </w:rPr>
      </w:pPr>
      <w:r>
        <w:rPr>
          <w:rFonts w:ascii="Arial" w:cs="Arial" w:eastAsia="Arial" w:hAnsi="Arial"/>
          <w:sz w:val="14"/>
          <w:szCs w:val="14"/>
          <w:color w:val="51555C"/>
        </w:rPr>
        <w:t>2024 — ACI Worldwide, Inc., Box, Inc., Commvault Systems, Inc., E2open Parent Holdings, Inc., Elastic N.V., Envestnet, Inc., Fair Isaac Corporation, Guidewire Software, Inc., Informatica, Inc., Manhattan Associates, Inc., Pegasystems, Inc., PowerSchool Holdings, Inc., SolarWinds Corporation, Tyler Technologies, Inc. and Verint Systems, Inc. For an explanation of the changes, not due to acquisition, made to our prior year compensation peer group, please refer to Blackbaud’s Proxy Statement for the 2025 Meeting of Stockholders filed on April 23, 2024. We cannot provide a comparable cumulative TSR versus our 2023 peer group as two companies were removed due to acquisitions and were not public during all of 2024. These companies were: Cvent Holding Corporation and New Relic, Inc.</w:t>
      </w:r>
    </w:p>
    <w:p>
      <w:pPr>
        <w:spacing w:after="0" w:line="2" w:lineRule="exact"/>
        <w:rPr>
          <w:rFonts w:ascii="Arial" w:cs="Arial" w:eastAsia="Arial" w:hAnsi="Arial"/>
          <w:sz w:val="14"/>
          <w:szCs w:val="14"/>
          <w:color w:val="51555C"/>
        </w:rPr>
      </w:pPr>
    </w:p>
    <w:p>
      <w:pPr>
        <w:jc w:val="both"/>
        <w:ind w:left="492" w:hanging="168"/>
        <w:spacing w:after="0" w:line="257" w:lineRule="auto"/>
        <w:tabs>
          <w:tab w:leader="none" w:pos="496" w:val="left"/>
        </w:tabs>
        <w:numPr>
          <w:ilvl w:val="1"/>
          <w:numId w:val="70"/>
        </w:numPr>
        <w:rPr>
          <w:rFonts w:ascii="Arial" w:cs="Arial" w:eastAsia="Arial" w:hAnsi="Arial"/>
          <w:sz w:val="14"/>
          <w:szCs w:val="14"/>
          <w:color w:val="51555C"/>
        </w:rPr>
      </w:pPr>
      <w:r>
        <w:rPr>
          <w:rFonts w:ascii="Arial" w:cs="Arial" w:eastAsia="Arial" w:hAnsi="Arial"/>
          <w:sz w:val="14"/>
          <w:szCs w:val="14"/>
          <w:color w:val="51555C"/>
        </w:rPr>
        <w:t>2023 — ACI Worldwide, Inc., Box, Inc., Commvault Systems, Inc., Cvent Holding Corporation, E2open Parent Holdings, Inc., Envestnet, Inc., Fair Isaac Corporation, Guidewire Software, Inc., Manhattan Associates, Inc., New Relic, Inc., Pegasystems, Inc., PowerSchool Holdings, Inc., SolarWinds Corporation, Tyler Technologies, Inc. and Verint Systems, Inc. For an explanation of the changes, not due to acquisition, made to our prior year compensation peer group, please refer to Blackbaud’s Proxy Statement for the 2024 Meeting of Stockholders filed on April 23, 2024. We cannot provide a comparable cumulative TSR versus our 2022 peer group as two companies were removed due to acquisitions and were not public during all of 2023. These companies were: Bottomline Technologies, Inc. and Mandiant, Inc.</w:t>
      </w:r>
    </w:p>
    <w:p>
      <w:pPr>
        <w:spacing w:after="0" w:line="2" w:lineRule="exact"/>
        <w:rPr>
          <w:rFonts w:ascii="Arial" w:cs="Arial" w:eastAsia="Arial" w:hAnsi="Arial"/>
          <w:sz w:val="14"/>
          <w:szCs w:val="14"/>
          <w:color w:val="51555C"/>
        </w:rPr>
      </w:pPr>
    </w:p>
    <w:p>
      <w:pPr>
        <w:jc w:val="both"/>
        <w:ind w:left="492" w:hanging="168"/>
        <w:spacing w:after="0" w:line="258" w:lineRule="auto"/>
        <w:tabs>
          <w:tab w:leader="none" w:pos="490" w:val="left"/>
        </w:tabs>
        <w:numPr>
          <w:ilvl w:val="1"/>
          <w:numId w:val="70"/>
        </w:numPr>
        <w:rPr>
          <w:rFonts w:ascii="Arial" w:cs="Arial" w:eastAsia="Arial" w:hAnsi="Arial"/>
          <w:sz w:val="14"/>
          <w:szCs w:val="14"/>
          <w:color w:val="51555C"/>
        </w:rPr>
      </w:pPr>
      <w:r>
        <w:rPr>
          <w:rFonts w:ascii="Arial" w:cs="Arial" w:eastAsia="Arial" w:hAnsi="Arial"/>
          <w:sz w:val="14"/>
          <w:szCs w:val="14"/>
          <w:color w:val="51555C"/>
        </w:rPr>
        <w:t>2022 — 8x8, Inc., ACI Worldwide, Inc., Aspen Technology, Inc., Bottomline Technologies, Inc., Box, Inc., Commvault Systems, Inc., Envestnet, Inc., Fair Isaac Corporation, Mandiant, Inc., Manhattan Associates, Inc., New Relic, Inc., Progress Software Corporation, SolarWinds Corporation, Tyler Technologies, Inc., Verint Systems, Inc. and Ziff Davis, Inc. For an explanation of the changes, not due to acquisition, made to our prior year compensation peer group, please refer to Blackbaud’s Proxy Statement for the 2023 Meeting of Stockholders filed on April 25, 2023. We cannot provide a comparable cumulative TSR versus our 2021 peer group as four companies were removed due to acquisitions and were not public during all of 2022. These companies were: Cloudera, Inc., Cornerstone OnDemand, Inc., Proofpoint, Inc. and RealPage, Inc.</w:t>
      </w:r>
    </w:p>
    <w:p>
      <w:pPr>
        <w:spacing w:after="0" w:line="160" w:lineRule="exact"/>
        <w:rPr>
          <w:rFonts w:ascii="Arial" w:cs="Arial" w:eastAsia="Arial" w:hAnsi="Arial"/>
          <w:sz w:val="14"/>
          <w:szCs w:val="14"/>
          <w:color w:val="51555C"/>
        </w:rPr>
      </w:pPr>
    </w:p>
    <w:p>
      <w:pPr>
        <w:jc w:val="both"/>
        <w:ind w:left="492" w:hanging="168"/>
        <w:spacing w:after="0" w:line="261" w:lineRule="auto"/>
        <w:tabs>
          <w:tab w:leader="none" w:pos="504" w:val="left"/>
        </w:tabs>
        <w:numPr>
          <w:ilvl w:val="1"/>
          <w:numId w:val="70"/>
        </w:numPr>
        <w:rPr>
          <w:rFonts w:ascii="Arial" w:cs="Arial" w:eastAsia="Arial" w:hAnsi="Arial"/>
          <w:sz w:val="14"/>
          <w:szCs w:val="14"/>
          <w:color w:val="51555C"/>
        </w:rPr>
      </w:pPr>
      <w:r>
        <w:rPr>
          <w:rFonts w:ascii="Arial" w:cs="Arial" w:eastAsia="Arial" w:hAnsi="Arial"/>
          <w:sz w:val="14"/>
          <w:szCs w:val="14"/>
          <w:color w:val="51555C"/>
        </w:rPr>
        <w:t>2021 — 8x8, Inc., ACI Worldwide, Inc., Aspen Technology, Inc., Cloudera, Inc., Commvault Systems, Inc., Cornerstone OnDemand, Inc., Envestnet, Inc., Fair Isaac Corporation, Mandiant, Inc., Manhattan Associates, Inc., New Relic, Inc., Paylocity Holding Corporation, Proofpoint, Inc., RealPage, Inc., Tyler Technologies, Inc., Verint Systems, Inc. and Ziff Davis, Inc.</w:t>
      </w:r>
    </w:p>
    <w:p>
      <w:pPr>
        <w:spacing w:after="0" w:line="1" w:lineRule="exact"/>
        <w:rPr>
          <w:rFonts w:ascii="Arial" w:cs="Arial" w:eastAsia="Arial" w:hAnsi="Arial"/>
          <w:sz w:val="14"/>
          <w:szCs w:val="14"/>
          <w:color w:val="51555C"/>
        </w:rPr>
      </w:pPr>
    </w:p>
    <w:p>
      <w:pPr>
        <w:ind w:left="332" w:hanging="332"/>
        <w:spacing w:after="0"/>
        <w:tabs>
          <w:tab w:leader="none" w:pos="332" w:val="left"/>
        </w:tabs>
        <w:numPr>
          <w:ilvl w:val="0"/>
          <w:numId w:val="70"/>
        </w:numPr>
        <w:rPr>
          <w:rFonts w:ascii="Arial" w:cs="Arial" w:eastAsia="Arial" w:hAnsi="Arial"/>
          <w:sz w:val="14"/>
          <w:szCs w:val="14"/>
          <w:color w:val="51555C"/>
        </w:rPr>
      </w:pPr>
      <w:r>
        <w:rPr>
          <w:rFonts w:ascii="Arial" w:cs="Arial" w:eastAsia="Arial" w:hAnsi="Arial"/>
          <w:sz w:val="14"/>
          <w:szCs w:val="14"/>
          <w:color w:val="51555C"/>
        </w:rPr>
        <w:t>The following graph describes the relationship between compensation actually paid versus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6350</wp:posOffset>
            </wp:positionV>
            <wp:extent cx="4714875" cy="192849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714875"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2"/>
        <w:spacing w:after="0"/>
        <w:tabs>
          <w:tab w:leader="none" w:pos="506" w:val="left"/>
        </w:tabs>
        <w:rPr>
          <w:sz w:val="20"/>
          <w:szCs w:val="20"/>
          <w:color w:val="auto"/>
        </w:rPr>
      </w:pPr>
      <w:r>
        <w:rPr>
          <w:rFonts w:ascii="Arial" w:cs="Arial" w:eastAsia="Arial" w:hAnsi="Arial"/>
          <w:sz w:val="14"/>
          <w:szCs w:val="14"/>
          <w:color w:val="51555C"/>
        </w:rPr>
        <w:t>60</w:t>
      </w:r>
      <w:r>
        <w:rPr>
          <w:sz w:val="20"/>
          <w:szCs w:val="20"/>
          <w:color w:val="auto"/>
        </w:rPr>
        <w:tab/>
      </w:r>
      <w:r>
        <w:rPr>
          <w:sz w:val="1"/>
          <w:szCs w:val="1"/>
          <w:color w:val="auto"/>
        </w:rPr>
        <w:drawing>
          <wp:inline distT="0" distB="0" distL="0" distR="0">
            <wp:extent cx="702945" cy="111125"/>
            <wp:effectExtent l="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154940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38" w:right="339" w:bottom="1440" w:gutter="0" w:footer="0" w:header="0"/>
          <w:type w:val="continuous"/>
        </w:sectPr>
      </w:pPr>
    </w:p>
    <w:bookmarkStart w:id="62" w:name="page63"/>
    <w:bookmarkEnd w:id="62"/>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b w:val="1"/>
          <w:bCs w:val="1"/>
          <w:color w:val="5155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340" w:hanging="332"/>
        <w:spacing w:after="0" w:line="261" w:lineRule="auto"/>
        <w:tabs>
          <w:tab w:leader="none" w:pos="354" w:val="left"/>
        </w:tabs>
        <w:numPr>
          <w:ilvl w:val="0"/>
          <w:numId w:val="71"/>
        </w:numPr>
        <w:rPr>
          <w:rFonts w:ascii="Arial" w:cs="Arial" w:eastAsia="Arial" w:hAnsi="Arial"/>
          <w:sz w:val="14"/>
          <w:szCs w:val="14"/>
          <w:color w:val="51555C"/>
        </w:rPr>
      </w:pPr>
      <w:r>
        <w:rPr>
          <w:rFonts w:ascii="Arial" w:cs="Arial" w:eastAsia="Arial" w:hAnsi="Arial"/>
          <w:sz w:val="14"/>
          <w:szCs w:val="14"/>
          <w:color w:val="51555C"/>
        </w:rPr>
        <w:t>Represents Rule of 40 as reported and not adjusted for year over year foreign currency fluctuations as used in determining results for LTI Three-year PRSUs as described beginning on page 45 of this Proxy Statement. The Company also measures and uses Rule of 40 on a constant currency basis. See Appendix A for a reconciliation of non-GAAP financial measures to results reported in accordance with generally accepted accounting principles.</w:t>
      </w:r>
    </w:p>
    <w:p>
      <w:pPr>
        <w:spacing w:after="0" w:line="1" w:lineRule="exact"/>
        <w:rPr>
          <w:rFonts w:ascii="Arial" w:cs="Arial" w:eastAsia="Arial" w:hAnsi="Arial"/>
          <w:sz w:val="14"/>
          <w:szCs w:val="14"/>
          <w:color w:val="51555C"/>
        </w:rPr>
      </w:pPr>
    </w:p>
    <w:p>
      <w:pPr>
        <w:ind w:left="340" w:hanging="332"/>
        <w:spacing w:after="0"/>
        <w:tabs>
          <w:tab w:leader="none" w:pos="340" w:val="left"/>
        </w:tabs>
        <w:numPr>
          <w:ilvl w:val="0"/>
          <w:numId w:val="71"/>
        </w:numPr>
        <w:rPr>
          <w:rFonts w:ascii="Arial" w:cs="Arial" w:eastAsia="Arial" w:hAnsi="Arial"/>
          <w:sz w:val="14"/>
          <w:szCs w:val="14"/>
          <w:color w:val="51555C"/>
        </w:rPr>
      </w:pPr>
      <w:r>
        <w:rPr>
          <w:rFonts w:ascii="Arial" w:cs="Arial" w:eastAsia="Arial" w:hAnsi="Arial"/>
          <w:sz w:val="14"/>
          <w:szCs w:val="14"/>
          <w:color w:val="51555C"/>
        </w:rPr>
        <w:t>The following graph describes the relationship between compensation actually paid versus Rule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4714875" cy="192849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714875"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51555C"/>
        </w:rPr>
        <w:t>The following table sets forth the Company's most important financial performance measures used to link NEO compensation actually paid during 2025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543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Company Performance Measures</w:t>
      </w:r>
      <w:r>
        <w:rPr>
          <w:rFonts w:ascii="Arial" w:cs="Arial" w:eastAsia="Arial" w:hAnsi="Arial"/>
          <w:sz w:val="18"/>
          <w:szCs w:val="18"/>
          <w:b w:val="1"/>
          <w:bCs w:val="1"/>
          <w:color w:val="FFFFFF"/>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057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Non-GAAP Adjusted Recurring Revenue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Non-GAAP Adjusted 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2057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Non-GAAP Adjusted Total Revenue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Gross Dollar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2057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Rule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4"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4"/>
          <w:szCs w:val="14"/>
          <w:color w:val="51555C"/>
        </w:rPr>
      </w:pPr>
      <w:r>
        <w:rPr>
          <w:rFonts w:ascii="Arial" w:cs="Arial" w:eastAsia="Arial" w:hAnsi="Arial"/>
          <w:sz w:val="14"/>
          <w:szCs w:val="14"/>
          <w:color w:val="51555C"/>
        </w:rPr>
        <w:t>This list is unranked.</w:t>
      </w:r>
    </w:p>
    <w:p>
      <w:pPr>
        <w:spacing w:after="0" w:line="15" w:lineRule="exact"/>
        <w:rPr>
          <w:rFonts w:ascii="Arial" w:cs="Arial" w:eastAsia="Arial" w:hAnsi="Arial"/>
          <w:sz w:val="14"/>
          <w:szCs w:val="14"/>
          <w:color w:val="51555C"/>
        </w:rPr>
      </w:pPr>
    </w:p>
    <w:p>
      <w:pPr>
        <w:ind w:left="340" w:hanging="332"/>
        <w:spacing w:after="0" w:line="284" w:lineRule="auto"/>
        <w:tabs>
          <w:tab w:leader="none" w:pos="354" w:val="left"/>
        </w:tabs>
        <w:numPr>
          <w:ilvl w:val="0"/>
          <w:numId w:val="72"/>
        </w:numPr>
        <w:rPr>
          <w:rFonts w:ascii="Arial" w:cs="Arial" w:eastAsia="Arial" w:hAnsi="Arial"/>
          <w:sz w:val="14"/>
          <w:szCs w:val="14"/>
          <w:color w:val="51555C"/>
        </w:rPr>
      </w:pPr>
      <w:r>
        <w:rPr>
          <w:rFonts w:ascii="Arial" w:cs="Arial" w:eastAsia="Arial" w:hAnsi="Arial"/>
          <w:sz w:val="14"/>
          <w:szCs w:val="14"/>
          <w:color w:val="51555C"/>
        </w:rPr>
        <w:t>For discussion on each performance measure and why it was chosen, see "Short-term Incentive Compensation" (beginning on page 43 of this Proxy Statement) and "Long-term Incentive Compensation" (beginning on page 45 of this Proxy Statement).</w:t>
      </w:r>
    </w:p>
    <w:p>
      <w:pPr>
        <w:spacing w:after="0" w:line="201"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NONQUALIFIED DEFERRED COMPENSATION AND RETIREMENT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51555C"/>
        </w:rPr>
        <w:t>We do not maintain deferred compensation or defined benefit pension or supplemental retirement plans for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257810</wp:posOffset>
            </wp:positionV>
            <wp:extent cx="702945" cy="11112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61</w:t>
            </w:r>
          </w:p>
        </w:tc>
      </w:tr>
      <w:tr>
        <w:trPr>
          <w:trHeight w:val="272"/>
        </w:trPr>
        <w:tc>
          <w:tcPr>
            <w:tcW w:w="1020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63" w:name="page64"/>
    <w:bookmarkEnd w:id="63"/>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EXECUTIVE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POTENTIAL PAYMENTS UPON TERMINATION OR CHANGE IN CONTROL</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Employment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Set forth below are descriptions of the principal terms of the employment agreements and retention agreements currently in effect with our NEOs and, where applicable, the estimated potential payments and benefits that these individuals may receive upon a termination of employment, including a termination of employment in connection with a change in control of our Company.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Mr. Gianoni</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On March 10, 2025, the Company and Mr. Gianoni entered into an amendment to his employment and noncompetition agreement then in effect. On December 17, 2025, we subsequently entered into an amended and restated employment and noncompetition agreement (the "Amended Agreement") with Mr. Gianoni, which Amended Agreement also incorporated the changes made by the amendment earlier in 2025.</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The Amended Agreement is for an initial term of two years, which initial term began on January 1, 2026 and expires on December 31, 2027, and is renewable thereafter by mutual agreement of Mr. Gianoni and the Company for one or more additional one-year successive terms.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The Amended Agreement includes restrictive covenants, including nondisclosure provisions and provisions that prohibit Mr. Gianoni from participating in any business that directly competes with us, soliciting any employee of ours to leave us, or soliciting our customers for 12 months after termination of his employment. The severance payments and benefits described below generally are conditioned on Mr. Gianoni's continued compliance with these restrictive covenants, and the Amended Agreement includes forfeiture and recoupment provisions that would apply in the event the restrictive covenants are violated.</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If Mr. Gianoni's employment is terminated by us for cause, as defined in the Amended Agreement, we will be obligated to pay him his accrued but unpaid base salary through the termination date, any unreimbursed expenses through the termination date in accordance with the Company's policies, and payment of other amounts and benefits, if any, to which he is entitled under applicable benefit plans or applicable law (collectively, the "Accrued Compensation"). All of Mr. Gianoni's unexercised stock options and SARs, whether vested or unvested, will immediately terminate and all unvested RSAs, RSUs and PRSUs held by him will be forfeited immediately.</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If Mr. Gianoni's employment is terminated by us without cause, including due to the Company's non-renewal of the Amended Agreement, or he resigns for good reason, as defined in the Amended Agreement, in either case unrelated to a change in control (as discussed below), we will be obligated to:</w:t>
      </w:r>
    </w:p>
    <w:p>
      <w:pPr>
        <w:spacing w:after="0" w:line="9" w:lineRule="exact"/>
        <w:rPr>
          <w:sz w:val="20"/>
          <w:szCs w:val="20"/>
          <w:color w:val="auto"/>
        </w:rPr>
      </w:pPr>
    </w:p>
    <w:p>
      <w:pPr>
        <w:ind w:left="460" w:hanging="128"/>
        <w:spacing w:after="0"/>
        <w:tabs>
          <w:tab w:leader="none" w:pos="460" w:val="left"/>
        </w:tabs>
        <w:numPr>
          <w:ilvl w:val="0"/>
          <w:numId w:val="73"/>
        </w:numPr>
        <w:rPr>
          <w:rFonts w:ascii="Arial" w:cs="Arial" w:eastAsia="Arial" w:hAnsi="Arial"/>
          <w:sz w:val="18"/>
          <w:szCs w:val="18"/>
          <w:color w:val="51555C"/>
        </w:rPr>
      </w:pPr>
      <w:r>
        <w:rPr>
          <w:rFonts w:ascii="Arial" w:cs="Arial" w:eastAsia="Arial" w:hAnsi="Arial"/>
          <w:sz w:val="18"/>
          <w:szCs w:val="18"/>
          <w:color w:val="51555C"/>
        </w:rPr>
        <w:t>Pay him his Accrued Compensation;</w:t>
      </w:r>
    </w:p>
    <w:p>
      <w:pPr>
        <w:spacing w:after="0" w:line="63" w:lineRule="exact"/>
        <w:rPr>
          <w:rFonts w:ascii="Arial" w:cs="Arial" w:eastAsia="Arial" w:hAnsi="Arial"/>
          <w:sz w:val="18"/>
          <w:szCs w:val="18"/>
          <w:color w:val="51555C"/>
        </w:rPr>
      </w:pPr>
    </w:p>
    <w:p>
      <w:pPr>
        <w:ind w:left="500" w:hanging="168"/>
        <w:spacing w:after="0" w:line="281" w:lineRule="auto"/>
        <w:tabs>
          <w:tab w:leader="none" w:pos="468" w:val="left"/>
        </w:tabs>
        <w:numPr>
          <w:ilvl w:val="0"/>
          <w:numId w:val="73"/>
        </w:numPr>
        <w:rPr>
          <w:rFonts w:ascii="Arial" w:cs="Arial" w:eastAsia="Arial" w:hAnsi="Arial"/>
          <w:sz w:val="18"/>
          <w:szCs w:val="18"/>
          <w:color w:val="51555C"/>
        </w:rPr>
      </w:pPr>
      <w:r>
        <w:rPr>
          <w:rFonts w:ascii="Arial" w:cs="Arial" w:eastAsia="Arial" w:hAnsi="Arial"/>
          <w:sz w:val="18"/>
          <w:szCs w:val="18"/>
          <w:color w:val="51555C"/>
        </w:rPr>
        <w:t>Settle any equity-based annual bonus award (i.e., STI award) which has already vested prior to such termination but not yet been settled;</w:t>
      </w:r>
    </w:p>
    <w:p>
      <w:pPr>
        <w:spacing w:after="0" w:line="1" w:lineRule="exact"/>
        <w:rPr>
          <w:rFonts w:ascii="Arial" w:cs="Arial" w:eastAsia="Arial" w:hAnsi="Arial"/>
          <w:sz w:val="18"/>
          <w:szCs w:val="18"/>
          <w:color w:val="51555C"/>
        </w:rPr>
      </w:pPr>
    </w:p>
    <w:p>
      <w:pPr>
        <w:ind w:left="460" w:hanging="128"/>
        <w:spacing w:after="0"/>
        <w:tabs>
          <w:tab w:leader="none" w:pos="460" w:val="left"/>
        </w:tabs>
        <w:numPr>
          <w:ilvl w:val="0"/>
          <w:numId w:val="73"/>
        </w:numPr>
        <w:rPr>
          <w:rFonts w:ascii="Arial" w:cs="Arial" w:eastAsia="Arial" w:hAnsi="Arial"/>
          <w:sz w:val="18"/>
          <w:szCs w:val="18"/>
          <w:color w:val="51555C"/>
        </w:rPr>
      </w:pPr>
      <w:r>
        <w:rPr>
          <w:rFonts w:ascii="Arial" w:cs="Arial" w:eastAsia="Arial" w:hAnsi="Arial"/>
          <w:sz w:val="18"/>
          <w:szCs w:val="18"/>
          <w:color w:val="51555C"/>
        </w:rPr>
        <w:t>Continue to pay his base salary for a period of 24 months;</w:t>
      </w:r>
    </w:p>
    <w:p>
      <w:pPr>
        <w:spacing w:after="0" w:line="63" w:lineRule="exact"/>
        <w:rPr>
          <w:rFonts w:ascii="Arial" w:cs="Arial" w:eastAsia="Arial" w:hAnsi="Arial"/>
          <w:sz w:val="18"/>
          <w:szCs w:val="18"/>
          <w:color w:val="51555C"/>
        </w:rPr>
      </w:pPr>
    </w:p>
    <w:p>
      <w:pPr>
        <w:jc w:val="both"/>
        <w:ind w:left="500" w:hanging="168"/>
        <w:spacing w:after="0" w:line="257" w:lineRule="auto"/>
        <w:tabs>
          <w:tab w:leader="none" w:pos="468" w:val="left"/>
        </w:tabs>
        <w:numPr>
          <w:ilvl w:val="0"/>
          <w:numId w:val="73"/>
        </w:numPr>
        <w:rPr>
          <w:rFonts w:ascii="Arial" w:cs="Arial" w:eastAsia="Arial" w:hAnsi="Arial"/>
          <w:sz w:val="18"/>
          <w:szCs w:val="18"/>
          <w:color w:val="51555C"/>
        </w:rPr>
      </w:pPr>
      <w:r>
        <w:rPr>
          <w:rFonts w:ascii="Arial" w:cs="Arial" w:eastAsia="Arial" w:hAnsi="Arial"/>
          <w:sz w:val="18"/>
          <w:szCs w:val="18"/>
          <w:color w:val="51555C"/>
        </w:rPr>
        <w:t>Pay him a lump sum cash payment equal to the average value of the equity-based annual bonus awards (i.e., STI awards) he received for the two calendar years prior to the year of termination, pro-rated based upon his period of employment during the year of termination and with the value of the relevant awards determined based on the grant date fair value of the number of restricted stock units or shares of restricted stock comprising each award at the time of grant multiplied by the percentage of the award that actually vested (or, if applicable, by the percentage of the award that would have vested had he remained employed through the scheduled vesting date);</w:t>
      </w:r>
    </w:p>
    <w:p>
      <w:pPr>
        <w:spacing w:after="0" w:line="20" w:lineRule="exact"/>
        <w:rPr>
          <w:rFonts w:ascii="Arial" w:cs="Arial" w:eastAsia="Arial" w:hAnsi="Arial"/>
          <w:sz w:val="18"/>
          <w:szCs w:val="18"/>
          <w:color w:val="51555C"/>
        </w:rPr>
      </w:pPr>
    </w:p>
    <w:p>
      <w:pPr>
        <w:ind w:left="460" w:hanging="128"/>
        <w:spacing w:after="0"/>
        <w:tabs>
          <w:tab w:leader="none" w:pos="460" w:val="left"/>
        </w:tabs>
        <w:numPr>
          <w:ilvl w:val="0"/>
          <w:numId w:val="73"/>
        </w:numPr>
        <w:rPr>
          <w:rFonts w:ascii="Arial" w:cs="Arial" w:eastAsia="Arial" w:hAnsi="Arial"/>
          <w:sz w:val="18"/>
          <w:szCs w:val="18"/>
          <w:color w:val="51555C"/>
        </w:rPr>
      </w:pPr>
      <w:r>
        <w:rPr>
          <w:rFonts w:ascii="Arial" w:cs="Arial" w:eastAsia="Arial" w:hAnsi="Arial"/>
          <w:sz w:val="18"/>
          <w:szCs w:val="18"/>
          <w:color w:val="51555C"/>
        </w:rPr>
        <w:t>Accelerate vesting of all of his then-unvested time-based equity awards by 12 months; and</w:t>
      </w:r>
    </w:p>
    <w:p>
      <w:pPr>
        <w:spacing w:after="0" w:line="63" w:lineRule="exact"/>
        <w:rPr>
          <w:rFonts w:ascii="Arial" w:cs="Arial" w:eastAsia="Arial" w:hAnsi="Arial"/>
          <w:sz w:val="18"/>
          <w:szCs w:val="18"/>
          <w:color w:val="51555C"/>
        </w:rPr>
      </w:pPr>
    </w:p>
    <w:p>
      <w:pPr>
        <w:jc w:val="both"/>
        <w:ind w:left="500" w:hanging="168"/>
        <w:spacing w:after="0" w:line="262" w:lineRule="auto"/>
        <w:tabs>
          <w:tab w:leader="none" w:pos="468" w:val="left"/>
        </w:tabs>
        <w:numPr>
          <w:ilvl w:val="0"/>
          <w:numId w:val="73"/>
        </w:numPr>
        <w:rPr>
          <w:rFonts w:ascii="Arial" w:cs="Arial" w:eastAsia="Arial" w:hAnsi="Arial"/>
          <w:sz w:val="18"/>
          <w:szCs w:val="18"/>
          <w:color w:val="51555C"/>
        </w:rPr>
      </w:pPr>
      <w:r>
        <w:rPr>
          <w:rFonts w:ascii="Arial" w:cs="Arial" w:eastAsia="Arial" w:hAnsi="Arial"/>
          <w:sz w:val="18"/>
          <w:szCs w:val="18"/>
          <w:color w:val="51555C"/>
        </w:rPr>
        <w:t>Accelerate vesting of any then-unvested performance-based equity awards (other than any unvested equity-based bonus award – i.e., STI award) to the extent that such awards would have vested if he had continued employment with us through the end of the applicable performance period, but only if the performance period for such equity awards ends within 12 months of his termination date.</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Mr. Gianoni also will have the opportunity to exercise any vested options and SARs in accordance with the terms of the applicable equity award agreements. In addition, to the extent that Mr. Gianoni has annual LTI RSUs or PRSUs granted on or after January 1, 2026 that remain unvested after giving effect to the additional vesting described above and would have remained outstanding but for his termination, any such qualifying LTI equity awards may be eligible for continued post-retirement vesting under the retirement component of our LTI program, as described beginning on page 49 of this Proxy</w:t>
      </w:r>
    </w:p>
    <w:p>
      <w:pPr>
        <w:spacing w:after="0" w:line="349"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62</w:t>
      </w:r>
      <w:r>
        <w:rPr>
          <w:sz w:val="20"/>
          <w:szCs w:val="20"/>
          <w:color w:val="auto"/>
        </w:rPr>
        <w:tab/>
      </w:r>
      <w:r>
        <w:rPr>
          <w:sz w:val="1"/>
          <w:szCs w:val="1"/>
          <w:color w:val="auto"/>
        </w:rPr>
        <w:drawing>
          <wp:inline distT="0" distB="0" distL="0" distR="0">
            <wp:extent cx="702945" cy="111760"/>
            <wp:effectExtent l="0" t="0" r="0" b="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02945" cy="111760"/>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155575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64" w:name="page65"/>
    <w:bookmarkEnd w:id="64"/>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b w:val="1"/>
          <w:bCs w:val="1"/>
          <w:color w:val="5155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Statement, provided that Mr. Gianoni will be treated as having met the applicable notice requirements. Severance payments and benefits generally are subject to Mr. Gianoni’s timely execution of an effective release of claims.</w:t>
      </w:r>
    </w:p>
    <w:p>
      <w:pPr>
        <w:spacing w:after="0" w:line="9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51555C"/>
        </w:rPr>
        <w:t>Notwithstanding the foregoing, if Mr. Gianoni remains a member of the Board after termination of his employment under these circumstances, he will not receive the foregoing severance payments and benefits, but such continued service as a member of the Board will constitute continuous service for purposes of vesting of any of Mr. Gianoni’s then-unvested equity grants at the time of his termination of employment.</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If Mr. Gianoni resigns without good reason or fails to renew the Amended Agreement, we will be obligated to pay him his Accrued Compensation and settle any outstanding equity-based annual bonus award (i.e., STI award) which has already vested prior to such termination (only if required by applicable law in the case of resignation without good reason), and Mr. Gianoni will have the opportunity to exercise any vested options and SARs in accordance with the terms of the applicable equity award agreements. In addition, if Mr. Gianoni’s employment terminates due to his decision not to renew the Amended Agreement, his annual LTI RSUs and PRSUs granted on or after January 1, 2026 that remain unvested at such termination may be eligible for continued post-retirement vesting under the Company’s LTI retirement program, as described beginning on page 49 of this Proxy Statement, provided that, for a nonrenewal at the end of the initial term, Mr. Gianoni will be treated as having met the applicable notice requirements if he timely provides his notice of nonrenewal in accordance with the Amended Agreement.</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If, within 12 months after a change in control (as defined in the Amended Agreement), of the Company, Mr. Gianoni's employment is terminated by us without cause or he resigns with good reason, we will be obligated to provide him with the same payments and benefits as if he were terminated by the Company without cause (as described above), and, in addition, accelerate vesting of all of his then-unvested time-based equity awards and accelerate vesting of performance-based equity awards (other than any unvested equity-based bonus award – i.e., STI award) based on the level of achievement of the applicable performance goals as of the termination date (or if such calculation regarding the performance goals is not possible, then based on an assumed achievement of the performance goals at the target performance level). We also will be obligated to reimburse COBRA premiums on a taxable basis for him (and any eligible spouse or dependents) until the earliest of 12 months following the termination date or until he becomes eligible for insurance benefits from another employer or obtains coverage from another source (or otherwise is no longer eligible for COBRA). If during discussions between the Company and a third party which lead to a change in control of the Company consummated by such third party, the Company delivers notice of its intent not to renew the Amended Agreement and Mr. Gianoni’s employment is therefore accordingly terminated by the Company without cause at the end of the term either within four months before or on or after the change in control, the Company has these same payment obligations. The severance payments and benefits due to Mr. Gianoni generally are subject to his timely execution of an effective release of claims.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If Mr. Gianoni's employment is terminated due to death or disability, as defined in the Amended Agreement, we will be obligated to pay him (or his estate, if applicable) his Accrued Compensation, settle any outstanding equity-based annual bonus award (i.e., STI award) which has already vested prior to such termination, and accelerate vesting of all of his then-unvested time-based equity awards and accelerate vesting of performance-based equity awards (including any unvested equity-based bonus award – i.e., STI award) based on the level of achievement of the applicable performance goals as of the termination date (or if such calculation regarding the performance goals is not possible, then based on an assumed achievement of the performance goals at the target performance level). Mr. Gianoni (or his estate) will have the opportunity to exercise any vested options and SARs in accordance with the terms of the applicable equity award agreements.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As described under “Post Employment Compensation” in the CD&amp;A, Mr. Gianoni also would be eligible for enhanced long-term disability benefits in the amount of $25,000 per month in the event of a qualifying disability.</w:t>
      </w:r>
    </w:p>
    <w:p>
      <w:pPr>
        <w:spacing w:after="0" w:line="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The Amended Agreement also contains compensation clawback provisions. See “Compensation Recovery” on page 50 of this Proxy Statement for more information.</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Finally, the Amended Agreement provides that, if any payments or benefits that may be due to Mr. Gianoni are deemed to be “parachute payments” under Section 280G(b)(2) of the Code, we will reduce the payments and benefits to the minimum extent necessary to avoid imposition of any excise tax under Section 4999 of the Code or the disallowance of a deduction under Section 280G(b)(2) of the Code, unless the reduction would result in an after-tax amount that is less than if the reduction had not been made.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51555C"/>
        </w:rPr>
        <w:t>The Amended Agreement is filed as Exhibit 10.1 to the Company's Current Report on Form 8-K filed with the SEC on December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248920</wp:posOffset>
            </wp:positionV>
            <wp:extent cx="702945" cy="1117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02945" cy="11176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63</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65" w:name="page66"/>
    <w:bookmarkEnd w:id="65"/>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EXECUTIVE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Messrs. Anderson, Boor, Benjamin, Gregoire and McDearis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Employee Agreements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We have entered into "at-will" employment agreements with Messrs. Anderson, Boor, Benjamin, Gregoire and McDearis. Each agreement prohibits the executive officer from performing services for or entering into employment with any direct competitor or soliciting, hiring or otherwise engaging any employee of ours for one year after termination of the agreement. In addition, each agreement prohibits the solicitation of our current and prospective customers for one year after termination of the agreement. These agreements do not provide for any severance payments or benefits and have no fixed term. Each of these agreements includes an assignment of intellectual property clause.</w:t>
      </w:r>
    </w:p>
    <w:p>
      <w:pPr>
        <w:spacing w:after="0" w:line="12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As described under “Post Employment Compensation” in the CD&amp;A, our NEOs also would be eligible for enhanced long-term disability benefits in the amount of $25,000 per month in the event of a qualifying disability.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Retention Agreements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Each of Messrs. Anderson, Boor, Benjamin, Gregoire and McDearis are also party to retention agreements with us. These retention agreements provide for “double-trigger” severance payments and benefits under certain specified circumstances, as described below. We are not obligated to make any tax "gross-up" or other payments to Messrs. Anderson, Boor, Benjamin, Gregoire or McDearis if, in connection with any payments received following a termination of employment, the payments are subject to taxation under Section 409A of the Code.</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If Messrs. Anderson's, Boor's, Benjamin's, Gregoire's or McDearis' employment is terminated within 12 months following a change in control of our Company, as defined in the retention agreements, either by us without cause, or by the executive officer for good reason, we generally will be obligated to:</w:t>
      </w:r>
    </w:p>
    <w:p>
      <w:pPr>
        <w:spacing w:after="0" w:line="9" w:lineRule="exact"/>
        <w:rPr>
          <w:sz w:val="20"/>
          <w:szCs w:val="20"/>
          <w:color w:val="auto"/>
        </w:rPr>
      </w:pPr>
    </w:p>
    <w:p>
      <w:pPr>
        <w:ind w:left="460" w:hanging="128"/>
        <w:spacing w:after="0"/>
        <w:tabs>
          <w:tab w:leader="none" w:pos="460" w:val="left"/>
        </w:tabs>
        <w:numPr>
          <w:ilvl w:val="0"/>
          <w:numId w:val="74"/>
        </w:numPr>
        <w:rPr>
          <w:rFonts w:ascii="Arial" w:cs="Arial" w:eastAsia="Arial" w:hAnsi="Arial"/>
          <w:sz w:val="18"/>
          <w:szCs w:val="18"/>
          <w:color w:val="51555C"/>
        </w:rPr>
      </w:pPr>
      <w:r>
        <w:rPr>
          <w:rFonts w:ascii="Arial" w:cs="Arial" w:eastAsia="Arial" w:hAnsi="Arial"/>
          <w:sz w:val="18"/>
          <w:szCs w:val="18"/>
          <w:color w:val="51555C"/>
        </w:rPr>
        <w:t>Pay him 1.5 times his base salary;</w:t>
      </w:r>
    </w:p>
    <w:p>
      <w:pPr>
        <w:spacing w:after="0" w:line="63" w:lineRule="exact"/>
        <w:rPr>
          <w:rFonts w:ascii="Arial" w:cs="Arial" w:eastAsia="Arial" w:hAnsi="Arial"/>
          <w:sz w:val="18"/>
          <w:szCs w:val="18"/>
          <w:color w:val="51555C"/>
        </w:rPr>
      </w:pPr>
    </w:p>
    <w:p>
      <w:pPr>
        <w:ind w:left="500" w:hanging="168"/>
        <w:spacing w:after="0" w:line="281" w:lineRule="auto"/>
        <w:tabs>
          <w:tab w:leader="none" w:pos="468" w:val="left"/>
        </w:tabs>
        <w:numPr>
          <w:ilvl w:val="0"/>
          <w:numId w:val="74"/>
        </w:numPr>
        <w:rPr>
          <w:rFonts w:ascii="Arial" w:cs="Arial" w:eastAsia="Arial" w:hAnsi="Arial"/>
          <w:sz w:val="18"/>
          <w:szCs w:val="18"/>
          <w:color w:val="51555C"/>
        </w:rPr>
      </w:pPr>
      <w:r>
        <w:rPr>
          <w:rFonts w:ascii="Arial" w:cs="Arial" w:eastAsia="Arial" w:hAnsi="Arial"/>
          <w:sz w:val="18"/>
          <w:szCs w:val="18"/>
          <w:color w:val="51555C"/>
        </w:rPr>
        <w:t>Accelerate and fully vest any then-unvested stock options and other equity awards (performance-based equity awards where the performance period has not been completed generally will be paid out at 100% of target performance); and</w:t>
      </w:r>
    </w:p>
    <w:p>
      <w:pPr>
        <w:spacing w:after="0" w:line="1" w:lineRule="exact"/>
        <w:rPr>
          <w:rFonts w:ascii="Arial" w:cs="Arial" w:eastAsia="Arial" w:hAnsi="Arial"/>
          <w:sz w:val="18"/>
          <w:szCs w:val="18"/>
          <w:color w:val="51555C"/>
        </w:rPr>
      </w:pPr>
    </w:p>
    <w:p>
      <w:pPr>
        <w:jc w:val="both"/>
        <w:ind w:left="500" w:hanging="168"/>
        <w:spacing w:after="0" w:line="268" w:lineRule="auto"/>
        <w:tabs>
          <w:tab w:leader="none" w:pos="468" w:val="left"/>
        </w:tabs>
        <w:numPr>
          <w:ilvl w:val="0"/>
          <w:numId w:val="74"/>
        </w:numPr>
        <w:rPr>
          <w:rFonts w:ascii="Arial" w:cs="Arial" w:eastAsia="Arial" w:hAnsi="Arial"/>
          <w:sz w:val="18"/>
          <w:szCs w:val="18"/>
          <w:color w:val="51555C"/>
        </w:rPr>
      </w:pPr>
      <w:r>
        <w:rPr>
          <w:rFonts w:ascii="Arial" w:cs="Arial" w:eastAsia="Arial" w:hAnsi="Arial"/>
          <w:sz w:val="18"/>
          <w:szCs w:val="18"/>
          <w:color w:val="51555C"/>
        </w:rPr>
        <w:t>Reimburse COBRA premiums on a taxable basis for him (and any eligible spouse or dependents) until the earliest of 12 months following the termination date or until he becomes eligible for insurance benefits from another employer or obtains coverage from another source (or otherwise is no longer eligible for COBRA).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51555C"/>
        </w:rPr>
        <w:t>The retention agreements define the term “cause” generally as:</w:t>
      </w:r>
    </w:p>
    <w:p>
      <w:pPr>
        <w:spacing w:after="0" w:line="63" w:lineRule="exact"/>
        <w:rPr>
          <w:sz w:val="20"/>
          <w:szCs w:val="20"/>
          <w:color w:val="auto"/>
        </w:rPr>
      </w:pPr>
    </w:p>
    <w:p>
      <w:pPr>
        <w:ind w:left="460" w:hanging="128"/>
        <w:spacing w:after="0"/>
        <w:tabs>
          <w:tab w:leader="none" w:pos="460" w:val="left"/>
        </w:tabs>
        <w:numPr>
          <w:ilvl w:val="0"/>
          <w:numId w:val="75"/>
        </w:numPr>
        <w:rPr>
          <w:rFonts w:ascii="Arial" w:cs="Arial" w:eastAsia="Arial" w:hAnsi="Arial"/>
          <w:sz w:val="18"/>
          <w:szCs w:val="18"/>
          <w:color w:val="51555C"/>
        </w:rPr>
      </w:pPr>
      <w:r>
        <w:rPr>
          <w:rFonts w:ascii="Arial" w:cs="Arial" w:eastAsia="Arial" w:hAnsi="Arial"/>
          <w:sz w:val="18"/>
          <w:szCs w:val="18"/>
          <w:color w:val="51555C"/>
        </w:rPr>
        <w:t>Conviction or plea of no contest to any felony;</w:t>
      </w:r>
    </w:p>
    <w:p>
      <w:pPr>
        <w:spacing w:after="0" w:line="63" w:lineRule="exact"/>
        <w:rPr>
          <w:rFonts w:ascii="Arial" w:cs="Arial" w:eastAsia="Arial" w:hAnsi="Arial"/>
          <w:sz w:val="18"/>
          <w:szCs w:val="18"/>
          <w:color w:val="51555C"/>
        </w:rPr>
      </w:pPr>
    </w:p>
    <w:p>
      <w:pPr>
        <w:ind w:left="460" w:hanging="128"/>
        <w:spacing w:after="0"/>
        <w:tabs>
          <w:tab w:leader="none" w:pos="460" w:val="left"/>
        </w:tabs>
        <w:numPr>
          <w:ilvl w:val="0"/>
          <w:numId w:val="75"/>
        </w:numPr>
        <w:rPr>
          <w:rFonts w:ascii="Arial" w:cs="Arial" w:eastAsia="Arial" w:hAnsi="Arial"/>
          <w:sz w:val="18"/>
          <w:szCs w:val="18"/>
          <w:color w:val="51555C"/>
        </w:rPr>
      </w:pPr>
      <w:r>
        <w:rPr>
          <w:rFonts w:ascii="Arial" w:cs="Arial" w:eastAsia="Arial" w:hAnsi="Arial"/>
          <w:sz w:val="18"/>
          <w:szCs w:val="18"/>
          <w:color w:val="51555C"/>
        </w:rPr>
        <w:t>Any act of theft, fraud or embezzlement, or any other willful misconduct or willfully dishonest behavior by the officer;</w:t>
      </w:r>
    </w:p>
    <w:p>
      <w:pPr>
        <w:spacing w:after="0" w:line="63" w:lineRule="exact"/>
        <w:rPr>
          <w:rFonts w:ascii="Arial" w:cs="Arial" w:eastAsia="Arial" w:hAnsi="Arial"/>
          <w:sz w:val="18"/>
          <w:szCs w:val="18"/>
          <w:color w:val="51555C"/>
        </w:rPr>
      </w:pPr>
    </w:p>
    <w:p>
      <w:pPr>
        <w:ind w:left="500" w:hanging="168"/>
        <w:spacing w:after="0" w:line="281" w:lineRule="auto"/>
        <w:tabs>
          <w:tab w:leader="none" w:pos="468" w:val="left"/>
        </w:tabs>
        <w:numPr>
          <w:ilvl w:val="0"/>
          <w:numId w:val="75"/>
        </w:numPr>
        <w:rPr>
          <w:rFonts w:ascii="Arial" w:cs="Arial" w:eastAsia="Arial" w:hAnsi="Arial"/>
          <w:sz w:val="18"/>
          <w:szCs w:val="18"/>
          <w:color w:val="51555C"/>
        </w:rPr>
      </w:pPr>
      <w:r>
        <w:rPr>
          <w:rFonts w:ascii="Arial" w:cs="Arial" w:eastAsia="Arial" w:hAnsi="Arial"/>
          <w:sz w:val="18"/>
          <w:szCs w:val="18"/>
          <w:color w:val="51555C"/>
        </w:rPr>
        <w:t>Failure or refusal to perform his or her reasonably assigned duties, provided that such failure or refusal is not corrected within 30 calendar days of notice;</w:t>
      </w:r>
    </w:p>
    <w:p>
      <w:pPr>
        <w:spacing w:after="0" w:line="1" w:lineRule="exact"/>
        <w:rPr>
          <w:rFonts w:ascii="Arial" w:cs="Arial" w:eastAsia="Arial" w:hAnsi="Arial"/>
          <w:sz w:val="18"/>
          <w:szCs w:val="18"/>
          <w:color w:val="51555C"/>
        </w:rPr>
      </w:pPr>
    </w:p>
    <w:p>
      <w:pPr>
        <w:ind w:left="460" w:hanging="128"/>
        <w:spacing w:after="0"/>
        <w:tabs>
          <w:tab w:leader="none" w:pos="460" w:val="left"/>
        </w:tabs>
        <w:numPr>
          <w:ilvl w:val="0"/>
          <w:numId w:val="75"/>
        </w:numPr>
        <w:rPr>
          <w:rFonts w:ascii="Arial" w:cs="Arial" w:eastAsia="Arial" w:hAnsi="Arial"/>
          <w:sz w:val="18"/>
          <w:szCs w:val="18"/>
          <w:color w:val="51555C"/>
        </w:rPr>
      </w:pPr>
      <w:r>
        <w:rPr>
          <w:rFonts w:ascii="Arial" w:cs="Arial" w:eastAsia="Arial" w:hAnsi="Arial"/>
          <w:sz w:val="18"/>
          <w:szCs w:val="18"/>
          <w:color w:val="51555C"/>
        </w:rPr>
        <w:t>Willful violation of his or her employment agreement;</w:t>
      </w:r>
    </w:p>
    <w:p>
      <w:pPr>
        <w:spacing w:after="0" w:line="63" w:lineRule="exact"/>
        <w:rPr>
          <w:rFonts w:ascii="Arial" w:cs="Arial" w:eastAsia="Arial" w:hAnsi="Arial"/>
          <w:sz w:val="18"/>
          <w:szCs w:val="18"/>
          <w:color w:val="51555C"/>
        </w:rPr>
      </w:pPr>
    </w:p>
    <w:p>
      <w:pPr>
        <w:ind w:left="460" w:hanging="128"/>
        <w:spacing w:after="0"/>
        <w:tabs>
          <w:tab w:leader="none" w:pos="460" w:val="left"/>
        </w:tabs>
        <w:numPr>
          <w:ilvl w:val="0"/>
          <w:numId w:val="75"/>
        </w:numPr>
        <w:rPr>
          <w:rFonts w:ascii="Arial" w:cs="Arial" w:eastAsia="Arial" w:hAnsi="Arial"/>
          <w:sz w:val="18"/>
          <w:szCs w:val="18"/>
          <w:color w:val="51555C"/>
        </w:rPr>
      </w:pPr>
      <w:r>
        <w:rPr>
          <w:rFonts w:ascii="Arial" w:cs="Arial" w:eastAsia="Arial" w:hAnsi="Arial"/>
          <w:sz w:val="18"/>
          <w:szCs w:val="18"/>
          <w:color w:val="51555C"/>
        </w:rPr>
        <w:t>Personal conduct which materially discredits or damages the Company; and/or</w:t>
      </w:r>
    </w:p>
    <w:p>
      <w:pPr>
        <w:spacing w:after="0" w:line="63" w:lineRule="exact"/>
        <w:rPr>
          <w:rFonts w:ascii="Arial" w:cs="Arial" w:eastAsia="Arial" w:hAnsi="Arial"/>
          <w:sz w:val="18"/>
          <w:szCs w:val="18"/>
          <w:color w:val="51555C"/>
        </w:rPr>
      </w:pPr>
    </w:p>
    <w:p>
      <w:pPr>
        <w:ind w:left="460" w:hanging="128"/>
        <w:spacing w:after="0"/>
        <w:tabs>
          <w:tab w:leader="none" w:pos="460" w:val="left"/>
        </w:tabs>
        <w:numPr>
          <w:ilvl w:val="0"/>
          <w:numId w:val="75"/>
        </w:numPr>
        <w:rPr>
          <w:rFonts w:ascii="Arial" w:cs="Arial" w:eastAsia="Arial" w:hAnsi="Arial"/>
          <w:sz w:val="18"/>
          <w:szCs w:val="18"/>
          <w:color w:val="51555C"/>
        </w:rPr>
      </w:pPr>
      <w:r>
        <w:rPr>
          <w:rFonts w:ascii="Arial" w:cs="Arial" w:eastAsia="Arial" w:hAnsi="Arial"/>
          <w:sz w:val="18"/>
          <w:szCs w:val="18"/>
          <w:color w:val="51555C"/>
        </w:rPr>
        <w:t>Illegal use of controlled substances.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1555C"/>
        </w:rPr>
        <w:t>The retention agreements define the term “good reason” generally as:</w:t>
      </w:r>
    </w:p>
    <w:p>
      <w:pPr>
        <w:spacing w:after="0" w:line="63" w:lineRule="exact"/>
        <w:rPr>
          <w:sz w:val="20"/>
          <w:szCs w:val="20"/>
          <w:color w:val="auto"/>
        </w:rPr>
      </w:pPr>
    </w:p>
    <w:p>
      <w:pPr>
        <w:ind w:left="500" w:hanging="168"/>
        <w:spacing w:after="0" w:line="281" w:lineRule="auto"/>
        <w:tabs>
          <w:tab w:leader="none" w:pos="468" w:val="left"/>
        </w:tabs>
        <w:numPr>
          <w:ilvl w:val="0"/>
          <w:numId w:val="76"/>
        </w:numPr>
        <w:rPr>
          <w:rFonts w:ascii="Arial" w:cs="Arial" w:eastAsia="Arial" w:hAnsi="Arial"/>
          <w:sz w:val="18"/>
          <w:szCs w:val="18"/>
          <w:color w:val="51555C"/>
        </w:rPr>
      </w:pPr>
      <w:r>
        <w:rPr>
          <w:rFonts w:ascii="Arial" w:cs="Arial" w:eastAsia="Arial" w:hAnsi="Arial"/>
          <w:sz w:val="18"/>
          <w:szCs w:val="18"/>
          <w:color w:val="51555C"/>
        </w:rPr>
        <w:t>Any materially adverse change or material diminution in the office, title, duties, powers, authority or responsibilities of the officer that is not corrected within 30 days of notice;</w:t>
      </w:r>
    </w:p>
    <w:p>
      <w:pPr>
        <w:spacing w:after="0" w:line="1" w:lineRule="exact"/>
        <w:rPr>
          <w:rFonts w:ascii="Arial" w:cs="Arial" w:eastAsia="Arial" w:hAnsi="Arial"/>
          <w:sz w:val="18"/>
          <w:szCs w:val="18"/>
          <w:color w:val="51555C"/>
        </w:rPr>
      </w:pPr>
    </w:p>
    <w:p>
      <w:pPr>
        <w:ind w:left="460" w:hanging="128"/>
        <w:spacing w:after="0"/>
        <w:tabs>
          <w:tab w:leader="none" w:pos="460" w:val="left"/>
        </w:tabs>
        <w:numPr>
          <w:ilvl w:val="0"/>
          <w:numId w:val="76"/>
        </w:numPr>
        <w:rPr>
          <w:rFonts w:ascii="Arial" w:cs="Arial" w:eastAsia="Arial" w:hAnsi="Arial"/>
          <w:sz w:val="18"/>
          <w:szCs w:val="18"/>
          <w:color w:val="51555C"/>
        </w:rPr>
      </w:pPr>
      <w:r>
        <w:rPr>
          <w:rFonts w:ascii="Arial" w:cs="Arial" w:eastAsia="Arial" w:hAnsi="Arial"/>
          <w:sz w:val="18"/>
          <w:szCs w:val="18"/>
          <w:color w:val="51555C"/>
        </w:rPr>
        <w:t>A material reduction in the officer's total annual compensation (which includes base salary, STI equity awards and LTI equity awards);</w:t>
      </w:r>
    </w:p>
    <w:p>
      <w:pPr>
        <w:spacing w:after="0" w:line="63" w:lineRule="exact"/>
        <w:rPr>
          <w:rFonts w:ascii="Arial" w:cs="Arial" w:eastAsia="Arial" w:hAnsi="Arial"/>
          <w:sz w:val="18"/>
          <w:szCs w:val="18"/>
          <w:color w:val="51555C"/>
        </w:rPr>
      </w:pPr>
    </w:p>
    <w:p>
      <w:pPr>
        <w:ind w:left="500" w:hanging="168"/>
        <w:spacing w:after="0" w:line="281" w:lineRule="auto"/>
        <w:tabs>
          <w:tab w:leader="none" w:pos="468" w:val="left"/>
        </w:tabs>
        <w:numPr>
          <w:ilvl w:val="0"/>
          <w:numId w:val="76"/>
        </w:numPr>
        <w:rPr>
          <w:rFonts w:ascii="Arial" w:cs="Arial" w:eastAsia="Arial" w:hAnsi="Arial"/>
          <w:sz w:val="18"/>
          <w:szCs w:val="18"/>
          <w:color w:val="51555C"/>
        </w:rPr>
      </w:pPr>
      <w:r>
        <w:rPr>
          <w:rFonts w:ascii="Arial" w:cs="Arial" w:eastAsia="Arial" w:hAnsi="Arial"/>
          <w:sz w:val="18"/>
          <w:szCs w:val="18"/>
          <w:color w:val="51555C"/>
        </w:rPr>
        <w:t>Failure by us to obtain the assumption in writing of our obligation to honor the officer's retention agreement by any purchaser of all or substantially all of our assets within 30 calendar days after a sale or transfer of such assets; and/or</w:t>
      </w:r>
    </w:p>
    <w:p>
      <w:pPr>
        <w:spacing w:after="0" w:line="1" w:lineRule="exact"/>
        <w:rPr>
          <w:rFonts w:ascii="Arial" w:cs="Arial" w:eastAsia="Arial" w:hAnsi="Arial"/>
          <w:sz w:val="18"/>
          <w:szCs w:val="18"/>
          <w:color w:val="51555C"/>
        </w:rPr>
      </w:pPr>
    </w:p>
    <w:p>
      <w:pPr>
        <w:jc w:val="both"/>
        <w:ind w:left="500" w:hanging="168"/>
        <w:spacing w:after="0" w:line="268" w:lineRule="auto"/>
        <w:tabs>
          <w:tab w:leader="none" w:pos="468" w:val="left"/>
        </w:tabs>
        <w:numPr>
          <w:ilvl w:val="0"/>
          <w:numId w:val="76"/>
        </w:numPr>
        <w:rPr>
          <w:rFonts w:ascii="Arial" w:cs="Arial" w:eastAsia="Arial" w:hAnsi="Arial"/>
          <w:sz w:val="18"/>
          <w:szCs w:val="18"/>
          <w:color w:val="51555C"/>
        </w:rPr>
      </w:pPr>
      <w:r>
        <w:rPr>
          <w:rFonts w:ascii="Arial" w:cs="Arial" w:eastAsia="Arial" w:hAnsi="Arial"/>
          <w:sz w:val="18"/>
          <w:szCs w:val="18"/>
          <w:color w:val="51555C"/>
        </w:rPr>
        <w:t>A relocation of his office to a location more than 40 miles from his or her existing office location (or more than 40 miles from their home location, in the case of officers who are not designated to an office location), without the officer's consent, or a material adverse change in the business travel requirements of the officer's position.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51555C"/>
        </w:rPr>
        <w:t>The retention agreements define the term “change in control” generally as:</w:t>
      </w:r>
    </w:p>
    <w:p>
      <w:pPr>
        <w:spacing w:after="0" w:line="63" w:lineRule="exact"/>
        <w:rPr>
          <w:sz w:val="20"/>
          <w:szCs w:val="20"/>
          <w:color w:val="auto"/>
        </w:rPr>
      </w:pPr>
    </w:p>
    <w:p>
      <w:pPr>
        <w:ind w:left="500" w:right="20" w:hanging="168"/>
        <w:spacing w:after="0" w:line="281" w:lineRule="auto"/>
        <w:tabs>
          <w:tab w:leader="none" w:pos="468" w:val="left"/>
        </w:tabs>
        <w:numPr>
          <w:ilvl w:val="0"/>
          <w:numId w:val="77"/>
        </w:numPr>
        <w:rPr>
          <w:rFonts w:ascii="Arial" w:cs="Arial" w:eastAsia="Arial" w:hAnsi="Arial"/>
          <w:sz w:val="18"/>
          <w:szCs w:val="18"/>
          <w:color w:val="51555C"/>
        </w:rPr>
      </w:pPr>
      <w:r>
        <w:rPr>
          <w:rFonts w:ascii="Arial" w:cs="Arial" w:eastAsia="Arial" w:hAnsi="Arial"/>
          <w:sz w:val="18"/>
          <w:szCs w:val="18"/>
          <w:color w:val="51555C"/>
        </w:rPr>
        <w:t>The consummation of a merger or consolidation in which our stockholders immediately prior to such event own less than 50% of the combined entity immediately following the merger or consolidation;</w:t>
      </w:r>
    </w:p>
    <w:p>
      <w:pPr>
        <w:spacing w:after="0" w:line="1" w:lineRule="exact"/>
        <w:rPr>
          <w:rFonts w:ascii="Arial" w:cs="Arial" w:eastAsia="Arial" w:hAnsi="Arial"/>
          <w:sz w:val="18"/>
          <w:szCs w:val="18"/>
          <w:color w:val="51555C"/>
        </w:rPr>
      </w:pPr>
    </w:p>
    <w:p>
      <w:pPr>
        <w:ind w:left="460" w:hanging="128"/>
        <w:spacing w:after="0"/>
        <w:tabs>
          <w:tab w:leader="none" w:pos="460" w:val="left"/>
        </w:tabs>
        <w:numPr>
          <w:ilvl w:val="0"/>
          <w:numId w:val="77"/>
        </w:numPr>
        <w:rPr>
          <w:rFonts w:ascii="Arial" w:cs="Arial" w:eastAsia="Arial" w:hAnsi="Arial"/>
          <w:sz w:val="18"/>
          <w:szCs w:val="18"/>
          <w:color w:val="51555C"/>
        </w:rPr>
      </w:pPr>
      <w:r>
        <w:rPr>
          <w:rFonts w:ascii="Arial" w:cs="Arial" w:eastAsia="Arial" w:hAnsi="Arial"/>
          <w:sz w:val="18"/>
          <w:szCs w:val="18"/>
          <w:color w:val="51555C"/>
        </w:rPr>
        <w:t>A sale of all or substantially all of our assets;</w:t>
      </w:r>
    </w:p>
    <w:p>
      <w:pPr>
        <w:spacing w:after="0" w:line="382"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64</w:t>
      </w:r>
      <w:r>
        <w:rPr>
          <w:sz w:val="20"/>
          <w:szCs w:val="20"/>
          <w:color w:val="auto"/>
        </w:rPr>
        <w:tab/>
      </w:r>
      <w:r>
        <w:rPr>
          <w:sz w:val="1"/>
          <w:szCs w:val="1"/>
          <w:color w:val="auto"/>
        </w:rPr>
        <w:drawing>
          <wp:inline distT="0" distB="0" distL="0" distR="0">
            <wp:extent cx="702945" cy="111760"/>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02945" cy="111760"/>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66" w:name="page67"/>
    <w:bookmarkEnd w:id="66"/>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b w:val="1"/>
          <w:bCs w:val="1"/>
          <w:color w:val="5155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0" w:hanging="168"/>
        <w:spacing w:after="0" w:line="281" w:lineRule="auto"/>
        <w:tabs>
          <w:tab w:leader="none" w:pos="468" w:val="left"/>
        </w:tabs>
        <w:numPr>
          <w:ilvl w:val="0"/>
          <w:numId w:val="78"/>
        </w:numPr>
        <w:rPr>
          <w:rFonts w:ascii="Arial" w:cs="Arial" w:eastAsia="Arial" w:hAnsi="Arial"/>
          <w:sz w:val="18"/>
          <w:szCs w:val="18"/>
          <w:color w:val="51555C"/>
        </w:rPr>
      </w:pPr>
      <w:r>
        <w:rPr>
          <w:rFonts w:ascii="Arial" w:cs="Arial" w:eastAsia="Arial" w:hAnsi="Arial"/>
          <w:sz w:val="18"/>
          <w:szCs w:val="18"/>
          <w:color w:val="51555C"/>
        </w:rPr>
        <w:t>Acquisition of beneficial ownership where acquirer owns more than 50% of (a) then-outstanding stock or (b) combined voting power of then-outstanding securities entitled to vote; and/or</w:t>
      </w:r>
    </w:p>
    <w:p>
      <w:pPr>
        <w:spacing w:after="0" w:line="1" w:lineRule="exact"/>
        <w:rPr>
          <w:rFonts w:ascii="Arial" w:cs="Arial" w:eastAsia="Arial" w:hAnsi="Arial"/>
          <w:sz w:val="18"/>
          <w:szCs w:val="18"/>
          <w:color w:val="51555C"/>
        </w:rPr>
      </w:pPr>
    </w:p>
    <w:p>
      <w:pPr>
        <w:ind w:left="460" w:hanging="128"/>
        <w:spacing w:after="0"/>
        <w:tabs>
          <w:tab w:leader="none" w:pos="460" w:val="left"/>
        </w:tabs>
        <w:numPr>
          <w:ilvl w:val="0"/>
          <w:numId w:val="78"/>
        </w:numPr>
        <w:rPr>
          <w:rFonts w:ascii="Arial" w:cs="Arial" w:eastAsia="Arial" w:hAnsi="Arial"/>
          <w:sz w:val="18"/>
          <w:szCs w:val="18"/>
          <w:color w:val="51555C"/>
        </w:rPr>
      </w:pPr>
      <w:r>
        <w:rPr>
          <w:rFonts w:ascii="Arial" w:cs="Arial" w:eastAsia="Arial" w:hAnsi="Arial"/>
          <w:sz w:val="18"/>
          <w:szCs w:val="18"/>
          <w:color w:val="51555C"/>
        </w:rPr>
        <w:t>Our liquidation or dissolution.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The severance payments and benefits under the retention agreements are subject to the officer’s timely execution of an effective release of claims. The retention agreements also contain compensation clawback provisions. See “Compensation Recovery” on page 50 of this Proxy Statement for more information.</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The retention agreements also provide that if any payments or benefits to be received by the officer under the retention agreement or otherwise are deemed to be “parachute payments” under Section 280G(b)(2) of the Code, then the payments and benefits under the retention agreement will be reduced to the extent necessary to avoid imposition of any excise tax under Section 4999 of the Code, unless the reduction will result in a lesser after-tax amount to the officer than if the reduction is not made.</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The Form of Retention Agreement signed by Messrs. Anderson, Boor, Benjamin, Gregoire and McDearis is listed as Exhibit 10.26 to our Annual Report on Form 10-K filed on February 21, 2025 with the SEC for the year ended December 31, 2024.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Equity Awards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Our equity incentive plan generally governs the treatment of the equity awards of Messrs. Anderson, Boor, Benjamin, Gregoire and McDearis upon a termination of employment, except for their RSAs, RSUs and PRSUs which are governed by grant agreements.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Upon a termination of employment for any reason other than death or disability, their unvested RSAs, RSUs and PRSUs generally will be immediately forfeited or terminated (except if the retirement component of our LTI program applies to their RSUs or PRSUs, as described beginning on page 49 of this Proxy Statement). However, in the case of termination without cause by us or with good reason by such executive officers within 12 months following a change in control, unvested RSAs, RSUs and PRSUs (and other equity awards) will become vested as described under “Retention Agreements” above.</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In accordance with our Company policies and with approval of the Compensation Committee, if Messrs. Anderson's, Boor's, Benjamin's, Gregoire's or McDearis' employment is terminated due to death or disability, Messrs. Anderson's, Boor's, Benjamin's, Gregoire's and McDearis' RSAs and RSUs will become fully vested, and PRSUs will vest, on a grant-by-grant basis, in an amount equal to the proportion of days in the performance period they worked prior to their death or disability, multiplied by the number of respective PRSUs that would have vested following the end of that performance period had their employment not terminated by death or disability and they had met 100% of their target performance levels (or based on the actual performance achievement, if 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Quantification of 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The following table sets forth the estimated payments and benefits that would be received by our NEOs in the event of a termination of employment, including a termination of employment in connection with a change in control of our Company. These payments and benefits have been quantified assuming that the termination of employment occurred on the last trading day of our most recently completed fiscal year (December 31, 2025) and that the price per share of our common stock was the closing market price on December 31, 2025 ($63.32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219710</wp:posOffset>
            </wp:positionV>
            <wp:extent cx="702945" cy="11112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65</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67" w:name="page68"/>
    <w:bookmarkEnd w:id="67"/>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EXECUTIVE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8"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00" w:type="dxa"/>
            <w:vAlign w:val="bottom"/>
            <w:shd w:val="clear" w:color="auto" w:fill="004054"/>
          </w:tcPr>
          <w:p>
            <w:pPr>
              <w:spacing w:after="0"/>
              <w:rPr>
                <w:sz w:val="19"/>
                <w:szCs w:val="19"/>
                <w:color w:val="auto"/>
              </w:rPr>
            </w:pPr>
          </w:p>
        </w:tc>
        <w:tc>
          <w:tcPr>
            <w:tcW w:w="220" w:type="dxa"/>
            <w:vAlign w:val="bottom"/>
            <w:shd w:val="clear" w:color="auto" w:fill="004054"/>
          </w:tcPr>
          <w:p>
            <w:pPr>
              <w:spacing w:after="0"/>
              <w:rPr>
                <w:sz w:val="19"/>
                <w:szCs w:val="19"/>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Mr. Gianoni</w:t>
            </w:r>
          </w:p>
        </w:tc>
        <w:tc>
          <w:tcPr>
            <w:tcW w:w="240" w:type="dxa"/>
            <w:vAlign w:val="bottom"/>
            <w:shd w:val="clear" w:color="auto" w:fill="004054"/>
          </w:tcPr>
          <w:p>
            <w:pPr>
              <w:spacing w:after="0"/>
              <w:rPr>
                <w:sz w:val="19"/>
                <w:szCs w:val="19"/>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Mr. Anderson</w:t>
            </w:r>
          </w:p>
        </w:tc>
        <w:tc>
          <w:tcPr>
            <w:tcW w:w="280" w:type="dxa"/>
            <w:vAlign w:val="bottom"/>
            <w:shd w:val="clear" w:color="auto" w:fill="004054"/>
          </w:tcPr>
          <w:p>
            <w:pPr>
              <w:spacing w:after="0"/>
              <w:rPr>
                <w:sz w:val="19"/>
                <w:szCs w:val="19"/>
                <w:color w:val="auto"/>
              </w:rPr>
            </w:pPr>
          </w:p>
        </w:tc>
        <w:tc>
          <w:tcPr>
            <w:tcW w:w="10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Mr. Boor</w:t>
            </w:r>
          </w:p>
        </w:tc>
        <w:tc>
          <w:tcPr>
            <w:tcW w:w="260" w:type="dxa"/>
            <w:vAlign w:val="bottom"/>
            <w:shd w:val="clear" w:color="auto" w:fill="004054"/>
          </w:tcPr>
          <w:p>
            <w:pPr>
              <w:spacing w:after="0"/>
              <w:rPr>
                <w:sz w:val="19"/>
                <w:szCs w:val="19"/>
                <w:color w:val="auto"/>
              </w:rPr>
            </w:pPr>
          </w:p>
        </w:tc>
        <w:tc>
          <w:tcPr>
            <w:tcW w:w="10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Mr. Benjamin</w:t>
            </w:r>
          </w:p>
        </w:tc>
        <w:tc>
          <w:tcPr>
            <w:tcW w:w="280" w:type="dxa"/>
            <w:vAlign w:val="bottom"/>
            <w:shd w:val="clear" w:color="auto" w:fill="004054"/>
          </w:tcPr>
          <w:p>
            <w:pPr>
              <w:spacing w:after="0"/>
              <w:rPr>
                <w:sz w:val="19"/>
                <w:szCs w:val="19"/>
                <w:color w:val="auto"/>
              </w:rPr>
            </w:pPr>
          </w:p>
        </w:tc>
        <w:tc>
          <w:tcPr>
            <w:tcW w:w="10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Mr. Gregoire</w:t>
            </w:r>
          </w:p>
        </w:tc>
        <w:tc>
          <w:tcPr>
            <w:tcW w:w="260" w:type="dxa"/>
            <w:vAlign w:val="bottom"/>
            <w:shd w:val="clear" w:color="auto" w:fill="004054"/>
          </w:tcPr>
          <w:p>
            <w:pPr>
              <w:spacing w:after="0"/>
              <w:rPr>
                <w:sz w:val="19"/>
                <w:szCs w:val="19"/>
                <w:color w:val="auto"/>
              </w:rPr>
            </w:pPr>
          </w:p>
        </w:tc>
        <w:tc>
          <w:tcPr>
            <w:tcW w:w="10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Mr. McDearis</w:t>
            </w:r>
          </w:p>
        </w:tc>
        <w:tc>
          <w:tcPr>
            <w:tcW w:w="0" w:type="dxa"/>
            <w:vAlign w:val="bottom"/>
          </w:tcPr>
          <w:p>
            <w:pPr>
              <w:spacing w:after="0"/>
              <w:rPr>
                <w:sz w:val="1"/>
                <w:szCs w:val="1"/>
                <w:color w:val="auto"/>
              </w:rPr>
            </w:pPr>
          </w:p>
        </w:tc>
      </w:tr>
      <w:tr>
        <w:trPr>
          <w:trHeight w:val="278"/>
        </w:trPr>
        <w:tc>
          <w:tcPr>
            <w:tcW w:w="340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Termination by Company Without</w:t>
            </w:r>
          </w:p>
        </w:tc>
        <w:tc>
          <w:tcPr>
            <w:tcW w:w="220" w:type="dxa"/>
            <w:vAlign w:val="bottom"/>
            <w:shd w:val="clear" w:color="auto" w:fill="EBFBFF"/>
          </w:tcPr>
          <w:p>
            <w:pPr>
              <w:spacing w:after="0"/>
              <w:rPr>
                <w:sz w:val="24"/>
                <w:szCs w:val="24"/>
                <w:color w:val="auto"/>
              </w:rPr>
            </w:pPr>
          </w:p>
        </w:tc>
        <w:tc>
          <w:tcPr>
            <w:tcW w:w="1080" w:type="dxa"/>
            <w:vAlign w:val="bottom"/>
            <w:shd w:val="clear" w:color="auto" w:fill="EBFBFF"/>
          </w:tcPr>
          <w:p>
            <w:pPr>
              <w:spacing w:after="0"/>
              <w:rPr>
                <w:sz w:val="24"/>
                <w:szCs w:val="24"/>
                <w:color w:val="auto"/>
              </w:rPr>
            </w:pPr>
          </w:p>
        </w:tc>
        <w:tc>
          <w:tcPr>
            <w:tcW w:w="240" w:type="dxa"/>
            <w:vAlign w:val="bottom"/>
            <w:shd w:val="clear" w:color="auto" w:fill="EBFBFF"/>
          </w:tcPr>
          <w:p>
            <w:pPr>
              <w:spacing w:after="0"/>
              <w:rPr>
                <w:sz w:val="24"/>
                <w:szCs w:val="24"/>
                <w:color w:val="auto"/>
              </w:rPr>
            </w:pPr>
          </w:p>
        </w:tc>
        <w:tc>
          <w:tcPr>
            <w:tcW w:w="1060" w:type="dxa"/>
            <w:vAlign w:val="bottom"/>
            <w:shd w:val="clear" w:color="auto" w:fill="EBFBFF"/>
          </w:tcPr>
          <w:p>
            <w:pPr>
              <w:spacing w:after="0"/>
              <w:rPr>
                <w:sz w:val="24"/>
                <w:szCs w:val="24"/>
                <w:color w:val="auto"/>
              </w:rPr>
            </w:pPr>
          </w:p>
        </w:tc>
        <w:tc>
          <w:tcPr>
            <w:tcW w:w="280" w:type="dxa"/>
            <w:vAlign w:val="bottom"/>
            <w:shd w:val="clear" w:color="auto" w:fill="EBFBFF"/>
          </w:tcPr>
          <w:p>
            <w:pPr>
              <w:spacing w:after="0"/>
              <w:rPr>
                <w:sz w:val="24"/>
                <w:szCs w:val="24"/>
                <w:color w:val="auto"/>
              </w:rPr>
            </w:pPr>
          </w:p>
        </w:tc>
        <w:tc>
          <w:tcPr>
            <w:tcW w:w="1040" w:type="dxa"/>
            <w:vAlign w:val="bottom"/>
            <w:shd w:val="clear" w:color="auto" w:fill="EBFBFF"/>
          </w:tcPr>
          <w:p>
            <w:pPr>
              <w:spacing w:after="0"/>
              <w:rPr>
                <w:sz w:val="24"/>
                <w:szCs w:val="24"/>
                <w:color w:val="auto"/>
              </w:rPr>
            </w:pPr>
          </w:p>
        </w:tc>
        <w:tc>
          <w:tcPr>
            <w:tcW w:w="260" w:type="dxa"/>
            <w:vAlign w:val="bottom"/>
            <w:shd w:val="clear" w:color="auto" w:fill="EBFBFF"/>
          </w:tcPr>
          <w:p>
            <w:pPr>
              <w:spacing w:after="0"/>
              <w:rPr>
                <w:sz w:val="24"/>
                <w:szCs w:val="24"/>
                <w:color w:val="auto"/>
              </w:rPr>
            </w:pPr>
          </w:p>
        </w:tc>
        <w:tc>
          <w:tcPr>
            <w:tcW w:w="1040" w:type="dxa"/>
            <w:vAlign w:val="bottom"/>
            <w:shd w:val="clear" w:color="auto" w:fill="EBFBFF"/>
          </w:tcPr>
          <w:p>
            <w:pPr>
              <w:spacing w:after="0"/>
              <w:rPr>
                <w:sz w:val="24"/>
                <w:szCs w:val="24"/>
                <w:color w:val="auto"/>
              </w:rPr>
            </w:pPr>
          </w:p>
        </w:tc>
        <w:tc>
          <w:tcPr>
            <w:tcW w:w="280" w:type="dxa"/>
            <w:vAlign w:val="bottom"/>
            <w:shd w:val="clear" w:color="auto" w:fill="EBFBFF"/>
          </w:tcPr>
          <w:p>
            <w:pPr>
              <w:spacing w:after="0"/>
              <w:rPr>
                <w:sz w:val="24"/>
                <w:szCs w:val="24"/>
                <w:color w:val="auto"/>
              </w:rPr>
            </w:pPr>
          </w:p>
        </w:tc>
        <w:tc>
          <w:tcPr>
            <w:tcW w:w="1040" w:type="dxa"/>
            <w:vAlign w:val="bottom"/>
            <w:shd w:val="clear" w:color="auto" w:fill="EBFBFF"/>
          </w:tcPr>
          <w:p>
            <w:pPr>
              <w:spacing w:after="0"/>
              <w:rPr>
                <w:sz w:val="24"/>
                <w:szCs w:val="24"/>
                <w:color w:val="auto"/>
              </w:rPr>
            </w:pPr>
          </w:p>
        </w:tc>
        <w:tc>
          <w:tcPr>
            <w:tcW w:w="260" w:type="dxa"/>
            <w:vAlign w:val="bottom"/>
            <w:shd w:val="clear" w:color="auto" w:fill="EBFBFF"/>
          </w:tcPr>
          <w:p>
            <w:pPr>
              <w:spacing w:after="0"/>
              <w:rPr>
                <w:sz w:val="24"/>
                <w:szCs w:val="24"/>
                <w:color w:val="auto"/>
              </w:rPr>
            </w:pPr>
          </w:p>
        </w:tc>
        <w:tc>
          <w:tcPr>
            <w:tcW w:w="1040" w:type="dxa"/>
            <w:vAlign w:val="bottom"/>
            <w:shd w:val="clear" w:color="auto" w:fill="EBFB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Cause or Resignation for Good</w:t>
            </w:r>
          </w:p>
        </w:tc>
        <w:tc>
          <w:tcPr>
            <w:tcW w:w="220" w:type="dxa"/>
            <w:vAlign w:val="bottom"/>
            <w:shd w:val="clear" w:color="auto" w:fill="EBFBFF"/>
          </w:tcPr>
          <w:p>
            <w:pPr>
              <w:spacing w:after="0"/>
              <w:rPr>
                <w:sz w:val="18"/>
                <w:szCs w:val="18"/>
                <w:color w:val="auto"/>
              </w:rPr>
            </w:pPr>
          </w:p>
        </w:tc>
        <w:tc>
          <w:tcPr>
            <w:tcW w:w="1080" w:type="dxa"/>
            <w:vAlign w:val="bottom"/>
            <w:shd w:val="clear" w:color="auto" w:fill="EBFBFF"/>
          </w:tcPr>
          <w:p>
            <w:pPr>
              <w:spacing w:after="0"/>
              <w:rPr>
                <w:sz w:val="18"/>
                <w:szCs w:val="18"/>
                <w:color w:val="auto"/>
              </w:rPr>
            </w:pPr>
          </w:p>
        </w:tc>
        <w:tc>
          <w:tcPr>
            <w:tcW w:w="240" w:type="dxa"/>
            <w:vAlign w:val="bottom"/>
            <w:shd w:val="clear" w:color="auto" w:fill="EBFBFF"/>
          </w:tcPr>
          <w:p>
            <w:pPr>
              <w:spacing w:after="0"/>
              <w:rPr>
                <w:sz w:val="18"/>
                <w:szCs w:val="18"/>
                <w:color w:val="auto"/>
              </w:rPr>
            </w:pPr>
          </w:p>
        </w:tc>
        <w:tc>
          <w:tcPr>
            <w:tcW w:w="1060" w:type="dxa"/>
            <w:vAlign w:val="bottom"/>
            <w:shd w:val="clear" w:color="auto" w:fill="EBFBFF"/>
          </w:tcPr>
          <w:p>
            <w:pPr>
              <w:spacing w:after="0"/>
              <w:rPr>
                <w:sz w:val="18"/>
                <w:szCs w:val="18"/>
                <w:color w:val="auto"/>
              </w:rPr>
            </w:pPr>
          </w:p>
        </w:tc>
        <w:tc>
          <w:tcPr>
            <w:tcW w:w="280" w:type="dxa"/>
            <w:vAlign w:val="bottom"/>
            <w:shd w:val="clear" w:color="auto" w:fill="EBFBFF"/>
          </w:tcPr>
          <w:p>
            <w:pPr>
              <w:spacing w:after="0"/>
              <w:rPr>
                <w:sz w:val="18"/>
                <w:szCs w:val="18"/>
                <w:color w:val="auto"/>
              </w:rPr>
            </w:pPr>
          </w:p>
        </w:tc>
        <w:tc>
          <w:tcPr>
            <w:tcW w:w="1040" w:type="dxa"/>
            <w:vAlign w:val="bottom"/>
            <w:shd w:val="clear" w:color="auto" w:fill="EBFBFF"/>
          </w:tcPr>
          <w:p>
            <w:pPr>
              <w:spacing w:after="0"/>
              <w:rPr>
                <w:sz w:val="18"/>
                <w:szCs w:val="18"/>
                <w:color w:val="auto"/>
              </w:rPr>
            </w:pPr>
          </w:p>
        </w:tc>
        <w:tc>
          <w:tcPr>
            <w:tcW w:w="260" w:type="dxa"/>
            <w:vAlign w:val="bottom"/>
            <w:shd w:val="clear" w:color="auto" w:fill="EBFBFF"/>
          </w:tcPr>
          <w:p>
            <w:pPr>
              <w:spacing w:after="0"/>
              <w:rPr>
                <w:sz w:val="18"/>
                <w:szCs w:val="18"/>
                <w:color w:val="auto"/>
              </w:rPr>
            </w:pPr>
          </w:p>
        </w:tc>
        <w:tc>
          <w:tcPr>
            <w:tcW w:w="1040" w:type="dxa"/>
            <w:vAlign w:val="bottom"/>
            <w:shd w:val="clear" w:color="auto" w:fill="EBFBFF"/>
          </w:tcPr>
          <w:p>
            <w:pPr>
              <w:spacing w:after="0"/>
              <w:rPr>
                <w:sz w:val="18"/>
                <w:szCs w:val="18"/>
                <w:color w:val="auto"/>
              </w:rPr>
            </w:pPr>
          </w:p>
        </w:tc>
        <w:tc>
          <w:tcPr>
            <w:tcW w:w="280" w:type="dxa"/>
            <w:vAlign w:val="bottom"/>
            <w:shd w:val="clear" w:color="auto" w:fill="EBFBFF"/>
          </w:tcPr>
          <w:p>
            <w:pPr>
              <w:spacing w:after="0"/>
              <w:rPr>
                <w:sz w:val="18"/>
                <w:szCs w:val="18"/>
                <w:color w:val="auto"/>
              </w:rPr>
            </w:pPr>
          </w:p>
        </w:tc>
        <w:tc>
          <w:tcPr>
            <w:tcW w:w="1040" w:type="dxa"/>
            <w:vAlign w:val="bottom"/>
            <w:shd w:val="clear" w:color="auto" w:fill="EBFBFF"/>
          </w:tcPr>
          <w:p>
            <w:pPr>
              <w:spacing w:after="0"/>
              <w:rPr>
                <w:sz w:val="18"/>
                <w:szCs w:val="18"/>
                <w:color w:val="auto"/>
              </w:rPr>
            </w:pPr>
          </w:p>
        </w:tc>
        <w:tc>
          <w:tcPr>
            <w:tcW w:w="260" w:type="dxa"/>
            <w:vAlign w:val="bottom"/>
            <w:shd w:val="clear" w:color="auto" w:fill="EBFBFF"/>
          </w:tcPr>
          <w:p>
            <w:pPr>
              <w:spacing w:after="0"/>
              <w:rPr>
                <w:sz w:val="18"/>
                <w:szCs w:val="18"/>
                <w:color w:val="auto"/>
              </w:rPr>
            </w:pPr>
          </w:p>
        </w:tc>
        <w:tc>
          <w:tcPr>
            <w:tcW w:w="1040" w:type="dxa"/>
            <w:vAlign w:val="bottom"/>
            <w:shd w:val="clear" w:color="auto" w:fill="EBFB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40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Reason</w:t>
            </w:r>
          </w:p>
        </w:tc>
        <w:tc>
          <w:tcPr>
            <w:tcW w:w="220" w:type="dxa"/>
            <w:vAlign w:val="bottom"/>
            <w:shd w:val="clear" w:color="auto" w:fill="EBFBFF"/>
          </w:tcPr>
          <w:p>
            <w:pPr>
              <w:spacing w:after="0"/>
              <w:rPr>
                <w:sz w:val="21"/>
                <w:szCs w:val="21"/>
                <w:color w:val="auto"/>
              </w:rPr>
            </w:pPr>
          </w:p>
        </w:tc>
        <w:tc>
          <w:tcPr>
            <w:tcW w:w="1080" w:type="dxa"/>
            <w:vAlign w:val="bottom"/>
            <w:shd w:val="clear" w:color="auto" w:fill="EBFBFF"/>
          </w:tcPr>
          <w:p>
            <w:pPr>
              <w:spacing w:after="0"/>
              <w:rPr>
                <w:sz w:val="21"/>
                <w:szCs w:val="21"/>
                <w:color w:val="auto"/>
              </w:rPr>
            </w:pPr>
          </w:p>
        </w:tc>
        <w:tc>
          <w:tcPr>
            <w:tcW w:w="240" w:type="dxa"/>
            <w:vAlign w:val="bottom"/>
            <w:shd w:val="clear" w:color="auto" w:fill="EBFBFF"/>
          </w:tcPr>
          <w:p>
            <w:pPr>
              <w:spacing w:after="0"/>
              <w:rPr>
                <w:sz w:val="21"/>
                <w:szCs w:val="21"/>
                <w:color w:val="auto"/>
              </w:rPr>
            </w:pPr>
          </w:p>
        </w:tc>
        <w:tc>
          <w:tcPr>
            <w:tcW w:w="1060" w:type="dxa"/>
            <w:vAlign w:val="bottom"/>
            <w:shd w:val="clear" w:color="auto" w:fill="EBFBFF"/>
          </w:tcPr>
          <w:p>
            <w:pPr>
              <w:spacing w:after="0"/>
              <w:rPr>
                <w:sz w:val="21"/>
                <w:szCs w:val="21"/>
                <w:color w:val="auto"/>
              </w:rPr>
            </w:pPr>
          </w:p>
        </w:tc>
        <w:tc>
          <w:tcPr>
            <w:tcW w:w="280" w:type="dxa"/>
            <w:vAlign w:val="bottom"/>
            <w:shd w:val="clear" w:color="auto" w:fill="EBFBFF"/>
          </w:tcPr>
          <w:p>
            <w:pPr>
              <w:spacing w:after="0"/>
              <w:rPr>
                <w:sz w:val="21"/>
                <w:szCs w:val="21"/>
                <w:color w:val="auto"/>
              </w:rPr>
            </w:pPr>
          </w:p>
        </w:tc>
        <w:tc>
          <w:tcPr>
            <w:tcW w:w="104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spacing w:after="0"/>
              <w:rPr>
                <w:sz w:val="21"/>
                <w:szCs w:val="21"/>
                <w:color w:val="auto"/>
              </w:rPr>
            </w:pPr>
          </w:p>
        </w:tc>
        <w:tc>
          <w:tcPr>
            <w:tcW w:w="280" w:type="dxa"/>
            <w:vAlign w:val="bottom"/>
            <w:shd w:val="clear" w:color="auto" w:fill="EBFBFF"/>
          </w:tcPr>
          <w:p>
            <w:pPr>
              <w:spacing w:after="0"/>
              <w:rPr>
                <w:sz w:val="21"/>
                <w:szCs w:val="21"/>
                <w:color w:val="auto"/>
              </w:rPr>
            </w:pPr>
          </w:p>
        </w:tc>
        <w:tc>
          <w:tcPr>
            <w:tcW w:w="104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3400" w:type="dxa"/>
            <w:vAlign w:val="bottom"/>
            <w:shd w:val="clear" w:color="auto" w:fill="EBFBFF"/>
          </w:tcPr>
          <w:p>
            <w:pPr>
              <w:ind w:left="440"/>
              <w:spacing w:after="0"/>
              <w:rPr>
                <w:sz w:val="20"/>
                <w:szCs w:val="20"/>
                <w:color w:val="auto"/>
              </w:rPr>
            </w:pPr>
            <w:r>
              <w:rPr>
                <w:rFonts w:ascii="Arial" w:cs="Arial" w:eastAsia="Arial" w:hAnsi="Arial"/>
                <w:sz w:val="18"/>
                <w:szCs w:val="18"/>
                <w:color w:val="51555C"/>
              </w:rPr>
              <w:t>Base salary</w:t>
            </w:r>
          </w:p>
        </w:tc>
        <w:tc>
          <w:tcPr>
            <w:tcW w:w="220" w:type="dxa"/>
            <w:vAlign w:val="bottom"/>
            <w:shd w:val="clear" w:color="auto" w:fill="EBFBFF"/>
          </w:tcPr>
          <w:p>
            <w:pPr>
              <w:jc w:val="right"/>
              <w:ind w:right="10"/>
              <w:spacing w:after="0"/>
              <w:rPr>
                <w:sz w:val="20"/>
                <w:szCs w:val="20"/>
                <w:color w:val="auto"/>
              </w:rPr>
            </w:pPr>
            <w:r>
              <w:rPr>
                <w:rFonts w:ascii="Arial" w:cs="Arial" w:eastAsia="Arial" w:hAnsi="Arial"/>
                <w:sz w:val="18"/>
                <w:szCs w:val="18"/>
                <w:color w:val="51555C"/>
                <w:w w:val="99"/>
              </w:rPr>
              <w:t>$</w:t>
            </w:r>
          </w:p>
        </w:tc>
        <w:tc>
          <w:tcPr>
            <w:tcW w:w="10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1,600,000</w:t>
            </w:r>
          </w:p>
        </w:tc>
        <w:tc>
          <w:tcPr>
            <w:tcW w:w="240" w:type="dxa"/>
            <w:vAlign w:val="bottom"/>
            <w:shd w:val="clear" w:color="auto" w:fill="EBFBFF"/>
          </w:tcPr>
          <w:p>
            <w:pPr>
              <w:jc w:val="right"/>
              <w:ind w:right="30"/>
              <w:spacing w:after="0"/>
              <w:rPr>
                <w:sz w:val="20"/>
                <w:szCs w:val="20"/>
                <w:color w:val="auto"/>
              </w:rPr>
            </w:pPr>
            <w:r>
              <w:rPr>
                <w:rFonts w:ascii="Arial" w:cs="Arial" w:eastAsia="Arial" w:hAnsi="Arial"/>
                <w:sz w:val="18"/>
                <w:szCs w:val="18"/>
                <w:color w:val="51555C"/>
                <w:w w:val="99"/>
              </w:rPr>
              <w:t>$</w:t>
            </w:r>
          </w:p>
        </w:tc>
        <w:tc>
          <w:tcPr>
            <w:tcW w:w="1340" w:type="dxa"/>
            <w:vAlign w:val="bottom"/>
            <w:gridSpan w:val="2"/>
            <w:shd w:val="clear" w:color="auto" w:fill="EBFBFF"/>
          </w:tcPr>
          <w:p>
            <w:pPr>
              <w:jc w:val="right"/>
              <w:ind w:right="70"/>
              <w:spacing w:after="0"/>
              <w:rPr>
                <w:sz w:val="20"/>
                <w:szCs w:val="20"/>
                <w:color w:val="auto"/>
              </w:rPr>
            </w:pPr>
            <w:r>
              <w:rPr>
                <w:rFonts w:ascii="Arial" w:cs="Arial" w:eastAsia="Arial" w:hAnsi="Arial"/>
                <w:sz w:val="18"/>
                <w:szCs w:val="18"/>
                <w:color w:val="51555C"/>
              </w:rPr>
              <w:t>— $</w:t>
            </w:r>
          </w:p>
        </w:tc>
        <w:tc>
          <w:tcPr>
            <w:tcW w:w="1300" w:type="dxa"/>
            <w:vAlign w:val="bottom"/>
            <w:gridSpan w:val="2"/>
            <w:shd w:val="clear" w:color="auto" w:fill="EBFBFF"/>
          </w:tcPr>
          <w:p>
            <w:pPr>
              <w:jc w:val="right"/>
              <w:ind w:right="50"/>
              <w:spacing w:after="0"/>
              <w:rPr>
                <w:sz w:val="20"/>
                <w:szCs w:val="20"/>
                <w:color w:val="auto"/>
              </w:rPr>
            </w:pPr>
            <w:r>
              <w:rPr>
                <w:rFonts w:ascii="Arial" w:cs="Arial" w:eastAsia="Arial" w:hAnsi="Arial"/>
                <w:sz w:val="18"/>
                <w:szCs w:val="18"/>
                <w:color w:val="51555C"/>
              </w:rPr>
              <w:t>— $</w:t>
            </w:r>
          </w:p>
        </w:tc>
        <w:tc>
          <w:tcPr>
            <w:tcW w:w="1320" w:type="dxa"/>
            <w:vAlign w:val="bottom"/>
            <w:gridSpan w:val="2"/>
            <w:shd w:val="clear" w:color="auto" w:fill="EBFBFF"/>
          </w:tcPr>
          <w:p>
            <w:pPr>
              <w:jc w:val="right"/>
              <w:ind w:right="70"/>
              <w:spacing w:after="0"/>
              <w:rPr>
                <w:sz w:val="20"/>
                <w:szCs w:val="20"/>
                <w:color w:val="auto"/>
              </w:rPr>
            </w:pPr>
            <w:r>
              <w:rPr>
                <w:rFonts w:ascii="Arial" w:cs="Arial" w:eastAsia="Arial" w:hAnsi="Arial"/>
                <w:sz w:val="18"/>
                <w:szCs w:val="18"/>
                <w:color w:val="51555C"/>
              </w:rPr>
              <w:t>— $</w:t>
            </w:r>
          </w:p>
        </w:tc>
        <w:tc>
          <w:tcPr>
            <w:tcW w:w="1300" w:type="dxa"/>
            <w:vAlign w:val="bottom"/>
            <w:gridSpan w:val="2"/>
            <w:shd w:val="clear" w:color="auto" w:fill="EBFBFF"/>
          </w:tcPr>
          <w:p>
            <w:pPr>
              <w:jc w:val="right"/>
              <w:ind w:right="50"/>
              <w:spacing w:after="0"/>
              <w:rPr>
                <w:sz w:val="20"/>
                <w:szCs w:val="20"/>
                <w:color w:val="auto"/>
              </w:rPr>
            </w:pPr>
            <w:r>
              <w:rPr>
                <w:rFonts w:ascii="Arial" w:cs="Arial" w:eastAsia="Arial" w:hAnsi="Arial"/>
                <w:sz w:val="18"/>
                <w:szCs w:val="18"/>
                <w:color w:val="51555C"/>
              </w:rPr>
              <w:t>— $</w:t>
            </w:r>
          </w:p>
        </w:tc>
        <w:tc>
          <w:tcPr>
            <w:tcW w:w="10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0" w:type="dxa"/>
            <w:vAlign w:val="bottom"/>
          </w:tcPr>
          <w:p>
            <w:pPr>
              <w:spacing w:after="0"/>
              <w:rPr>
                <w:sz w:val="1"/>
                <w:szCs w:val="1"/>
                <w:color w:val="auto"/>
              </w:rPr>
            </w:pPr>
          </w:p>
        </w:tc>
      </w:tr>
      <w:tr>
        <w:trPr>
          <w:trHeight w:val="347"/>
        </w:trPr>
        <w:tc>
          <w:tcPr>
            <w:tcW w:w="3400" w:type="dxa"/>
            <w:vAlign w:val="bottom"/>
            <w:shd w:val="clear" w:color="auto" w:fill="EBFBFF"/>
          </w:tcPr>
          <w:p>
            <w:pPr>
              <w:ind w:left="220"/>
              <w:spacing w:after="0"/>
              <w:rPr>
                <w:sz w:val="20"/>
                <w:szCs w:val="20"/>
                <w:color w:val="auto"/>
              </w:rPr>
            </w:pPr>
            <w:r>
              <w:rPr>
                <w:rFonts w:ascii="Arial" w:cs="Arial" w:eastAsia="Arial" w:hAnsi="Arial"/>
                <w:sz w:val="18"/>
                <w:szCs w:val="18"/>
                <w:color w:val="51555C"/>
              </w:rPr>
              <w:t>Lump sum bonus payment</w:t>
            </w:r>
            <w:r>
              <w:rPr>
                <w:rFonts w:ascii="Arial" w:cs="Arial" w:eastAsia="Arial" w:hAnsi="Arial"/>
                <w:sz w:val="23"/>
                <w:szCs w:val="23"/>
                <w:color w:val="51555C"/>
                <w:vertAlign w:val="superscript"/>
              </w:rPr>
              <w:t>(1)</w:t>
            </w:r>
          </w:p>
        </w:tc>
        <w:tc>
          <w:tcPr>
            <w:tcW w:w="220" w:type="dxa"/>
            <w:vAlign w:val="bottom"/>
            <w:shd w:val="clear" w:color="auto" w:fill="EBFBFF"/>
          </w:tcPr>
          <w:p>
            <w:pPr>
              <w:spacing w:after="0"/>
              <w:rPr>
                <w:sz w:val="24"/>
                <w:szCs w:val="24"/>
                <w:color w:val="auto"/>
              </w:rPr>
            </w:pPr>
          </w:p>
        </w:tc>
        <w:tc>
          <w:tcPr>
            <w:tcW w:w="10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713,183</w:t>
            </w:r>
          </w:p>
        </w:tc>
        <w:tc>
          <w:tcPr>
            <w:tcW w:w="240" w:type="dxa"/>
            <w:vAlign w:val="bottom"/>
            <w:shd w:val="clear" w:color="auto" w:fill="EBFBFF"/>
          </w:tcPr>
          <w:p>
            <w:pPr>
              <w:spacing w:after="0"/>
              <w:rPr>
                <w:sz w:val="24"/>
                <w:szCs w:val="24"/>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80" w:type="dxa"/>
            <w:vAlign w:val="bottom"/>
            <w:shd w:val="clear" w:color="auto" w:fill="EBFBFF"/>
          </w:tcPr>
          <w:p>
            <w:pPr>
              <w:spacing w:after="0"/>
              <w:rPr>
                <w:sz w:val="24"/>
                <w:szCs w:val="24"/>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60" w:type="dxa"/>
            <w:vAlign w:val="bottom"/>
            <w:shd w:val="clear" w:color="auto" w:fill="EBFBFF"/>
          </w:tcPr>
          <w:p>
            <w:pPr>
              <w:spacing w:after="0"/>
              <w:rPr>
                <w:sz w:val="24"/>
                <w:szCs w:val="24"/>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80" w:type="dxa"/>
            <w:vAlign w:val="bottom"/>
            <w:shd w:val="clear" w:color="auto" w:fill="EBFBFF"/>
          </w:tcPr>
          <w:p>
            <w:pPr>
              <w:spacing w:after="0"/>
              <w:rPr>
                <w:sz w:val="24"/>
                <w:szCs w:val="24"/>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60" w:type="dxa"/>
            <w:vAlign w:val="bottom"/>
            <w:shd w:val="clear" w:color="auto" w:fill="EBFBFF"/>
          </w:tcPr>
          <w:p>
            <w:pPr>
              <w:spacing w:after="0"/>
              <w:rPr>
                <w:sz w:val="24"/>
                <w:szCs w:val="24"/>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0" w:type="dxa"/>
            <w:vAlign w:val="bottom"/>
          </w:tcPr>
          <w:p>
            <w:pPr>
              <w:spacing w:after="0"/>
              <w:rPr>
                <w:sz w:val="1"/>
                <w:szCs w:val="1"/>
                <w:color w:val="auto"/>
              </w:rPr>
            </w:pPr>
          </w:p>
        </w:tc>
      </w:tr>
      <w:tr>
        <w:trPr>
          <w:trHeight w:val="276"/>
        </w:trPr>
        <w:tc>
          <w:tcPr>
            <w:tcW w:w="3400" w:type="dxa"/>
            <w:vAlign w:val="bottom"/>
            <w:shd w:val="clear" w:color="auto" w:fill="EBFBFF"/>
          </w:tcPr>
          <w:p>
            <w:pPr>
              <w:ind w:left="220"/>
              <w:spacing w:after="0"/>
              <w:rPr>
                <w:sz w:val="20"/>
                <w:szCs w:val="20"/>
                <w:color w:val="auto"/>
              </w:rPr>
            </w:pPr>
            <w:r>
              <w:rPr>
                <w:rFonts w:ascii="Arial" w:cs="Arial" w:eastAsia="Arial" w:hAnsi="Arial"/>
                <w:sz w:val="18"/>
                <w:szCs w:val="18"/>
                <w:color w:val="51555C"/>
              </w:rPr>
              <w:t>Value of acceleration of equity</w:t>
            </w:r>
          </w:p>
        </w:tc>
        <w:tc>
          <w:tcPr>
            <w:tcW w:w="220" w:type="dxa"/>
            <w:vAlign w:val="bottom"/>
            <w:shd w:val="clear" w:color="auto" w:fill="EBFBFF"/>
          </w:tcPr>
          <w:p>
            <w:pPr>
              <w:spacing w:after="0"/>
              <w:rPr>
                <w:sz w:val="23"/>
                <w:szCs w:val="23"/>
                <w:color w:val="auto"/>
              </w:rPr>
            </w:pPr>
          </w:p>
        </w:tc>
        <w:tc>
          <w:tcPr>
            <w:tcW w:w="1080" w:type="dxa"/>
            <w:vAlign w:val="bottom"/>
            <w:shd w:val="clear" w:color="auto" w:fill="EBFBFF"/>
          </w:tcPr>
          <w:p>
            <w:pPr>
              <w:spacing w:after="0"/>
              <w:rPr>
                <w:sz w:val="23"/>
                <w:szCs w:val="23"/>
                <w:color w:val="auto"/>
              </w:rPr>
            </w:pPr>
          </w:p>
        </w:tc>
        <w:tc>
          <w:tcPr>
            <w:tcW w:w="240" w:type="dxa"/>
            <w:vAlign w:val="bottom"/>
            <w:shd w:val="clear" w:color="auto" w:fill="EBFBFF"/>
          </w:tcPr>
          <w:p>
            <w:pPr>
              <w:spacing w:after="0"/>
              <w:rPr>
                <w:sz w:val="23"/>
                <w:szCs w:val="23"/>
                <w:color w:val="auto"/>
              </w:rPr>
            </w:pPr>
          </w:p>
        </w:tc>
        <w:tc>
          <w:tcPr>
            <w:tcW w:w="1060" w:type="dxa"/>
            <w:vAlign w:val="bottom"/>
            <w:shd w:val="clear" w:color="auto" w:fill="EBFBFF"/>
          </w:tcPr>
          <w:p>
            <w:pPr>
              <w:spacing w:after="0"/>
              <w:rPr>
                <w:sz w:val="23"/>
                <w:szCs w:val="23"/>
                <w:color w:val="auto"/>
              </w:rPr>
            </w:pPr>
          </w:p>
        </w:tc>
        <w:tc>
          <w:tcPr>
            <w:tcW w:w="280" w:type="dxa"/>
            <w:vAlign w:val="bottom"/>
            <w:shd w:val="clear" w:color="auto" w:fill="EBFBFF"/>
          </w:tcPr>
          <w:p>
            <w:pPr>
              <w:spacing w:after="0"/>
              <w:rPr>
                <w:sz w:val="23"/>
                <w:szCs w:val="23"/>
                <w:color w:val="auto"/>
              </w:rPr>
            </w:pPr>
          </w:p>
        </w:tc>
        <w:tc>
          <w:tcPr>
            <w:tcW w:w="1040" w:type="dxa"/>
            <w:vAlign w:val="bottom"/>
            <w:shd w:val="clear" w:color="auto" w:fill="EBFBFF"/>
          </w:tcPr>
          <w:p>
            <w:pPr>
              <w:spacing w:after="0"/>
              <w:rPr>
                <w:sz w:val="23"/>
                <w:szCs w:val="23"/>
                <w:color w:val="auto"/>
              </w:rPr>
            </w:pPr>
          </w:p>
        </w:tc>
        <w:tc>
          <w:tcPr>
            <w:tcW w:w="260" w:type="dxa"/>
            <w:vAlign w:val="bottom"/>
            <w:shd w:val="clear" w:color="auto" w:fill="EBFBFF"/>
          </w:tcPr>
          <w:p>
            <w:pPr>
              <w:spacing w:after="0"/>
              <w:rPr>
                <w:sz w:val="23"/>
                <w:szCs w:val="23"/>
                <w:color w:val="auto"/>
              </w:rPr>
            </w:pPr>
          </w:p>
        </w:tc>
        <w:tc>
          <w:tcPr>
            <w:tcW w:w="1040" w:type="dxa"/>
            <w:vAlign w:val="bottom"/>
            <w:shd w:val="clear" w:color="auto" w:fill="EBFBFF"/>
          </w:tcPr>
          <w:p>
            <w:pPr>
              <w:spacing w:after="0"/>
              <w:rPr>
                <w:sz w:val="23"/>
                <w:szCs w:val="23"/>
                <w:color w:val="auto"/>
              </w:rPr>
            </w:pPr>
          </w:p>
        </w:tc>
        <w:tc>
          <w:tcPr>
            <w:tcW w:w="280" w:type="dxa"/>
            <w:vAlign w:val="bottom"/>
            <w:shd w:val="clear" w:color="auto" w:fill="EBFBFF"/>
          </w:tcPr>
          <w:p>
            <w:pPr>
              <w:spacing w:after="0"/>
              <w:rPr>
                <w:sz w:val="23"/>
                <w:szCs w:val="23"/>
                <w:color w:val="auto"/>
              </w:rPr>
            </w:pPr>
          </w:p>
        </w:tc>
        <w:tc>
          <w:tcPr>
            <w:tcW w:w="1040" w:type="dxa"/>
            <w:vAlign w:val="bottom"/>
            <w:shd w:val="clear" w:color="auto" w:fill="EBFBFF"/>
          </w:tcPr>
          <w:p>
            <w:pPr>
              <w:spacing w:after="0"/>
              <w:rPr>
                <w:sz w:val="23"/>
                <w:szCs w:val="23"/>
                <w:color w:val="auto"/>
              </w:rPr>
            </w:pPr>
          </w:p>
        </w:tc>
        <w:tc>
          <w:tcPr>
            <w:tcW w:w="260" w:type="dxa"/>
            <w:vAlign w:val="bottom"/>
            <w:shd w:val="clear" w:color="auto" w:fill="EBFBFF"/>
          </w:tcPr>
          <w:p>
            <w:pPr>
              <w:spacing w:after="0"/>
              <w:rPr>
                <w:sz w:val="23"/>
                <w:szCs w:val="23"/>
                <w:color w:val="auto"/>
              </w:rPr>
            </w:pPr>
          </w:p>
        </w:tc>
        <w:tc>
          <w:tcPr>
            <w:tcW w:w="1040" w:type="dxa"/>
            <w:vAlign w:val="bottom"/>
            <w:shd w:val="clear" w:color="auto" w:fill="EBFB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00" w:type="dxa"/>
            <w:vAlign w:val="bottom"/>
            <w:tcBorders>
              <w:bottom w:val="single" w:sz="8" w:color="EBFBFF"/>
            </w:tcBorders>
            <w:shd w:val="clear" w:color="auto" w:fill="EBFBFF"/>
          </w:tcPr>
          <w:p>
            <w:pPr>
              <w:ind w:left="220"/>
              <w:spacing w:after="0"/>
              <w:rPr>
                <w:sz w:val="20"/>
                <w:szCs w:val="20"/>
                <w:color w:val="auto"/>
              </w:rPr>
            </w:pPr>
            <w:r>
              <w:rPr>
                <w:rFonts w:ascii="Arial" w:cs="Arial" w:eastAsia="Arial" w:hAnsi="Arial"/>
                <w:sz w:val="18"/>
                <w:szCs w:val="18"/>
                <w:color w:val="51555C"/>
              </w:rPr>
              <w:t>incentives</w:t>
            </w:r>
            <w:r>
              <w:rPr>
                <w:rFonts w:ascii="Arial" w:cs="Arial" w:eastAsia="Arial" w:hAnsi="Arial"/>
                <w:sz w:val="23"/>
                <w:szCs w:val="23"/>
                <w:color w:val="51555C"/>
                <w:vertAlign w:val="superscript"/>
              </w:rPr>
              <w:t>(2)</w:t>
            </w:r>
          </w:p>
        </w:tc>
        <w:tc>
          <w:tcPr>
            <w:tcW w:w="220" w:type="dxa"/>
            <w:vAlign w:val="bottom"/>
            <w:tcBorders>
              <w:bottom w:val="single" w:sz="8" w:color="51555C"/>
            </w:tcBorders>
            <w:shd w:val="clear" w:color="auto" w:fill="EBFBFF"/>
          </w:tcPr>
          <w:p>
            <w:pPr>
              <w:spacing w:after="0"/>
              <w:rPr>
                <w:sz w:val="22"/>
                <w:szCs w:val="22"/>
                <w:color w:val="auto"/>
              </w:rPr>
            </w:pPr>
          </w:p>
        </w:tc>
        <w:tc>
          <w:tcPr>
            <w:tcW w:w="10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8"/>
                <w:szCs w:val="18"/>
                <w:color w:val="51555C"/>
              </w:rPr>
              <w:t>7,141,970</w:t>
            </w:r>
          </w:p>
        </w:tc>
        <w:tc>
          <w:tcPr>
            <w:tcW w:w="240" w:type="dxa"/>
            <w:vAlign w:val="bottom"/>
            <w:tcBorders>
              <w:bottom w:val="single" w:sz="8" w:color="51555C"/>
            </w:tcBorders>
            <w:shd w:val="clear" w:color="auto" w:fill="EBFBFF"/>
          </w:tcPr>
          <w:p>
            <w:pPr>
              <w:spacing w:after="0"/>
              <w:rPr>
                <w:sz w:val="22"/>
                <w:szCs w:val="22"/>
                <w:color w:val="auto"/>
              </w:rPr>
            </w:pPr>
          </w:p>
        </w:tc>
        <w:tc>
          <w:tcPr>
            <w:tcW w:w="10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80" w:type="dxa"/>
            <w:vAlign w:val="bottom"/>
            <w:tcBorders>
              <w:bottom w:val="single" w:sz="8" w:color="51555C"/>
            </w:tcBorders>
            <w:shd w:val="clear" w:color="auto" w:fill="EBFBFF"/>
          </w:tcPr>
          <w:p>
            <w:pPr>
              <w:spacing w:after="0"/>
              <w:rPr>
                <w:sz w:val="22"/>
                <w:szCs w:val="22"/>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60" w:type="dxa"/>
            <w:vAlign w:val="bottom"/>
            <w:tcBorders>
              <w:bottom w:val="single" w:sz="8" w:color="51555C"/>
            </w:tcBorders>
            <w:shd w:val="clear" w:color="auto" w:fill="EBFBFF"/>
          </w:tcPr>
          <w:p>
            <w:pPr>
              <w:spacing w:after="0"/>
              <w:rPr>
                <w:sz w:val="22"/>
                <w:szCs w:val="22"/>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80" w:type="dxa"/>
            <w:vAlign w:val="bottom"/>
            <w:tcBorders>
              <w:bottom w:val="single" w:sz="8" w:color="51555C"/>
            </w:tcBorders>
            <w:shd w:val="clear" w:color="auto" w:fill="EBFBFF"/>
          </w:tcPr>
          <w:p>
            <w:pPr>
              <w:spacing w:after="0"/>
              <w:rPr>
                <w:sz w:val="22"/>
                <w:szCs w:val="22"/>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60" w:type="dxa"/>
            <w:vAlign w:val="bottom"/>
            <w:tcBorders>
              <w:bottom w:val="single" w:sz="8" w:color="51555C"/>
            </w:tcBorders>
            <w:shd w:val="clear" w:color="auto" w:fill="EBFBFF"/>
          </w:tcPr>
          <w:p>
            <w:pPr>
              <w:spacing w:after="0"/>
              <w:rPr>
                <w:sz w:val="22"/>
                <w:szCs w:val="22"/>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0" w:type="dxa"/>
            <w:vAlign w:val="bottom"/>
          </w:tcPr>
          <w:p>
            <w:pPr>
              <w:spacing w:after="0"/>
              <w:rPr>
                <w:sz w:val="1"/>
                <w:szCs w:val="1"/>
                <w:color w:val="auto"/>
              </w:rPr>
            </w:pPr>
          </w:p>
        </w:tc>
      </w:tr>
      <w:tr>
        <w:trPr>
          <w:trHeight w:val="318"/>
        </w:trPr>
        <w:tc>
          <w:tcPr>
            <w:tcW w:w="3400" w:type="dxa"/>
            <w:vAlign w:val="bottom"/>
            <w:shd w:val="clear" w:color="auto" w:fill="EBFBFF"/>
          </w:tcPr>
          <w:p>
            <w:pPr>
              <w:ind w:left="340"/>
              <w:spacing w:after="0"/>
              <w:rPr>
                <w:sz w:val="20"/>
                <w:szCs w:val="20"/>
                <w:color w:val="auto"/>
              </w:rPr>
            </w:pPr>
            <w:r>
              <w:rPr>
                <w:rFonts w:ascii="Arial" w:cs="Arial" w:eastAsia="Arial" w:hAnsi="Arial"/>
                <w:sz w:val="18"/>
                <w:szCs w:val="18"/>
                <w:b w:val="1"/>
                <w:bCs w:val="1"/>
                <w:color w:val="51555C"/>
              </w:rPr>
              <w:t>Total</w:t>
            </w:r>
            <w:r>
              <w:rPr>
                <w:rFonts w:ascii="Arial" w:cs="Arial" w:eastAsia="Arial" w:hAnsi="Arial"/>
                <w:sz w:val="23"/>
                <w:szCs w:val="23"/>
                <w:b w:val="1"/>
                <w:bCs w:val="1"/>
                <w:color w:val="51555C"/>
                <w:vertAlign w:val="superscript"/>
              </w:rPr>
              <w:t>(3)</w:t>
            </w:r>
          </w:p>
        </w:tc>
        <w:tc>
          <w:tcPr>
            <w:tcW w:w="220" w:type="dxa"/>
            <w:vAlign w:val="bottom"/>
            <w:tcBorders>
              <w:bottom w:val="single" w:sz="8" w:color="51555C"/>
            </w:tcBorders>
            <w:shd w:val="clear" w:color="auto" w:fill="EBFBFF"/>
          </w:tcPr>
          <w:p>
            <w:pPr>
              <w:jc w:val="right"/>
              <w:ind w:right="10"/>
              <w:spacing w:after="0"/>
              <w:rPr>
                <w:sz w:val="20"/>
                <w:szCs w:val="20"/>
                <w:color w:val="auto"/>
              </w:rPr>
            </w:pPr>
            <w:r>
              <w:rPr>
                <w:rFonts w:ascii="Arial" w:cs="Arial" w:eastAsia="Arial" w:hAnsi="Arial"/>
                <w:sz w:val="18"/>
                <w:szCs w:val="18"/>
                <w:b w:val="1"/>
                <w:bCs w:val="1"/>
                <w:color w:val="51555C"/>
                <w:w w:val="99"/>
              </w:rPr>
              <w:t>$</w:t>
            </w:r>
          </w:p>
        </w:tc>
        <w:tc>
          <w:tcPr>
            <w:tcW w:w="10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8"/>
                <w:szCs w:val="18"/>
                <w:b w:val="1"/>
                <w:bCs w:val="1"/>
                <w:color w:val="51555C"/>
              </w:rPr>
              <w:t>9,455,153</w:t>
            </w:r>
          </w:p>
        </w:tc>
        <w:tc>
          <w:tcPr>
            <w:tcW w:w="240" w:type="dxa"/>
            <w:vAlign w:val="bottom"/>
            <w:tcBorders>
              <w:bottom w:val="single" w:sz="8" w:color="51555C"/>
            </w:tcBorders>
            <w:shd w:val="clear" w:color="auto" w:fill="EBFBFF"/>
          </w:tcPr>
          <w:p>
            <w:pPr>
              <w:jc w:val="right"/>
              <w:ind w:right="30"/>
              <w:spacing w:after="0"/>
              <w:rPr>
                <w:sz w:val="20"/>
                <w:szCs w:val="20"/>
                <w:color w:val="auto"/>
              </w:rPr>
            </w:pPr>
            <w:r>
              <w:rPr>
                <w:rFonts w:ascii="Arial" w:cs="Arial" w:eastAsia="Arial" w:hAnsi="Arial"/>
                <w:sz w:val="18"/>
                <w:szCs w:val="18"/>
                <w:b w:val="1"/>
                <w:bCs w:val="1"/>
                <w:color w:val="51555C"/>
                <w:w w:val="99"/>
              </w:rPr>
              <w:t>$</w:t>
            </w:r>
          </w:p>
        </w:tc>
        <w:tc>
          <w:tcPr>
            <w:tcW w:w="1340" w:type="dxa"/>
            <w:vAlign w:val="bottom"/>
            <w:tcBorders>
              <w:bottom w:val="single" w:sz="8" w:color="51555C"/>
            </w:tcBorders>
            <w:gridSpan w:val="2"/>
            <w:shd w:val="clear" w:color="auto" w:fill="EBFBFF"/>
          </w:tcPr>
          <w:p>
            <w:pPr>
              <w:jc w:val="right"/>
              <w:ind w:right="70"/>
              <w:spacing w:after="0"/>
              <w:rPr>
                <w:sz w:val="20"/>
                <w:szCs w:val="20"/>
                <w:color w:val="auto"/>
              </w:rPr>
            </w:pPr>
            <w:r>
              <w:rPr>
                <w:rFonts w:ascii="Arial" w:cs="Arial" w:eastAsia="Arial" w:hAnsi="Arial"/>
                <w:sz w:val="18"/>
                <w:szCs w:val="18"/>
                <w:b w:val="1"/>
                <w:bCs w:val="1"/>
                <w:color w:val="51555C"/>
              </w:rPr>
              <w:t>— $</w:t>
            </w:r>
          </w:p>
        </w:tc>
        <w:tc>
          <w:tcPr>
            <w:tcW w:w="1300" w:type="dxa"/>
            <w:vAlign w:val="bottom"/>
            <w:tcBorders>
              <w:bottom w:val="single" w:sz="8" w:color="51555C"/>
            </w:tcBorders>
            <w:gridSpan w:val="2"/>
            <w:shd w:val="clear" w:color="auto" w:fill="EBFBFF"/>
          </w:tcPr>
          <w:p>
            <w:pPr>
              <w:jc w:val="right"/>
              <w:ind w:right="50"/>
              <w:spacing w:after="0"/>
              <w:rPr>
                <w:sz w:val="20"/>
                <w:szCs w:val="20"/>
                <w:color w:val="auto"/>
              </w:rPr>
            </w:pPr>
            <w:r>
              <w:rPr>
                <w:rFonts w:ascii="Arial" w:cs="Arial" w:eastAsia="Arial" w:hAnsi="Arial"/>
                <w:sz w:val="18"/>
                <w:szCs w:val="18"/>
                <w:b w:val="1"/>
                <w:bCs w:val="1"/>
                <w:color w:val="51555C"/>
              </w:rPr>
              <w:t>— $</w:t>
            </w:r>
          </w:p>
        </w:tc>
        <w:tc>
          <w:tcPr>
            <w:tcW w:w="1320" w:type="dxa"/>
            <w:vAlign w:val="bottom"/>
            <w:tcBorders>
              <w:bottom w:val="single" w:sz="8" w:color="51555C"/>
            </w:tcBorders>
            <w:gridSpan w:val="2"/>
            <w:shd w:val="clear" w:color="auto" w:fill="EBFBFF"/>
          </w:tcPr>
          <w:p>
            <w:pPr>
              <w:jc w:val="right"/>
              <w:ind w:right="70"/>
              <w:spacing w:after="0"/>
              <w:rPr>
                <w:sz w:val="20"/>
                <w:szCs w:val="20"/>
                <w:color w:val="auto"/>
              </w:rPr>
            </w:pPr>
            <w:r>
              <w:rPr>
                <w:rFonts w:ascii="Arial" w:cs="Arial" w:eastAsia="Arial" w:hAnsi="Arial"/>
                <w:sz w:val="18"/>
                <w:szCs w:val="18"/>
                <w:b w:val="1"/>
                <w:bCs w:val="1"/>
                <w:color w:val="51555C"/>
              </w:rPr>
              <w:t>— $</w:t>
            </w:r>
          </w:p>
        </w:tc>
        <w:tc>
          <w:tcPr>
            <w:tcW w:w="1300" w:type="dxa"/>
            <w:vAlign w:val="bottom"/>
            <w:tcBorders>
              <w:bottom w:val="single" w:sz="8" w:color="51555C"/>
            </w:tcBorders>
            <w:gridSpan w:val="2"/>
            <w:shd w:val="clear" w:color="auto" w:fill="EBFBFF"/>
          </w:tcPr>
          <w:p>
            <w:pPr>
              <w:jc w:val="right"/>
              <w:ind w:right="50"/>
              <w:spacing w:after="0"/>
              <w:rPr>
                <w:sz w:val="20"/>
                <w:szCs w:val="20"/>
                <w:color w:val="auto"/>
              </w:rPr>
            </w:pPr>
            <w:r>
              <w:rPr>
                <w:rFonts w:ascii="Arial" w:cs="Arial" w:eastAsia="Arial" w:hAnsi="Arial"/>
                <w:sz w:val="18"/>
                <w:szCs w:val="18"/>
                <w:b w:val="1"/>
                <w:bCs w:val="1"/>
                <w:color w:val="51555C"/>
              </w:rPr>
              <w:t>— $</w:t>
            </w: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8"/>
                <w:szCs w:val="18"/>
                <w:b w:val="1"/>
                <w:bCs w:val="1"/>
                <w:color w:val="51555C"/>
              </w:rPr>
              <w:t>—</w:t>
            </w:r>
          </w:p>
        </w:tc>
        <w:tc>
          <w:tcPr>
            <w:tcW w:w="0" w:type="dxa"/>
            <w:vAlign w:val="bottom"/>
          </w:tcPr>
          <w:p>
            <w:pPr>
              <w:spacing w:after="0"/>
              <w:rPr>
                <w:sz w:val="1"/>
                <w:szCs w:val="1"/>
                <w:color w:val="auto"/>
              </w:rPr>
            </w:pPr>
          </w:p>
        </w:tc>
      </w:tr>
      <w:tr>
        <w:trPr>
          <w:trHeight w:val="289"/>
        </w:trPr>
        <w:tc>
          <w:tcPr>
            <w:tcW w:w="3400" w:type="dxa"/>
            <w:vAlign w:val="bottom"/>
          </w:tcPr>
          <w:p>
            <w:pPr>
              <w:ind w:left="20"/>
              <w:spacing w:after="0"/>
              <w:rPr>
                <w:sz w:val="20"/>
                <w:szCs w:val="20"/>
                <w:color w:val="auto"/>
              </w:rPr>
            </w:pPr>
            <w:r>
              <w:rPr>
                <w:rFonts w:ascii="Arial" w:cs="Arial" w:eastAsia="Arial" w:hAnsi="Arial"/>
                <w:sz w:val="18"/>
                <w:szCs w:val="18"/>
                <w:b w:val="1"/>
                <w:bCs w:val="1"/>
                <w:color w:val="51555C"/>
              </w:rPr>
              <w:t>Termination Upon Death or Disability</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3400" w:type="dxa"/>
            <w:vAlign w:val="bottom"/>
          </w:tcPr>
          <w:p>
            <w:pPr>
              <w:ind w:left="440"/>
              <w:spacing w:after="0"/>
              <w:rPr>
                <w:sz w:val="20"/>
                <w:szCs w:val="20"/>
                <w:color w:val="auto"/>
              </w:rPr>
            </w:pPr>
            <w:r>
              <w:rPr>
                <w:rFonts w:ascii="Arial" w:cs="Arial" w:eastAsia="Arial" w:hAnsi="Arial"/>
                <w:sz w:val="18"/>
                <w:szCs w:val="18"/>
                <w:color w:val="51555C"/>
              </w:rPr>
              <w:t>Value of acceleration of equity</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400" w:type="dxa"/>
            <w:vAlign w:val="bottom"/>
          </w:tcPr>
          <w:p>
            <w:pPr>
              <w:ind w:left="440"/>
              <w:spacing w:after="0"/>
              <w:rPr>
                <w:sz w:val="20"/>
                <w:szCs w:val="20"/>
                <w:color w:val="auto"/>
              </w:rPr>
            </w:pPr>
            <w:r>
              <w:rPr>
                <w:rFonts w:ascii="Arial" w:cs="Arial" w:eastAsia="Arial" w:hAnsi="Arial"/>
                <w:sz w:val="18"/>
                <w:szCs w:val="18"/>
                <w:color w:val="51555C"/>
              </w:rPr>
              <w:t>incentives</w:t>
            </w:r>
          </w:p>
        </w:tc>
        <w:tc>
          <w:tcPr>
            <w:tcW w:w="220" w:type="dxa"/>
            <w:vAlign w:val="bottom"/>
          </w:tcPr>
          <w:p>
            <w:pPr>
              <w:jc w:val="right"/>
              <w:ind w:right="10"/>
              <w:spacing w:after="0"/>
              <w:rPr>
                <w:sz w:val="20"/>
                <w:szCs w:val="20"/>
                <w:color w:val="auto"/>
              </w:rPr>
            </w:pPr>
            <w:r>
              <w:rPr>
                <w:rFonts w:ascii="Arial" w:cs="Arial" w:eastAsia="Arial" w:hAnsi="Arial"/>
                <w:sz w:val="18"/>
                <w:szCs w:val="18"/>
                <w:color w:val="51555C"/>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51555C"/>
              </w:rPr>
              <w:t>13,235,098</w:t>
            </w:r>
          </w:p>
        </w:tc>
        <w:tc>
          <w:tcPr>
            <w:tcW w:w="240" w:type="dxa"/>
            <w:vAlign w:val="bottom"/>
          </w:tcPr>
          <w:p>
            <w:pPr>
              <w:jc w:val="right"/>
              <w:ind w:right="30"/>
              <w:spacing w:after="0"/>
              <w:rPr>
                <w:sz w:val="20"/>
                <w:szCs w:val="20"/>
                <w:color w:val="auto"/>
              </w:rPr>
            </w:pPr>
            <w:r>
              <w:rPr>
                <w:rFonts w:ascii="Arial" w:cs="Arial" w:eastAsia="Arial" w:hAnsi="Arial"/>
                <w:sz w:val="18"/>
                <w:szCs w:val="18"/>
                <w:color w:val="51555C"/>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51555C"/>
              </w:rPr>
              <w:t>2,541,741</w:t>
            </w:r>
          </w:p>
        </w:tc>
        <w:tc>
          <w:tcPr>
            <w:tcW w:w="280" w:type="dxa"/>
            <w:vAlign w:val="bottom"/>
          </w:tcPr>
          <w:p>
            <w:pPr>
              <w:jc w:val="right"/>
              <w:ind w:right="70"/>
              <w:spacing w:after="0"/>
              <w:rPr>
                <w:sz w:val="20"/>
                <w:szCs w:val="20"/>
                <w:color w:val="auto"/>
              </w:rPr>
            </w:pPr>
            <w:r>
              <w:rPr>
                <w:rFonts w:ascii="Arial" w:cs="Arial" w:eastAsia="Arial" w:hAnsi="Arial"/>
                <w:sz w:val="18"/>
                <w:szCs w:val="18"/>
                <w:color w:val="51555C"/>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51555C"/>
              </w:rPr>
              <w:t>5,407,167</w:t>
            </w:r>
          </w:p>
        </w:tc>
        <w:tc>
          <w:tcPr>
            <w:tcW w:w="260" w:type="dxa"/>
            <w:vAlign w:val="bottom"/>
          </w:tcPr>
          <w:p>
            <w:pPr>
              <w:jc w:val="right"/>
              <w:ind w:right="50"/>
              <w:spacing w:after="0"/>
              <w:rPr>
                <w:sz w:val="20"/>
                <w:szCs w:val="20"/>
                <w:color w:val="auto"/>
              </w:rPr>
            </w:pPr>
            <w:r>
              <w:rPr>
                <w:rFonts w:ascii="Arial" w:cs="Arial" w:eastAsia="Arial" w:hAnsi="Arial"/>
                <w:sz w:val="18"/>
                <w:szCs w:val="18"/>
                <w:color w:val="51555C"/>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51555C"/>
              </w:rPr>
              <w:t>4,205,091</w:t>
            </w:r>
          </w:p>
        </w:tc>
        <w:tc>
          <w:tcPr>
            <w:tcW w:w="280" w:type="dxa"/>
            <w:vAlign w:val="bottom"/>
          </w:tcPr>
          <w:p>
            <w:pPr>
              <w:jc w:val="right"/>
              <w:ind w:right="70"/>
              <w:spacing w:after="0"/>
              <w:rPr>
                <w:sz w:val="20"/>
                <w:szCs w:val="20"/>
                <w:color w:val="auto"/>
              </w:rPr>
            </w:pPr>
            <w:r>
              <w:rPr>
                <w:rFonts w:ascii="Arial" w:cs="Arial" w:eastAsia="Arial" w:hAnsi="Arial"/>
                <w:sz w:val="18"/>
                <w:szCs w:val="18"/>
                <w:color w:val="51555C"/>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51555C"/>
              </w:rPr>
              <w:t>5,036,867</w:t>
            </w:r>
          </w:p>
        </w:tc>
        <w:tc>
          <w:tcPr>
            <w:tcW w:w="260" w:type="dxa"/>
            <w:vAlign w:val="bottom"/>
          </w:tcPr>
          <w:p>
            <w:pPr>
              <w:jc w:val="right"/>
              <w:ind w:right="50"/>
              <w:spacing w:after="0"/>
              <w:rPr>
                <w:sz w:val="20"/>
                <w:szCs w:val="20"/>
                <w:color w:val="auto"/>
              </w:rPr>
            </w:pPr>
            <w:r>
              <w:rPr>
                <w:rFonts w:ascii="Arial" w:cs="Arial" w:eastAsia="Arial" w:hAnsi="Arial"/>
                <w:sz w:val="18"/>
                <w:szCs w:val="18"/>
                <w:color w:val="51555C"/>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51555C"/>
              </w:rPr>
              <w:t>3,870,246</w:t>
            </w:r>
          </w:p>
        </w:tc>
        <w:tc>
          <w:tcPr>
            <w:tcW w:w="0" w:type="dxa"/>
            <w:vAlign w:val="bottom"/>
          </w:tcPr>
          <w:p>
            <w:pPr>
              <w:spacing w:after="0"/>
              <w:rPr>
                <w:sz w:val="1"/>
                <w:szCs w:val="1"/>
                <w:color w:val="auto"/>
              </w:rPr>
            </w:pPr>
          </w:p>
        </w:tc>
      </w:tr>
      <w:tr>
        <w:trPr>
          <w:trHeight w:val="23"/>
        </w:trPr>
        <w:tc>
          <w:tcPr>
            <w:tcW w:w="3400" w:type="dxa"/>
            <w:vAlign w:val="bottom"/>
            <w:vMerge w:val="restart"/>
          </w:tcPr>
          <w:p>
            <w:pPr>
              <w:ind w:left="640"/>
              <w:spacing w:after="0"/>
              <w:rPr>
                <w:sz w:val="20"/>
                <w:szCs w:val="20"/>
                <w:color w:val="auto"/>
              </w:rPr>
            </w:pPr>
            <w:r>
              <w:rPr>
                <w:rFonts w:ascii="Arial" w:cs="Arial" w:eastAsia="Arial" w:hAnsi="Arial"/>
                <w:sz w:val="18"/>
                <w:szCs w:val="18"/>
                <w:b w:val="1"/>
                <w:bCs w:val="1"/>
                <w:color w:val="51555C"/>
              </w:rPr>
              <w:t>Total</w:t>
            </w:r>
          </w:p>
        </w:tc>
        <w:tc>
          <w:tcPr>
            <w:tcW w:w="220" w:type="dxa"/>
            <w:vAlign w:val="bottom"/>
            <w:tcBorders>
              <w:bottom w:val="single" w:sz="8" w:color="51555C"/>
            </w:tcBorders>
          </w:tcPr>
          <w:p>
            <w:pPr>
              <w:spacing w:after="0"/>
              <w:rPr>
                <w:sz w:val="2"/>
                <w:szCs w:val="2"/>
                <w:color w:val="auto"/>
              </w:rPr>
            </w:pPr>
          </w:p>
        </w:tc>
        <w:tc>
          <w:tcPr>
            <w:tcW w:w="1080" w:type="dxa"/>
            <w:vAlign w:val="bottom"/>
            <w:tcBorders>
              <w:bottom w:val="single" w:sz="8" w:color="51555C"/>
            </w:tcBorders>
          </w:tcPr>
          <w:p>
            <w:pPr>
              <w:spacing w:after="0"/>
              <w:rPr>
                <w:sz w:val="2"/>
                <w:szCs w:val="2"/>
                <w:color w:val="auto"/>
              </w:rPr>
            </w:pPr>
          </w:p>
        </w:tc>
        <w:tc>
          <w:tcPr>
            <w:tcW w:w="240" w:type="dxa"/>
            <w:vAlign w:val="bottom"/>
            <w:tcBorders>
              <w:bottom w:val="single" w:sz="8" w:color="51555C"/>
            </w:tcBorders>
          </w:tcPr>
          <w:p>
            <w:pPr>
              <w:spacing w:after="0"/>
              <w:rPr>
                <w:sz w:val="2"/>
                <w:szCs w:val="2"/>
                <w:color w:val="auto"/>
              </w:rPr>
            </w:pPr>
          </w:p>
        </w:tc>
        <w:tc>
          <w:tcPr>
            <w:tcW w:w="1060" w:type="dxa"/>
            <w:vAlign w:val="bottom"/>
            <w:tcBorders>
              <w:bottom w:val="single" w:sz="8" w:color="51555C"/>
            </w:tcBorders>
          </w:tcPr>
          <w:p>
            <w:pPr>
              <w:spacing w:after="0"/>
              <w:rPr>
                <w:sz w:val="2"/>
                <w:szCs w:val="2"/>
                <w:color w:val="auto"/>
              </w:rPr>
            </w:pPr>
          </w:p>
        </w:tc>
        <w:tc>
          <w:tcPr>
            <w:tcW w:w="280" w:type="dxa"/>
            <w:vAlign w:val="bottom"/>
            <w:tcBorders>
              <w:bottom w:val="single" w:sz="8" w:color="51555C"/>
            </w:tcBorders>
          </w:tcPr>
          <w:p>
            <w:pPr>
              <w:spacing w:after="0"/>
              <w:rPr>
                <w:sz w:val="2"/>
                <w:szCs w:val="2"/>
                <w:color w:val="auto"/>
              </w:rPr>
            </w:pPr>
          </w:p>
        </w:tc>
        <w:tc>
          <w:tcPr>
            <w:tcW w:w="1040" w:type="dxa"/>
            <w:vAlign w:val="bottom"/>
            <w:tcBorders>
              <w:bottom w:val="single" w:sz="8" w:color="51555C"/>
            </w:tcBorders>
          </w:tcPr>
          <w:p>
            <w:pPr>
              <w:spacing w:after="0"/>
              <w:rPr>
                <w:sz w:val="2"/>
                <w:szCs w:val="2"/>
                <w:color w:val="auto"/>
              </w:rPr>
            </w:pPr>
          </w:p>
        </w:tc>
        <w:tc>
          <w:tcPr>
            <w:tcW w:w="260" w:type="dxa"/>
            <w:vAlign w:val="bottom"/>
            <w:tcBorders>
              <w:bottom w:val="single" w:sz="8" w:color="51555C"/>
            </w:tcBorders>
          </w:tcPr>
          <w:p>
            <w:pPr>
              <w:spacing w:after="0"/>
              <w:rPr>
                <w:sz w:val="2"/>
                <w:szCs w:val="2"/>
                <w:color w:val="auto"/>
              </w:rPr>
            </w:pPr>
          </w:p>
        </w:tc>
        <w:tc>
          <w:tcPr>
            <w:tcW w:w="1040" w:type="dxa"/>
            <w:vAlign w:val="bottom"/>
            <w:tcBorders>
              <w:bottom w:val="single" w:sz="8" w:color="51555C"/>
            </w:tcBorders>
          </w:tcPr>
          <w:p>
            <w:pPr>
              <w:spacing w:after="0"/>
              <w:rPr>
                <w:sz w:val="2"/>
                <w:szCs w:val="2"/>
                <w:color w:val="auto"/>
              </w:rPr>
            </w:pPr>
          </w:p>
        </w:tc>
        <w:tc>
          <w:tcPr>
            <w:tcW w:w="280" w:type="dxa"/>
            <w:vAlign w:val="bottom"/>
            <w:tcBorders>
              <w:bottom w:val="single" w:sz="8" w:color="51555C"/>
            </w:tcBorders>
          </w:tcPr>
          <w:p>
            <w:pPr>
              <w:spacing w:after="0"/>
              <w:rPr>
                <w:sz w:val="2"/>
                <w:szCs w:val="2"/>
                <w:color w:val="auto"/>
              </w:rPr>
            </w:pPr>
          </w:p>
        </w:tc>
        <w:tc>
          <w:tcPr>
            <w:tcW w:w="1040" w:type="dxa"/>
            <w:vAlign w:val="bottom"/>
            <w:tcBorders>
              <w:bottom w:val="single" w:sz="8" w:color="51555C"/>
            </w:tcBorders>
          </w:tcPr>
          <w:p>
            <w:pPr>
              <w:spacing w:after="0"/>
              <w:rPr>
                <w:sz w:val="2"/>
                <w:szCs w:val="2"/>
                <w:color w:val="auto"/>
              </w:rPr>
            </w:pPr>
          </w:p>
        </w:tc>
        <w:tc>
          <w:tcPr>
            <w:tcW w:w="260" w:type="dxa"/>
            <w:vAlign w:val="bottom"/>
            <w:tcBorders>
              <w:bottom w:val="single" w:sz="8" w:color="51555C"/>
            </w:tcBorders>
          </w:tcPr>
          <w:p>
            <w:pPr>
              <w:spacing w:after="0"/>
              <w:rPr>
                <w:sz w:val="2"/>
                <w:szCs w:val="2"/>
                <w:color w:val="auto"/>
              </w:rPr>
            </w:pPr>
          </w:p>
        </w:tc>
        <w:tc>
          <w:tcPr>
            <w:tcW w:w="1040" w:type="dxa"/>
            <w:vAlign w:val="bottom"/>
            <w:tcBorders>
              <w:bottom w:val="single" w:sz="8" w:color="51555C"/>
            </w:tcBorders>
          </w:tcPr>
          <w:p>
            <w:pPr>
              <w:spacing w:after="0"/>
              <w:rPr>
                <w:sz w:val="2"/>
                <w:szCs w:val="2"/>
                <w:color w:val="auto"/>
              </w:rPr>
            </w:pPr>
          </w:p>
        </w:tc>
        <w:tc>
          <w:tcPr>
            <w:tcW w:w="0" w:type="dxa"/>
            <w:vAlign w:val="bottom"/>
          </w:tcPr>
          <w:p>
            <w:pPr>
              <w:spacing w:after="0"/>
              <w:rPr>
                <w:sz w:val="1"/>
                <w:szCs w:val="1"/>
                <w:color w:val="auto"/>
              </w:rPr>
            </w:pPr>
          </w:p>
        </w:tc>
      </w:tr>
      <w:tr>
        <w:trPr>
          <w:trHeight w:val="311"/>
        </w:trPr>
        <w:tc>
          <w:tcPr>
            <w:tcW w:w="3400" w:type="dxa"/>
            <w:vAlign w:val="bottom"/>
            <w:tcBorders>
              <w:bottom w:val="single" w:sz="8" w:color="EBFBFF"/>
            </w:tcBorders>
            <w:vMerge w:val="continue"/>
          </w:tcPr>
          <w:p>
            <w:pPr>
              <w:spacing w:after="0"/>
              <w:rPr>
                <w:sz w:val="24"/>
                <w:szCs w:val="24"/>
                <w:color w:val="auto"/>
              </w:rPr>
            </w:pPr>
          </w:p>
        </w:tc>
        <w:tc>
          <w:tcPr>
            <w:tcW w:w="220" w:type="dxa"/>
            <w:vAlign w:val="bottom"/>
            <w:tcBorders>
              <w:bottom w:val="single" w:sz="8" w:color="51555C"/>
            </w:tcBorders>
          </w:tcPr>
          <w:p>
            <w:pPr>
              <w:jc w:val="right"/>
              <w:ind w:right="10"/>
              <w:spacing w:after="0"/>
              <w:rPr>
                <w:sz w:val="20"/>
                <w:szCs w:val="20"/>
                <w:color w:val="auto"/>
              </w:rPr>
            </w:pPr>
            <w:r>
              <w:rPr>
                <w:rFonts w:ascii="Arial" w:cs="Arial" w:eastAsia="Arial" w:hAnsi="Arial"/>
                <w:sz w:val="18"/>
                <w:szCs w:val="18"/>
                <w:b w:val="1"/>
                <w:bCs w:val="1"/>
                <w:color w:val="51555C"/>
                <w:w w:val="99"/>
              </w:rPr>
              <w:t>$</w:t>
            </w:r>
          </w:p>
        </w:tc>
        <w:tc>
          <w:tcPr>
            <w:tcW w:w="1080" w:type="dxa"/>
            <w:vAlign w:val="bottom"/>
            <w:tcBorders>
              <w:bottom w:val="single" w:sz="8" w:color="51555C"/>
            </w:tcBorders>
          </w:tcPr>
          <w:p>
            <w:pPr>
              <w:jc w:val="right"/>
              <w:spacing w:after="0"/>
              <w:rPr>
                <w:sz w:val="20"/>
                <w:szCs w:val="20"/>
                <w:color w:val="auto"/>
              </w:rPr>
            </w:pPr>
            <w:r>
              <w:rPr>
                <w:rFonts w:ascii="Arial" w:cs="Arial" w:eastAsia="Arial" w:hAnsi="Arial"/>
                <w:sz w:val="18"/>
                <w:szCs w:val="18"/>
                <w:b w:val="1"/>
                <w:bCs w:val="1"/>
                <w:color w:val="51555C"/>
              </w:rPr>
              <w:t>13,235,098</w:t>
            </w:r>
          </w:p>
        </w:tc>
        <w:tc>
          <w:tcPr>
            <w:tcW w:w="240" w:type="dxa"/>
            <w:vAlign w:val="bottom"/>
            <w:tcBorders>
              <w:bottom w:val="single" w:sz="8" w:color="51555C"/>
            </w:tcBorders>
          </w:tcPr>
          <w:p>
            <w:pPr>
              <w:jc w:val="right"/>
              <w:ind w:right="30"/>
              <w:spacing w:after="0"/>
              <w:rPr>
                <w:sz w:val="20"/>
                <w:szCs w:val="20"/>
                <w:color w:val="auto"/>
              </w:rPr>
            </w:pPr>
            <w:r>
              <w:rPr>
                <w:rFonts w:ascii="Arial" w:cs="Arial" w:eastAsia="Arial" w:hAnsi="Arial"/>
                <w:sz w:val="18"/>
                <w:szCs w:val="18"/>
                <w:b w:val="1"/>
                <w:bCs w:val="1"/>
                <w:color w:val="51555C"/>
                <w:w w:val="99"/>
              </w:rPr>
              <w:t>$</w:t>
            </w:r>
          </w:p>
        </w:tc>
        <w:tc>
          <w:tcPr>
            <w:tcW w:w="1060" w:type="dxa"/>
            <w:vAlign w:val="bottom"/>
            <w:tcBorders>
              <w:bottom w:val="single" w:sz="8" w:color="51555C"/>
            </w:tcBorders>
          </w:tcPr>
          <w:p>
            <w:pPr>
              <w:jc w:val="right"/>
              <w:spacing w:after="0"/>
              <w:rPr>
                <w:sz w:val="20"/>
                <w:szCs w:val="20"/>
                <w:color w:val="auto"/>
              </w:rPr>
            </w:pPr>
            <w:r>
              <w:rPr>
                <w:rFonts w:ascii="Arial" w:cs="Arial" w:eastAsia="Arial" w:hAnsi="Arial"/>
                <w:sz w:val="18"/>
                <w:szCs w:val="18"/>
                <w:b w:val="1"/>
                <w:bCs w:val="1"/>
                <w:color w:val="51555C"/>
              </w:rPr>
              <w:t>2,541,741</w:t>
            </w:r>
          </w:p>
        </w:tc>
        <w:tc>
          <w:tcPr>
            <w:tcW w:w="280" w:type="dxa"/>
            <w:vAlign w:val="bottom"/>
            <w:tcBorders>
              <w:bottom w:val="single" w:sz="8" w:color="51555C"/>
            </w:tcBorders>
          </w:tcPr>
          <w:p>
            <w:pPr>
              <w:jc w:val="right"/>
              <w:ind w:right="70"/>
              <w:spacing w:after="0"/>
              <w:rPr>
                <w:sz w:val="20"/>
                <w:szCs w:val="20"/>
                <w:color w:val="auto"/>
              </w:rPr>
            </w:pPr>
            <w:r>
              <w:rPr>
                <w:rFonts w:ascii="Arial" w:cs="Arial" w:eastAsia="Arial" w:hAnsi="Arial"/>
                <w:sz w:val="18"/>
                <w:szCs w:val="18"/>
                <w:b w:val="1"/>
                <w:bCs w:val="1"/>
                <w:color w:val="51555C"/>
                <w:w w:val="99"/>
              </w:rPr>
              <w:t>$</w:t>
            </w: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8"/>
                <w:szCs w:val="18"/>
                <w:b w:val="1"/>
                <w:bCs w:val="1"/>
                <w:color w:val="51555C"/>
              </w:rPr>
              <w:t>5,407,167</w:t>
            </w:r>
          </w:p>
        </w:tc>
        <w:tc>
          <w:tcPr>
            <w:tcW w:w="260" w:type="dxa"/>
            <w:vAlign w:val="bottom"/>
            <w:tcBorders>
              <w:bottom w:val="single" w:sz="8" w:color="51555C"/>
            </w:tcBorders>
          </w:tcPr>
          <w:p>
            <w:pPr>
              <w:jc w:val="right"/>
              <w:ind w:right="50"/>
              <w:spacing w:after="0"/>
              <w:rPr>
                <w:sz w:val="20"/>
                <w:szCs w:val="20"/>
                <w:color w:val="auto"/>
              </w:rPr>
            </w:pPr>
            <w:r>
              <w:rPr>
                <w:rFonts w:ascii="Arial" w:cs="Arial" w:eastAsia="Arial" w:hAnsi="Arial"/>
                <w:sz w:val="18"/>
                <w:szCs w:val="18"/>
                <w:b w:val="1"/>
                <w:bCs w:val="1"/>
                <w:color w:val="51555C"/>
                <w:w w:val="99"/>
              </w:rPr>
              <w:t>$</w:t>
            </w: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8"/>
                <w:szCs w:val="18"/>
                <w:b w:val="1"/>
                <w:bCs w:val="1"/>
                <w:color w:val="51555C"/>
              </w:rPr>
              <w:t>4,205,091</w:t>
            </w:r>
          </w:p>
        </w:tc>
        <w:tc>
          <w:tcPr>
            <w:tcW w:w="280" w:type="dxa"/>
            <w:vAlign w:val="bottom"/>
            <w:tcBorders>
              <w:bottom w:val="single" w:sz="8" w:color="51555C"/>
            </w:tcBorders>
          </w:tcPr>
          <w:p>
            <w:pPr>
              <w:jc w:val="right"/>
              <w:ind w:right="70"/>
              <w:spacing w:after="0"/>
              <w:rPr>
                <w:sz w:val="20"/>
                <w:szCs w:val="20"/>
                <w:color w:val="auto"/>
              </w:rPr>
            </w:pPr>
            <w:r>
              <w:rPr>
                <w:rFonts w:ascii="Arial" w:cs="Arial" w:eastAsia="Arial" w:hAnsi="Arial"/>
                <w:sz w:val="18"/>
                <w:szCs w:val="18"/>
                <w:b w:val="1"/>
                <w:bCs w:val="1"/>
                <w:color w:val="51555C"/>
                <w:w w:val="99"/>
              </w:rPr>
              <w:t>$</w:t>
            </w: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8"/>
                <w:szCs w:val="18"/>
                <w:b w:val="1"/>
                <w:bCs w:val="1"/>
                <w:color w:val="51555C"/>
              </w:rPr>
              <w:t>5,036,867</w:t>
            </w:r>
          </w:p>
        </w:tc>
        <w:tc>
          <w:tcPr>
            <w:tcW w:w="260" w:type="dxa"/>
            <w:vAlign w:val="bottom"/>
            <w:tcBorders>
              <w:bottom w:val="single" w:sz="8" w:color="51555C"/>
            </w:tcBorders>
          </w:tcPr>
          <w:p>
            <w:pPr>
              <w:jc w:val="right"/>
              <w:ind w:right="50"/>
              <w:spacing w:after="0"/>
              <w:rPr>
                <w:sz w:val="20"/>
                <w:szCs w:val="20"/>
                <w:color w:val="auto"/>
              </w:rPr>
            </w:pPr>
            <w:r>
              <w:rPr>
                <w:rFonts w:ascii="Arial" w:cs="Arial" w:eastAsia="Arial" w:hAnsi="Arial"/>
                <w:sz w:val="18"/>
                <w:szCs w:val="18"/>
                <w:b w:val="1"/>
                <w:bCs w:val="1"/>
                <w:color w:val="51555C"/>
                <w:w w:val="99"/>
              </w:rPr>
              <w:t>$</w:t>
            </w: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8"/>
                <w:szCs w:val="18"/>
                <w:b w:val="1"/>
                <w:bCs w:val="1"/>
                <w:color w:val="51555C"/>
              </w:rPr>
              <w:t>3,870,246</w:t>
            </w:r>
          </w:p>
        </w:tc>
        <w:tc>
          <w:tcPr>
            <w:tcW w:w="0" w:type="dxa"/>
            <w:vAlign w:val="bottom"/>
          </w:tcPr>
          <w:p>
            <w:pPr>
              <w:spacing w:after="0"/>
              <w:rPr>
                <w:sz w:val="1"/>
                <w:szCs w:val="1"/>
                <w:color w:val="auto"/>
              </w:rPr>
            </w:pPr>
          </w:p>
        </w:tc>
      </w:tr>
      <w:tr>
        <w:trPr>
          <w:trHeight w:val="311"/>
        </w:trPr>
        <w:tc>
          <w:tcPr>
            <w:tcW w:w="340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Termination Upon Change in Control</w:t>
            </w:r>
            <w:r>
              <w:rPr>
                <w:rFonts w:ascii="Arial" w:cs="Arial" w:eastAsia="Arial" w:hAnsi="Arial"/>
                <w:sz w:val="23"/>
                <w:szCs w:val="23"/>
                <w:b w:val="1"/>
                <w:bCs w:val="1"/>
                <w:color w:val="51555C"/>
                <w:vertAlign w:val="superscript"/>
              </w:rPr>
              <w:t>(4)</w:t>
            </w:r>
          </w:p>
        </w:tc>
        <w:tc>
          <w:tcPr>
            <w:tcW w:w="220" w:type="dxa"/>
            <w:vAlign w:val="bottom"/>
            <w:shd w:val="clear" w:color="auto" w:fill="EBFBFF"/>
          </w:tcPr>
          <w:p>
            <w:pPr>
              <w:spacing w:after="0"/>
              <w:rPr>
                <w:sz w:val="24"/>
                <w:szCs w:val="24"/>
                <w:color w:val="auto"/>
              </w:rPr>
            </w:pPr>
          </w:p>
        </w:tc>
        <w:tc>
          <w:tcPr>
            <w:tcW w:w="1080" w:type="dxa"/>
            <w:vAlign w:val="bottom"/>
            <w:shd w:val="clear" w:color="auto" w:fill="EBFBFF"/>
          </w:tcPr>
          <w:p>
            <w:pPr>
              <w:spacing w:after="0"/>
              <w:rPr>
                <w:sz w:val="24"/>
                <w:szCs w:val="24"/>
                <w:color w:val="auto"/>
              </w:rPr>
            </w:pPr>
          </w:p>
        </w:tc>
        <w:tc>
          <w:tcPr>
            <w:tcW w:w="240" w:type="dxa"/>
            <w:vAlign w:val="bottom"/>
            <w:shd w:val="clear" w:color="auto" w:fill="EBFBFF"/>
          </w:tcPr>
          <w:p>
            <w:pPr>
              <w:spacing w:after="0"/>
              <w:rPr>
                <w:sz w:val="24"/>
                <w:szCs w:val="24"/>
                <w:color w:val="auto"/>
              </w:rPr>
            </w:pPr>
          </w:p>
        </w:tc>
        <w:tc>
          <w:tcPr>
            <w:tcW w:w="1060" w:type="dxa"/>
            <w:vAlign w:val="bottom"/>
            <w:shd w:val="clear" w:color="auto" w:fill="EBFBFF"/>
          </w:tcPr>
          <w:p>
            <w:pPr>
              <w:spacing w:after="0"/>
              <w:rPr>
                <w:sz w:val="24"/>
                <w:szCs w:val="24"/>
                <w:color w:val="auto"/>
              </w:rPr>
            </w:pPr>
          </w:p>
        </w:tc>
        <w:tc>
          <w:tcPr>
            <w:tcW w:w="280" w:type="dxa"/>
            <w:vAlign w:val="bottom"/>
            <w:shd w:val="clear" w:color="auto" w:fill="EBFBFF"/>
          </w:tcPr>
          <w:p>
            <w:pPr>
              <w:spacing w:after="0"/>
              <w:rPr>
                <w:sz w:val="24"/>
                <w:szCs w:val="24"/>
                <w:color w:val="auto"/>
              </w:rPr>
            </w:pPr>
          </w:p>
        </w:tc>
        <w:tc>
          <w:tcPr>
            <w:tcW w:w="1040" w:type="dxa"/>
            <w:vAlign w:val="bottom"/>
            <w:shd w:val="clear" w:color="auto" w:fill="EBFBFF"/>
          </w:tcPr>
          <w:p>
            <w:pPr>
              <w:spacing w:after="0"/>
              <w:rPr>
                <w:sz w:val="24"/>
                <w:szCs w:val="24"/>
                <w:color w:val="auto"/>
              </w:rPr>
            </w:pPr>
          </w:p>
        </w:tc>
        <w:tc>
          <w:tcPr>
            <w:tcW w:w="260" w:type="dxa"/>
            <w:vAlign w:val="bottom"/>
            <w:shd w:val="clear" w:color="auto" w:fill="EBFBFF"/>
          </w:tcPr>
          <w:p>
            <w:pPr>
              <w:spacing w:after="0"/>
              <w:rPr>
                <w:sz w:val="24"/>
                <w:szCs w:val="24"/>
                <w:color w:val="auto"/>
              </w:rPr>
            </w:pPr>
          </w:p>
        </w:tc>
        <w:tc>
          <w:tcPr>
            <w:tcW w:w="1040" w:type="dxa"/>
            <w:vAlign w:val="bottom"/>
            <w:shd w:val="clear" w:color="auto" w:fill="EBFBFF"/>
          </w:tcPr>
          <w:p>
            <w:pPr>
              <w:spacing w:after="0"/>
              <w:rPr>
                <w:sz w:val="24"/>
                <w:szCs w:val="24"/>
                <w:color w:val="auto"/>
              </w:rPr>
            </w:pPr>
          </w:p>
        </w:tc>
        <w:tc>
          <w:tcPr>
            <w:tcW w:w="280" w:type="dxa"/>
            <w:vAlign w:val="bottom"/>
            <w:shd w:val="clear" w:color="auto" w:fill="EBFBFF"/>
          </w:tcPr>
          <w:p>
            <w:pPr>
              <w:spacing w:after="0"/>
              <w:rPr>
                <w:sz w:val="24"/>
                <w:szCs w:val="24"/>
                <w:color w:val="auto"/>
              </w:rPr>
            </w:pPr>
          </w:p>
        </w:tc>
        <w:tc>
          <w:tcPr>
            <w:tcW w:w="1040" w:type="dxa"/>
            <w:vAlign w:val="bottom"/>
            <w:shd w:val="clear" w:color="auto" w:fill="EBFBFF"/>
          </w:tcPr>
          <w:p>
            <w:pPr>
              <w:spacing w:after="0"/>
              <w:rPr>
                <w:sz w:val="24"/>
                <w:szCs w:val="24"/>
                <w:color w:val="auto"/>
              </w:rPr>
            </w:pPr>
          </w:p>
        </w:tc>
        <w:tc>
          <w:tcPr>
            <w:tcW w:w="260" w:type="dxa"/>
            <w:vAlign w:val="bottom"/>
            <w:shd w:val="clear" w:color="auto" w:fill="EBFBFF"/>
          </w:tcPr>
          <w:p>
            <w:pPr>
              <w:spacing w:after="0"/>
              <w:rPr>
                <w:sz w:val="24"/>
                <w:szCs w:val="24"/>
                <w:color w:val="auto"/>
              </w:rPr>
            </w:pPr>
          </w:p>
        </w:tc>
        <w:tc>
          <w:tcPr>
            <w:tcW w:w="1040" w:type="dxa"/>
            <w:vAlign w:val="bottom"/>
            <w:shd w:val="clear" w:color="auto" w:fill="EBFBFF"/>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400" w:type="dxa"/>
            <w:vAlign w:val="bottom"/>
            <w:shd w:val="clear" w:color="auto" w:fill="EBFBFF"/>
          </w:tcPr>
          <w:p>
            <w:pPr>
              <w:ind w:left="440"/>
              <w:spacing w:after="0"/>
              <w:rPr>
                <w:sz w:val="20"/>
                <w:szCs w:val="20"/>
                <w:color w:val="auto"/>
              </w:rPr>
            </w:pPr>
            <w:r>
              <w:rPr>
                <w:rFonts w:ascii="Arial" w:cs="Arial" w:eastAsia="Arial" w:hAnsi="Arial"/>
                <w:sz w:val="18"/>
                <w:szCs w:val="18"/>
                <w:color w:val="51555C"/>
              </w:rPr>
              <w:t>Base salary</w:t>
            </w:r>
          </w:p>
        </w:tc>
        <w:tc>
          <w:tcPr>
            <w:tcW w:w="220" w:type="dxa"/>
            <w:vAlign w:val="bottom"/>
            <w:shd w:val="clear" w:color="auto" w:fill="EBFBFF"/>
          </w:tcPr>
          <w:p>
            <w:pPr>
              <w:jc w:val="right"/>
              <w:ind w:right="10"/>
              <w:spacing w:after="0"/>
              <w:rPr>
                <w:sz w:val="20"/>
                <w:szCs w:val="20"/>
                <w:color w:val="auto"/>
              </w:rPr>
            </w:pPr>
            <w:r>
              <w:rPr>
                <w:rFonts w:ascii="Arial" w:cs="Arial" w:eastAsia="Arial" w:hAnsi="Arial"/>
                <w:sz w:val="18"/>
                <w:szCs w:val="18"/>
                <w:color w:val="51555C"/>
                <w:w w:val="99"/>
              </w:rPr>
              <w:t>$</w:t>
            </w:r>
          </w:p>
        </w:tc>
        <w:tc>
          <w:tcPr>
            <w:tcW w:w="10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1,600,000</w:t>
            </w:r>
          </w:p>
        </w:tc>
        <w:tc>
          <w:tcPr>
            <w:tcW w:w="240" w:type="dxa"/>
            <w:vAlign w:val="bottom"/>
            <w:shd w:val="clear" w:color="auto" w:fill="EBFBFF"/>
          </w:tcPr>
          <w:p>
            <w:pPr>
              <w:jc w:val="right"/>
              <w:ind w:right="30"/>
              <w:spacing w:after="0"/>
              <w:rPr>
                <w:sz w:val="20"/>
                <w:szCs w:val="20"/>
                <w:color w:val="auto"/>
              </w:rPr>
            </w:pPr>
            <w:r>
              <w:rPr>
                <w:rFonts w:ascii="Arial" w:cs="Arial" w:eastAsia="Arial" w:hAnsi="Arial"/>
                <w:sz w:val="18"/>
                <w:szCs w:val="18"/>
                <w:color w:val="51555C"/>
                <w:w w:val="99"/>
              </w:rPr>
              <w:t>$</w:t>
            </w:r>
          </w:p>
        </w:tc>
        <w:tc>
          <w:tcPr>
            <w:tcW w:w="10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637,500</w:t>
            </w:r>
          </w:p>
        </w:tc>
        <w:tc>
          <w:tcPr>
            <w:tcW w:w="280" w:type="dxa"/>
            <w:vAlign w:val="bottom"/>
            <w:shd w:val="clear" w:color="auto" w:fill="EBFBFF"/>
          </w:tcPr>
          <w:p>
            <w:pPr>
              <w:jc w:val="right"/>
              <w:ind w:right="70"/>
              <w:spacing w:after="0"/>
              <w:rPr>
                <w:sz w:val="20"/>
                <w:szCs w:val="20"/>
                <w:color w:val="auto"/>
              </w:rPr>
            </w:pPr>
            <w:r>
              <w:rPr>
                <w:rFonts w:ascii="Arial" w:cs="Arial" w:eastAsia="Arial" w:hAnsi="Arial"/>
                <w:sz w:val="18"/>
                <w:szCs w:val="18"/>
                <w:color w:val="51555C"/>
                <w:w w:val="99"/>
              </w:rPr>
              <w:t>$</w:t>
            </w:r>
          </w:p>
        </w:tc>
        <w:tc>
          <w:tcPr>
            <w:tcW w:w="10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777,867</w:t>
            </w:r>
          </w:p>
        </w:tc>
        <w:tc>
          <w:tcPr>
            <w:tcW w:w="260" w:type="dxa"/>
            <w:vAlign w:val="bottom"/>
            <w:shd w:val="clear" w:color="auto" w:fill="EBFBFF"/>
          </w:tcPr>
          <w:p>
            <w:pPr>
              <w:jc w:val="right"/>
              <w:ind w:right="50"/>
              <w:spacing w:after="0"/>
              <w:rPr>
                <w:sz w:val="20"/>
                <w:szCs w:val="20"/>
                <w:color w:val="auto"/>
              </w:rPr>
            </w:pPr>
            <w:r>
              <w:rPr>
                <w:rFonts w:ascii="Arial" w:cs="Arial" w:eastAsia="Arial" w:hAnsi="Arial"/>
                <w:sz w:val="18"/>
                <w:szCs w:val="18"/>
                <w:color w:val="51555C"/>
                <w:w w:val="99"/>
              </w:rPr>
              <w:t>$</w:t>
            </w:r>
          </w:p>
        </w:tc>
        <w:tc>
          <w:tcPr>
            <w:tcW w:w="10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696,000</w:t>
            </w:r>
          </w:p>
        </w:tc>
        <w:tc>
          <w:tcPr>
            <w:tcW w:w="280" w:type="dxa"/>
            <w:vAlign w:val="bottom"/>
            <w:shd w:val="clear" w:color="auto" w:fill="EBFBFF"/>
          </w:tcPr>
          <w:p>
            <w:pPr>
              <w:jc w:val="right"/>
              <w:ind w:right="70"/>
              <w:spacing w:after="0"/>
              <w:rPr>
                <w:sz w:val="20"/>
                <w:szCs w:val="20"/>
                <w:color w:val="auto"/>
              </w:rPr>
            </w:pPr>
            <w:r>
              <w:rPr>
                <w:rFonts w:ascii="Arial" w:cs="Arial" w:eastAsia="Arial" w:hAnsi="Arial"/>
                <w:sz w:val="18"/>
                <w:szCs w:val="18"/>
                <w:color w:val="51555C"/>
                <w:w w:val="99"/>
              </w:rPr>
              <w:t>$</w:t>
            </w:r>
          </w:p>
        </w:tc>
        <w:tc>
          <w:tcPr>
            <w:tcW w:w="10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735,000</w:t>
            </w:r>
          </w:p>
        </w:tc>
        <w:tc>
          <w:tcPr>
            <w:tcW w:w="260" w:type="dxa"/>
            <w:vAlign w:val="bottom"/>
            <w:shd w:val="clear" w:color="auto" w:fill="EBFBFF"/>
          </w:tcPr>
          <w:p>
            <w:pPr>
              <w:jc w:val="right"/>
              <w:ind w:right="50"/>
              <w:spacing w:after="0"/>
              <w:rPr>
                <w:sz w:val="20"/>
                <w:szCs w:val="20"/>
                <w:color w:val="auto"/>
              </w:rPr>
            </w:pPr>
            <w:r>
              <w:rPr>
                <w:rFonts w:ascii="Arial" w:cs="Arial" w:eastAsia="Arial" w:hAnsi="Arial"/>
                <w:sz w:val="18"/>
                <w:szCs w:val="18"/>
                <w:color w:val="51555C"/>
                <w:w w:val="99"/>
              </w:rPr>
              <w:t>$</w:t>
            </w:r>
          </w:p>
        </w:tc>
        <w:tc>
          <w:tcPr>
            <w:tcW w:w="10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712,500</w:t>
            </w:r>
          </w:p>
        </w:tc>
        <w:tc>
          <w:tcPr>
            <w:tcW w:w="0" w:type="dxa"/>
            <w:vAlign w:val="bottom"/>
          </w:tcPr>
          <w:p>
            <w:pPr>
              <w:spacing w:after="0"/>
              <w:rPr>
                <w:sz w:val="1"/>
                <w:szCs w:val="1"/>
                <w:color w:val="auto"/>
              </w:rPr>
            </w:pPr>
          </w:p>
        </w:tc>
      </w:tr>
      <w:tr>
        <w:trPr>
          <w:trHeight w:val="347"/>
        </w:trPr>
        <w:tc>
          <w:tcPr>
            <w:tcW w:w="3400" w:type="dxa"/>
            <w:vAlign w:val="bottom"/>
            <w:shd w:val="clear" w:color="auto" w:fill="EBFBFF"/>
          </w:tcPr>
          <w:p>
            <w:pPr>
              <w:ind w:left="220"/>
              <w:spacing w:after="0"/>
              <w:rPr>
                <w:sz w:val="20"/>
                <w:szCs w:val="20"/>
                <w:color w:val="auto"/>
              </w:rPr>
            </w:pPr>
            <w:r>
              <w:rPr>
                <w:rFonts w:ascii="Arial" w:cs="Arial" w:eastAsia="Arial" w:hAnsi="Arial"/>
                <w:sz w:val="18"/>
                <w:szCs w:val="18"/>
                <w:color w:val="51555C"/>
              </w:rPr>
              <w:t>Lump sum bonus payment</w:t>
            </w:r>
            <w:r>
              <w:rPr>
                <w:rFonts w:ascii="Arial" w:cs="Arial" w:eastAsia="Arial" w:hAnsi="Arial"/>
                <w:sz w:val="23"/>
                <w:szCs w:val="23"/>
                <w:color w:val="51555C"/>
                <w:vertAlign w:val="superscript"/>
              </w:rPr>
              <w:t>(1)</w:t>
            </w:r>
          </w:p>
        </w:tc>
        <w:tc>
          <w:tcPr>
            <w:tcW w:w="220" w:type="dxa"/>
            <w:vAlign w:val="bottom"/>
            <w:shd w:val="clear" w:color="auto" w:fill="EBFBFF"/>
          </w:tcPr>
          <w:p>
            <w:pPr>
              <w:spacing w:after="0"/>
              <w:rPr>
                <w:sz w:val="24"/>
                <w:szCs w:val="24"/>
                <w:color w:val="auto"/>
              </w:rPr>
            </w:pPr>
          </w:p>
        </w:tc>
        <w:tc>
          <w:tcPr>
            <w:tcW w:w="10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713,183</w:t>
            </w:r>
          </w:p>
        </w:tc>
        <w:tc>
          <w:tcPr>
            <w:tcW w:w="240" w:type="dxa"/>
            <w:vAlign w:val="bottom"/>
            <w:shd w:val="clear" w:color="auto" w:fill="EBFBFF"/>
          </w:tcPr>
          <w:p>
            <w:pPr>
              <w:spacing w:after="0"/>
              <w:rPr>
                <w:sz w:val="24"/>
                <w:szCs w:val="24"/>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80" w:type="dxa"/>
            <w:vAlign w:val="bottom"/>
            <w:shd w:val="clear" w:color="auto" w:fill="EBFBFF"/>
          </w:tcPr>
          <w:p>
            <w:pPr>
              <w:spacing w:after="0"/>
              <w:rPr>
                <w:sz w:val="24"/>
                <w:szCs w:val="24"/>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60" w:type="dxa"/>
            <w:vAlign w:val="bottom"/>
            <w:shd w:val="clear" w:color="auto" w:fill="EBFBFF"/>
          </w:tcPr>
          <w:p>
            <w:pPr>
              <w:spacing w:after="0"/>
              <w:rPr>
                <w:sz w:val="24"/>
                <w:szCs w:val="24"/>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80" w:type="dxa"/>
            <w:vAlign w:val="bottom"/>
            <w:shd w:val="clear" w:color="auto" w:fill="EBFBFF"/>
          </w:tcPr>
          <w:p>
            <w:pPr>
              <w:spacing w:after="0"/>
              <w:rPr>
                <w:sz w:val="24"/>
                <w:szCs w:val="24"/>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60" w:type="dxa"/>
            <w:vAlign w:val="bottom"/>
            <w:shd w:val="clear" w:color="auto" w:fill="EBFBFF"/>
          </w:tcPr>
          <w:p>
            <w:pPr>
              <w:spacing w:after="0"/>
              <w:rPr>
                <w:sz w:val="24"/>
                <w:szCs w:val="24"/>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0" w:type="dxa"/>
            <w:vAlign w:val="bottom"/>
          </w:tcPr>
          <w:p>
            <w:pPr>
              <w:spacing w:after="0"/>
              <w:rPr>
                <w:sz w:val="1"/>
                <w:szCs w:val="1"/>
                <w:color w:val="auto"/>
              </w:rPr>
            </w:pPr>
          </w:p>
        </w:tc>
      </w:tr>
      <w:tr>
        <w:trPr>
          <w:trHeight w:val="278"/>
        </w:trPr>
        <w:tc>
          <w:tcPr>
            <w:tcW w:w="3400" w:type="dxa"/>
            <w:vAlign w:val="bottom"/>
            <w:shd w:val="clear" w:color="auto" w:fill="EBFBFF"/>
          </w:tcPr>
          <w:p>
            <w:pPr>
              <w:ind w:left="440"/>
              <w:spacing w:after="0"/>
              <w:rPr>
                <w:sz w:val="20"/>
                <w:szCs w:val="20"/>
                <w:color w:val="auto"/>
              </w:rPr>
            </w:pPr>
            <w:r>
              <w:rPr>
                <w:rFonts w:ascii="Arial" w:cs="Arial" w:eastAsia="Arial" w:hAnsi="Arial"/>
                <w:sz w:val="18"/>
                <w:szCs w:val="18"/>
                <w:color w:val="51555C"/>
              </w:rPr>
              <w:t>Value of acceleration of equity</w:t>
            </w:r>
          </w:p>
        </w:tc>
        <w:tc>
          <w:tcPr>
            <w:tcW w:w="220" w:type="dxa"/>
            <w:vAlign w:val="bottom"/>
            <w:shd w:val="clear" w:color="auto" w:fill="EBFBFF"/>
          </w:tcPr>
          <w:p>
            <w:pPr>
              <w:spacing w:after="0"/>
              <w:rPr>
                <w:sz w:val="24"/>
                <w:szCs w:val="24"/>
                <w:color w:val="auto"/>
              </w:rPr>
            </w:pPr>
          </w:p>
        </w:tc>
        <w:tc>
          <w:tcPr>
            <w:tcW w:w="1080" w:type="dxa"/>
            <w:vAlign w:val="bottom"/>
            <w:shd w:val="clear" w:color="auto" w:fill="EBFBFF"/>
          </w:tcPr>
          <w:p>
            <w:pPr>
              <w:spacing w:after="0"/>
              <w:rPr>
                <w:sz w:val="24"/>
                <w:szCs w:val="24"/>
                <w:color w:val="auto"/>
              </w:rPr>
            </w:pPr>
          </w:p>
        </w:tc>
        <w:tc>
          <w:tcPr>
            <w:tcW w:w="240" w:type="dxa"/>
            <w:vAlign w:val="bottom"/>
            <w:shd w:val="clear" w:color="auto" w:fill="EBFBFF"/>
          </w:tcPr>
          <w:p>
            <w:pPr>
              <w:spacing w:after="0"/>
              <w:rPr>
                <w:sz w:val="24"/>
                <w:szCs w:val="24"/>
                <w:color w:val="auto"/>
              </w:rPr>
            </w:pPr>
          </w:p>
        </w:tc>
        <w:tc>
          <w:tcPr>
            <w:tcW w:w="1060" w:type="dxa"/>
            <w:vAlign w:val="bottom"/>
            <w:shd w:val="clear" w:color="auto" w:fill="EBFBFF"/>
          </w:tcPr>
          <w:p>
            <w:pPr>
              <w:spacing w:after="0"/>
              <w:rPr>
                <w:sz w:val="24"/>
                <w:szCs w:val="24"/>
                <w:color w:val="auto"/>
              </w:rPr>
            </w:pPr>
          </w:p>
        </w:tc>
        <w:tc>
          <w:tcPr>
            <w:tcW w:w="280" w:type="dxa"/>
            <w:vAlign w:val="bottom"/>
            <w:shd w:val="clear" w:color="auto" w:fill="EBFBFF"/>
          </w:tcPr>
          <w:p>
            <w:pPr>
              <w:spacing w:after="0"/>
              <w:rPr>
                <w:sz w:val="24"/>
                <w:szCs w:val="24"/>
                <w:color w:val="auto"/>
              </w:rPr>
            </w:pPr>
          </w:p>
        </w:tc>
        <w:tc>
          <w:tcPr>
            <w:tcW w:w="1040" w:type="dxa"/>
            <w:vAlign w:val="bottom"/>
            <w:shd w:val="clear" w:color="auto" w:fill="EBFBFF"/>
          </w:tcPr>
          <w:p>
            <w:pPr>
              <w:spacing w:after="0"/>
              <w:rPr>
                <w:sz w:val="24"/>
                <w:szCs w:val="24"/>
                <w:color w:val="auto"/>
              </w:rPr>
            </w:pPr>
          </w:p>
        </w:tc>
        <w:tc>
          <w:tcPr>
            <w:tcW w:w="260" w:type="dxa"/>
            <w:vAlign w:val="bottom"/>
            <w:shd w:val="clear" w:color="auto" w:fill="EBFBFF"/>
          </w:tcPr>
          <w:p>
            <w:pPr>
              <w:spacing w:after="0"/>
              <w:rPr>
                <w:sz w:val="24"/>
                <w:szCs w:val="24"/>
                <w:color w:val="auto"/>
              </w:rPr>
            </w:pPr>
          </w:p>
        </w:tc>
        <w:tc>
          <w:tcPr>
            <w:tcW w:w="1040" w:type="dxa"/>
            <w:vAlign w:val="bottom"/>
            <w:shd w:val="clear" w:color="auto" w:fill="EBFBFF"/>
          </w:tcPr>
          <w:p>
            <w:pPr>
              <w:spacing w:after="0"/>
              <w:rPr>
                <w:sz w:val="24"/>
                <w:szCs w:val="24"/>
                <w:color w:val="auto"/>
              </w:rPr>
            </w:pPr>
          </w:p>
        </w:tc>
        <w:tc>
          <w:tcPr>
            <w:tcW w:w="280" w:type="dxa"/>
            <w:vAlign w:val="bottom"/>
            <w:shd w:val="clear" w:color="auto" w:fill="EBFBFF"/>
          </w:tcPr>
          <w:p>
            <w:pPr>
              <w:spacing w:after="0"/>
              <w:rPr>
                <w:sz w:val="24"/>
                <w:szCs w:val="24"/>
                <w:color w:val="auto"/>
              </w:rPr>
            </w:pPr>
          </w:p>
        </w:tc>
        <w:tc>
          <w:tcPr>
            <w:tcW w:w="1040" w:type="dxa"/>
            <w:vAlign w:val="bottom"/>
            <w:shd w:val="clear" w:color="auto" w:fill="EBFBFF"/>
          </w:tcPr>
          <w:p>
            <w:pPr>
              <w:spacing w:after="0"/>
              <w:rPr>
                <w:sz w:val="24"/>
                <w:szCs w:val="24"/>
                <w:color w:val="auto"/>
              </w:rPr>
            </w:pPr>
          </w:p>
        </w:tc>
        <w:tc>
          <w:tcPr>
            <w:tcW w:w="260" w:type="dxa"/>
            <w:vAlign w:val="bottom"/>
            <w:shd w:val="clear" w:color="auto" w:fill="EBFBFF"/>
          </w:tcPr>
          <w:p>
            <w:pPr>
              <w:spacing w:after="0"/>
              <w:rPr>
                <w:sz w:val="24"/>
                <w:szCs w:val="24"/>
                <w:color w:val="auto"/>
              </w:rPr>
            </w:pPr>
          </w:p>
        </w:tc>
        <w:tc>
          <w:tcPr>
            <w:tcW w:w="1040" w:type="dxa"/>
            <w:vAlign w:val="bottom"/>
            <w:shd w:val="clear" w:color="auto" w:fill="EBFB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400" w:type="dxa"/>
            <w:vAlign w:val="bottom"/>
            <w:shd w:val="clear" w:color="auto" w:fill="EBFBFF"/>
          </w:tcPr>
          <w:p>
            <w:pPr>
              <w:ind w:left="440"/>
              <w:spacing w:after="0"/>
              <w:rPr>
                <w:sz w:val="20"/>
                <w:szCs w:val="20"/>
                <w:color w:val="auto"/>
              </w:rPr>
            </w:pPr>
            <w:r>
              <w:rPr>
                <w:rFonts w:ascii="Arial" w:cs="Arial" w:eastAsia="Arial" w:hAnsi="Arial"/>
                <w:sz w:val="18"/>
                <w:szCs w:val="18"/>
                <w:color w:val="51555C"/>
              </w:rPr>
              <w:t>incentives</w:t>
            </w:r>
          </w:p>
        </w:tc>
        <w:tc>
          <w:tcPr>
            <w:tcW w:w="220" w:type="dxa"/>
            <w:vAlign w:val="bottom"/>
            <w:shd w:val="clear" w:color="auto" w:fill="EBFBFF"/>
          </w:tcPr>
          <w:p>
            <w:pPr>
              <w:spacing w:after="0"/>
              <w:rPr>
                <w:sz w:val="20"/>
                <w:szCs w:val="20"/>
                <w:color w:val="auto"/>
              </w:rPr>
            </w:pPr>
          </w:p>
        </w:tc>
        <w:tc>
          <w:tcPr>
            <w:tcW w:w="10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12,557,122</w:t>
            </w:r>
          </w:p>
        </w:tc>
        <w:tc>
          <w:tcPr>
            <w:tcW w:w="240" w:type="dxa"/>
            <w:vAlign w:val="bottom"/>
            <w:shd w:val="clear" w:color="auto" w:fill="EBFBFF"/>
          </w:tcPr>
          <w:p>
            <w:pPr>
              <w:spacing w:after="0"/>
              <w:rPr>
                <w:sz w:val="20"/>
                <w:szCs w:val="20"/>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2,718,974</w:t>
            </w:r>
          </w:p>
        </w:tc>
        <w:tc>
          <w:tcPr>
            <w:tcW w:w="280" w:type="dxa"/>
            <w:vAlign w:val="bottom"/>
            <w:shd w:val="clear" w:color="auto" w:fill="EBFBFF"/>
          </w:tcPr>
          <w:p>
            <w:pPr>
              <w:spacing w:after="0"/>
              <w:rPr>
                <w:sz w:val="20"/>
                <w:szCs w:val="20"/>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6,079,182</w:t>
            </w:r>
          </w:p>
        </w:tc>
        <w:tc>
          <w:tcPr>
            <w:tcW w:w="260" w:type="dxa"/>
            <w:vAlign w:val="bottom"/>
            <w:shd w:val="clear" w:color="auto" w:fill="EBFBFF"/>
          </w:tcPr>
          <w:p>
            <w:pPr>
              <w:spacing w:after="0"/>
              <w:rPr>
                <w:sz w:val="20"/>
                <w:szCs w:val="20"/>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4,731,343</w:t>
            </w:r>
          </w:p>
        </w:tc>
        <w:tc>
          <w:tcPr>
            <w:tcW w:w="280" w:type="dxa"/>
            <w:vAlign w:val="bottom"/>
            <w:shd w:val="clear" w:color="auto" w:fill="EBFBFF"/>
          </w:tcPr>
          <w:p>
            <w:pPr>
              <w:spacing w:after="0"/>
              <w:rPr>
                <w:sz w:val="20"/>
                <w:szCs w:val="20"/>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5,694,699</w:t>
            </w:r>
          </w:p>
        </w:tc>
        <w:tc>
          <w:tcPr>
            <w:tcW w:w="260" w:type="dxa"/>
            <w:vAlign w:val="bottom"/>
            <w:shd w:val="clear" w:color="auto" w:fill="EBFBFF"/>
          </w:tcPr>
          <w:p>
            <w:pPr>
              <w:spacing w:after="0"/>
              <w:rPr>
                <w:sz w:val="20"/>
                <w:szCs w:val="20"/>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4,355,973</w:t>
            </w:r>
          </w:p>
        </w:tc>
        <w:tc>
          <w:tcPr>
            <w:tcW w:w="0" w:type="dxa"/>
            <w:vAlign w:val="bottom"/>
          </w:tcPr>
          <w:p>
            <w:pPr>
              <w:spacing w:after="0"/>
              <w:rPr>
                <w:sz w:val="1"/>
                <w:szCs w:val="1"/>
                <w:color w:val="auto"/>
              </w:rPr>
            </w:pPr>
          </w:p>
        </w:tc>
      </w:tr>
      <w:tr>
        <w:trPr>
          <w:trHeight w:val="352"/>
        </w:trPr>
        <w:tc>
          <w:tcPr>
            <w:tcW w:w="3400" w:type="dxa"/>
            <w:vAlign w:val="bottom"/>
            <w:tcBorders>
              <w:bottom w:val="single" w:sz="8" w:color="EBFBFF"/>
            </w:tcBorders>
            <w:shd w:val="clear" w:color="auto" w:fill="EBFBFF"/>
          </w:tcPr>
          <w:p>
            <w:pPr>
              <w:ind w:left="440"/>
              <w:spacing w:after="0"/>
              <w:rPr>
                <w:sz w:val="20"/>
                <w:szCs w:val="20"/>
                <w:color w:val="auto"/>
              </w:rPr>
            </w:pPr>
            <w:r>
              <w:rPr>
                <w:rFonts w:ascii="Arial" w:cs="Arial" w:eastAsia="Arial" w:hAnsi="Arial"/>
                <w:sz w:val="18"/>
                <w:szCs w:val="18"/>
                <w:color w:val="51555C"/>
              </w:rPr>
              <w:t>Continuation of benefits</w:t>
            </w:r>
          </w:p>
        </w:tc>
        <w:tc>
          <w:tcPr>
            <w:tcW w:w="220" w:type="dxa"/>
            <w:vAlign w:val="bottom"/>
            <w:tcBorders>
              <w:bottom w:val="single" w:sz="8" w:color="EBFBFF"/>
            </w:tcBorders>
            <w:shd w:val="clear" w:color="auto" w:fill="EBFBFF"/>
          </w:tcPr>
          <w:p>
            <w:pPr>
              <w:spacing w:after="0"/>
              <w:rPr>
                <w:sz w:val="24"/>
                <w:szCs w:val="24"/>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16,268</w:t>
            </w:r>
          </w:p>
        </w:tc>
        <w:tc>
          <w:tcPr>
            <w:tcW w:w="240" w:type="dxa"/>
            <w:vAlign w:val="bottom"/>
            <w:tcBorders>
              <w:bottom w:val="single" w:sz="8" w:color="EBFBFF"/>
            </w:tcBorders>
            <w:shd w:val="clear" w:color="auto" w:fill="EBFBFF"/>
          </w:tcPr>
          <w:p>
            <w:pPr>
              <w:spacing w:after="0"/>
              <w:rPr>
                <w:sz w:val="24"/>
                <w:szCs w:val="24"/>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26,253</w:t>
            </w:r>
          </w:p>
        </w:tc>
        <w:tc>
          <w:tcPr>
            <w:tcW w:w="280" w:type="dxa"/>
            <w:vAlign w:val="bottom"/>
            <w:tcBorders>
              <w:bottom w:val="single" w:sz="8" w:color="EBFBFF"/>
            </w:tcBorders>
            <w:shd w:val="clear" w:color="auto" w:fill="EBFBFF"/>
          </w:tcPr>
          <w:p>
            <w:pPr>
              <w:spacing w:after="0"/>
              <w:rPr>
                <w:sz w:val="24"/>
                <w:szCs w:val="24"/>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16,360</w:t>
            </w:r>
          </w:p>
        </w:tc>
        <w:tc>
          <w:tcPr>
            <w:tcW w:w="260" w:type="dxa"/>
            <w:vAlign w:val="bottom"/>
            <w:tcBorders>
              <w:bottom w:val="single" w:sz="8" w:color="EBFBFF"/>
            </w:tcBorders>
            <w:shd w:val="clear" w:color="auto" w:fill="EBFBFF"/>
          </w:tcPr>
          <w:p>
            <w:pPr>
              <w:spacing w:after="0"/>
              <w:rPr>
                <w:sz w:val="24"/>
                <w:szCs w:val="24"/>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8,207</w:t>
            </w:r>
          </w:p>
        </w:tc>
        <w:tc>
          <w:tcPr>
            <w:tcW w:w="280" w:type="dxa"/>
            <w:vAlign w:val="bottom"/>
            <w:tcBorders>
              <w:bottom w:val="single" w:sz="8" w:color="EBFBFF"/>
            </w:tcBorders>
            <w:shd w:val="clear" w:color="auto" w:fill="EBFBFF"/>
          </w:tcPr>
          <w:p>
            <w:pPr>
              <w:spacing w:after="0"/>
              <w:rPr>
                <w:sz w:val="24"/>
                <w:szCs w:val="24"/>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26,253</w:t>
            </w:r>
          </w:p>
        </w:tc>
        <w:tc>
          <w:tcPr>
            <w:tcW w:w="260" w:type="dxa"/>
            <w:vAlign w:val="bottom"/>
            <w:tcBorders>
              <w:bottom w:val="single" w:sz="8" w:color="EBFBFF"/>
            </w:tcBorders>
            <w:shd w:val="clear" w:color="auto" w:fill="EBFBFF"/>
          </w:tcPr>
          <w:p>
            <w:pPr>
              <w:spacing w:after="0"/>
              <w:rPr>
                <w:sz w:val="24"/>
                <w:szCs w:val="24"/>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16,268</w:t>
            </w:r>
          </w:p>
        </w:tc>
        <w:tc>
          <w:tcPr>
            <w:tcW w:w="0" w:type="dxa"/>
            <w:vAlign w:val="bottom"/>
          </w:tcPr>
          <w:p>
            <w:pPr>
              <w:spacing w:after="0"/>
              <w:rPr>
                <w:sz w:val="1"/>
                <w:szCs w:val="1"/>
                <w:color w:val="auto"/>
              </w:rPr>
            </w:pPr>
          </w:p>
        </w:tc>
      </w:tr>
      <w:tr>
        <w:trPr>
          <w:trHeight w:val="317"/>
        </w:trPr>
        <w:tc>
          <w:tcPr>
            <w:tcW w:w="3400" w:type="dxa"/>
            <w:vAlign w:val="bottom"/>
            <w:tcBorders>
              <w:top w:val="single" w:sz="8" w:color="EBFBFF"/>
              <w:bottom w:val="single" w:sz="8" w:color="0CD973"/>
            </w:tcBorders>
            <w:shd w:val="clear" w:color="auto" w:fill="EBFBFF"/>
          </w:tcPr>
          <w:p>
            <w:pPr>
              <w:ind w:left="340"/>
              <w:spacing w:after="0"/>
              <w:rPr>
                <w:sz w:val="20"/>
                <w:szCs w:val="20"/>
                <w:color w:val="auto"/>
              </w:rPr>
            </w:pPr>
            <w:r>
              <w:rPr>
                <w:rFonts w:ascii="Arial" w:cs="Arial" w:eastAsia="Arial" w:hAnsi="Arial"/>
                <w:sz w:val="18"/>
                <w:szCs w:val="18"/>
                <w:b w:val="1"/>
                <w:bCs w:val="1"/>
                <w:color w:val="51555C"/>
              </w:rPr>
              <w:t>Total</w:t>
            </w:r>
            <w:r>
              <w:rPr>
                <w:rFonts w:ascii="Arial" w:cs="Arial" w:eastAsia="Arial" w:hAnsi="Arial"/>
                <w:sz w:val="23"/>
                <w:szCs w:val="23"/>
                <w:b w:val="1"/>
                <w:bCs w:val="1"/>
                <w:color w:val="51555C"/>
                <w:vertAlign w:val="superscript"/>
              </w:rPr>
              <w:t>(3)</w:t>
            </w:r>
          </w:p>
        </w:tc>
        <w:tc>
          <w:tcPr>
            <w:tcW w:w="220" w:type="dxa"/>
            <w:vAlign w:val="bottom"/>
            <w:tcBorders>
              <w:top w:val="single" w:sz="8" w:color="51555C"/>
              <w:bottom w:val="single" w:sz="8" w:color="0CD973"/>
            </w:tcBorders>
            <w:shd w:val="clear" w:color="auto" w:fill="EBFBFF"/>
          </w:tcPr>
          <w:p>
            <w:pPr>
              <w:jc w:val="right"/>
              <w:ind w:right="10"/>
              <w:spacing w:after="0"/>
              <w:rPr>
                <w:sz w:val="20"/>
                <w:szCs w:val="20"/>
                <w:color w:val="auto"/>
              </w:rPr>
            </w:pPr>
            <w:r>
              <w:rPr>
                <w:rFonts w:ascii="Arial" w:cs="Arial" w:eastAsia="Arial" w:hAnsi="Arial"/>
                <w:sz w:val="18"/>
                <w:szCs w:val="18"/>
                <w:b w:val="1"/>
                <w:bCs w:val="1"/>
                <w:color w:val="51555C"/>
                <w:w w:val="99"/>
              </w:rPr>
              <w:t>$</w:t>
            </w:r>
          </w:p>
        </w:tc>
        <w:tc>
          <w:tcPr>
            <w:tcW w:w="1080" w:type="dxa"/>
            <w:vAlign w:val="bottom"/>
            <w:tcBorders>
              <w:top w:val="single" w:sz="8" w:color="51555C"/>
              <w:bottom w:val="single" w:sz="8" w:color="0CD973"/>
            </w:tcBorders>
            <w:shd w:val="clear" w:color="auto" w:fill="EBFBFF"/>
          </w:tcPr>
          <w:p>
            <w:pPr>
              <w:jc w:val="right"/>
              <w:spacing w:after="0"/>
              <w:rPr>
                <w:sz w:val="20"/>
                <w:szCs w:val="20"/>
                <w:color w:val="auto"/>
              </w:rPr>
            </w:pPr>
            <w:r>
              <w:rPr>
                <w:rFonts w:ascii="Arial" w:cs="Arial" w:eastAsia="Arial" w:hAnsi="Arial"/>
                <w:sz w:val="18"/>
                <w:szCs w:val="18"/>
                <w:b w:val="1"/>
                <w:bCs w:val="1"/>
                <w:color w:val="51555C"/>
              </w:rPr>
              <w:t>14,886,572</w:t>
            </w:r>
          </w:p>
        </w:tc>
        <w:tc>
          <w:tcPr>
            <w:tcW w:w="240" w:type="dxa"/>
            <w:vAlign w:val="bottom"/>
            <w:tcBorders>
              <w:top w:val="single" w:sz="8" w:color="51555C"/>
              <w:bottom w:val="single" w:sz="8" w:color="0CD973"/>
            </w:tcBorders>
            <w:shd w:val="clear" w:color="auto" w:fill="EBFBFF"/>
          </w:tcPr>
          <w:p>
            <w:pPr>
              <w:jc w:val="right"/>
              <w:ind w:right="30"/>
              <w:spacing w:after="0"/>
              <w:rPr>
                <w:sz w:val="20"/>
                <w:szCs w:val="20"/>
                <w:color w:val="auto"/>
              </w:rPr>
            </w:pPr>
            <w:r>
              <w:rPr>
                <w:rFonts w:ascii="Arial" w:cs="Arial" w:eastAsia="Arial" w:hAnsi="Arial"/>
                <w:sz w:val="18"/>
                <w:szCs w:val="18"/>
                <w:b w:val="1"/>
                <w:bCs w:val="1"/>
                <w:color w:val="51555C"/>
                <w:w w:val="99"/>
              </w:rPr>
              <w:t>$</w:t>
            </w:r>
          </w:p>
        </w:tc>
        <w:tc>
          <w:tcPr>
            <w:tcW w:w="1060" w:type="dxa"/>
            <w:vAlign w:val="bottom"/>
            <w:tcBorders>
              <w:top w:val="single" w:sz="8" w:color="51555C"/>
              <w:bottom w:val="single" w:sz="8" w:color="0CD973"/>
            </w:tcBorders>
            <w:shd w:val="clear" w:color="auto" w:fill="EBFBFF"/>
          </w:tcPr>
          <w:p>
            <w:pPr>
              <w:jc w:val="right"/>
              <w:spacing w:after="0"/>
              <w:rPr>
                <w:sz w:val="20"/>
                <w:szCs w:val="20"/>
                <w:color w:val="auto"/>
              </w:rPr>
            </w:pPr>
            <w:r>
              <w:rPr>
                <w:rFonts w:ascii="Arial" w:cs="Arial" w:eastAsia="Arial" w:hAnsi="Arial"/>
                <w:sz w:val="18"/>
                <w:szCs w:val="18"/>
                <w:b w:val="1"/>
                <w:bCs w:val="1"/>
                <w:color w:val="51555C"/>
              </w:rPr>
              <w:t>3,382,727</w:t>
            </w:r>
          </w:p>
        </w:tc>
        <w:tc>
          <w:tcPr>
            <w:tcW w:w="280" w:type="dxa"/>
            <w:vAlign w:val="bottom"/>
            <w:tcBorders>
              <w:top w:val="single" w:sz="8" w:color="51555C"/>
              <w:bottom w:val="single" w:sz="8" w:color="0CD973"/>
            </w:tcBorders>
            <w:shd w:val="clear" w:color="auto" w:fill="EBFBFF"/>
          </w:tcPr>
          <w:p>
            <w:pPr>
              <w:jc w:val="right"/>
              <w:ind w:right="70"/>
              <w:spacing w:after="0"/>
              <w:rPr>
                <w:sz w:val="20"/>
                <w:szCs w:val="20"/>
                <w:color w:val="auto"/>
              </w:rPr>
            </w:pPr>
            <w:r>
              <w:rPr>
                <w:rFonts w:ascii="Arial" w:cs="Arial" w:eastAsia="Arial" w:hAnsi="Arial"/>
                <w:sz w:val="18"/>
                <w:szCs w:val="18"/>
                <w:b w:val="1"/>
                <w:bCs w:val="1"/>
                <w:color w:val="51555C"/>
                <w:w w:val="99"/>
              </w:rPr>
              <w:t>$</w:t>
            </w:r>
          </w:p>
        </w:tc>
        <w:tc>
          <w:tcPr>
            <w:tcW w:w="1040" w:type="dxa"/>
            <w:vAlign w:val="bottom"/>
            <w:tcBorders>
              <w:top w:val="single" w:sz="8" w:color="51555C"/>
              <w:bottom w:val="single" w:sz="8" w:color="0CD973"/>
            </w:tcBorders>
            <w:shd w:val="clear" w:color="auto" w:fill="EBFBFF"/>
          </w:tcPr>
          <w:p>
            <w:pPr>
              <w:jc w:val="right"/>
              <w:spacing w:after="0"/>
              <w:rPr>
                <w:sz w:val="20"/>
                <w:szCs w:val="20"/>
                <w:color w:val="auto"/>
              </w:rPr>
            </w:pPr>
            <w:r>
              <w:rPr>
                <w:rFonts w:ascii="Arial" w:cs="Arial" w:eastAsia="Arial" w:hAnsi="Arial"/>
                <w:sz w:val="18"/>
                <w:szCs w:val="18"/>
                <w:b w:val="1"/>
                <w:bCs w:val="1"/>
                <w:color w:val="51555C"/>
              </w:rPr>
              <w:t>6,873,409</w:t>
            </w:r>
          </w:p>
        </w:tc>
        <w:tc>
          <w:tcPr>
            <w:tcW w:w="260" w:type="dxa"/>
            <w:vAlign w:val="bottom"/>
            <w:tcBorders>
              <w:top w:val="single" w:sz="8" w:color="51555C"/>
              <w:bottom w:val="single" w:sz="8" w:color="0CD973"/>
            </w:tcBorders>
            <w:shd w:val="clear" w:color="auto" w:fill="EBFBFF"/>
          </w:tcPr>
          <w:p>
            <w:pPr>
              <w:jc w:val="right"/>
              <w:ind w:right="50"/>
              <w:spacing w:after="0"/>
              <w:rPr>
                <w:sz w:val="20"/>
                <w:szCs w:val="20"/>
                <w:color w:val="auto"/>
              </w:rPr>
            </w:pPr>
            <w:r>
              <w:rPr>
                <w:rFonts w:ascii="Arial" w:cs="Arial" w:eastAsia="Arial" w:hAnsi="Arial"/>
                <w:sz w:val="18"/>
                <w:szCs w:val="18"/>
                <w:b w:val="1"/>
                <w:bCs w:val="1"/>
                <w:color w:val="51555C"/>
                <w:w w:val="99"/>
              </w:rPr>
              <w:t>$</w:t>
            </w:r>
          </w:p>
        </w:tc>
        <w:tc>
          <w:tcPr>
            <w:tcW w:w="1040" w:type="dxa"/>
            <w:vAlign w:val="bottom"/>
            <w:tcBorders>
              <w:top w:val="single" w:sz="8" w:color="51555C"/>
              <w:bottom w:val="single" w:sz="8" w:color="0CD973"/>
            </w:tcBorders>
            <w:shd w:val="clear" w:color="auto" w:fill="EBFBFF"/>
          </w:tcPr>
          <w:p>
            <w:pPr>
              <w:jc w:val="right"/>
              <w:spacing w:after="0"/>
              <w:rPr>
                <w:sz w:val="20"/>
                <w:szCs w:val="20"/>
                <w:color w:val="auto"/>
              </w:rPr>
            </w:pPr>
            <w:r>
              <w:rPr>
                <w:rFonts w:ascii="Arial" w:cs="Arial" w:eastAsia="Arial" w:hAnsi="Arial"/>
                <w:sz w:val="18"/>
                <w:szCs w:val="18"/>
                <w:b w:val="1"/>
                <w:bCs w:val="1"/>
                <w:color w:val="51555C"/>
              </w:rPr>
              <w:t>5,435,550</w:t>
            </w:r>
          </w:p>
        </w:tc>
        <w:tc>
          <w:tcPr>
            <w:tcW w:w="280" w:type="dxa"/>
            <w:vAlign w:val="bottom"/>
            <w:tcBorders>
              <w:top w:val="single" w:sz="8" w:color="51555C"/>
              <w:bottom w:val="single" w:sz="8" w:color="0CD973"/>
            </w:tcBorders>
            <w:shd w:val="clear" w:color="auto" w:fill="EBFBFF"/>
          </w:tcPr>
          <w:p>
            <w:pPr>
              <w:jc w:val="right"/>
              <w:ind w:right="70"/>
              <w:spacing w:after="0"/>
              <w:rPr>
                <w:sz w:val="20"/>
                <w:szCs w:val="20"/>
                <w:color w:val="auto"/>
              </w:rPr>
            </w:pPr>
            <w:r>
              <w:rPr>
                <w:rFonts w:ascii="Arial" w:cs="Arial" w:eastAsia="Arial" w:hAnsi="Arial"/>
                <w:sz w:val="18"/>
                <w:szCs w:val="18"/>
                <w:b w:val="1"/>
                <w:bCs w:val="1"/>
                <w:color w:val="51555C"/>
                <w:w w:val="99"/>
              </w:rPr>
              <w:t>$</w:t>
            </w:r>
          </w:p>
        </w:tc>
        <w:tc>
          <w:tcPr>
            <w:tcW w:w="1040" w:type="dxa"/>
            <w:vAlign w:val="bottom"/>
            <w:tcBorders>
              <w:top w:val="single" w:sz="8" w:color="51555C"/>
              <w:bottom w:val="single" w:sz="8" w:color="0CD973"/>
            </w:tcBorders>
            <w:shd w:val="clear" w:color="auto" w:fill="EBFBFF"/>
          </w:tcPr>
          <w:p>
            <w:pPr>
              <w:jc w:val="right"/>
              <w:spacing w:after="0"/>
              <w:rPr>
                <w:sz w:val="20"/>
                <w:szCs w:val="20"/>
                <w:color w:val="auto"/>
              </w:rPr>
            </w:pPr>
            <w:r>
              <w:rPr>
                <w:rFonts w:ascii="Arial" w:cs="Arial" w:eastAsia="Arial" w:hAnsi="Arial"/>
                <w:sz w:val="18"/>
                <w:szCs w:val="18"/>
                <w:b w:val="1"/>
                <w:bCs w:val="1"/>
                <w:color w:val="51555C"/>
              </w:rPr>
              <w:t>6,455,952</w:t>
            </w:r>
          </w:p>
        </w:tc>
        <w:tc>
          <w:tcPr>
            <w:tcW w:w="260" w:type="dxa"/>
            <w:vAlign w:val="bottom"/>
            <w:tcBorders>
              <w:top w:val="single" w:sz="8" w:color="51555C"/>
              <w:bottom w:val="single" w:sz="8" w:color="0CD973"/>
            </w:tcBorders>
            <w:shd w:val="clear" w:color="auto" w:fill="EBFBFF"/>
          </w:tcPr>
          <w:p>
            <w:pPr>
              <w:jc w:val="right"/>
              <w:ind w:right="50"/>
              <w:spacing w:after="0"/>
              <w:rPr>
                <w:sz w:val="20"/>
                <w:szCs w:val="20"/>
                <w:color w:val="auto"/>
              </w:rPr>
            </w:pPr>
            <w:r>
              <w:rPr>
                <w:rFonts w:ascii="Arial" w:cs="Arial" w:eastAsia="Arial" w:hAnsi="Arial"/>
                <w:sz w:val="18"/>
                <w:szCs w:val="18"/>
                <w:b w:val="1"/>
                <w:bCs w:val="1"/>
                <w:color w:val="51555C"/>
                <w:w w:val="99"/>
              </w:rPr>
              <w:t>$</w:t>
            </w:r>
          </w:p>
        </w:tc>
        <w:tc>
          <w:tcPr>
            <w:tcW w:w="1040" w:type="dxa"/>
            <w:vAlign w:val="bottom"/>
            <w:tcBorders>
              <w:top w:val="single" w:sz="8" w:color="51555C"/>
              <w:bottom w:val="single" w:sz="8" w:color="0CD973"/>
            </w:tcBorders>
            <w:shd w:val="clear" w:color="auto" w:fill="EBFBFF"/>
          </w:tcPr>
          <w:p>
            <w:pPr>
              <w:jc w:val="right"/>
              <w:spacing w:after="0"/>
              <w:rPr>
                <w:sz w:val="20"/>
                <w:szCs w:val="20"/>
                <w:color w:val="auto"/>
              </w:rPr>
            </w:pPr>
            <w:r>
              <w:rPr>
                <w:rFonts w:ascii="Arial" w:cs="Arial" w:eastAsia="Arial" w:hAnsi="Arial"/>
                <w:sz w:val="18"/>
                <w:szCs w:val="18"/>
                <w:b w:val="1"/>
                <w:bCs w:val="1"/>
                <w:color w:val="51555C"/>
              </w:rPr>
              <w:t>5,084,741</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4"/>
          <w:szCs w:val="14"/>
          <w:color w:val="51555C"/>
        </w:rPr>
      </w:pPr>
      <w:r>
        <w:rPr>
          <w:rFonts w:ascii="Arial" w:cs="Arial" w:eastAsia="Arial" w:hAnsi="Arial"/>
          <w:sz w:val="14"/>
          <w:szCs w:val="14"/>
          <w:color w:val="51555C"/>
        </w:rPr>
        <w:t>Equals the average grant date fair value of Mr. Gianoni's 2024 and 2023 STI awards.</w:t>
      </w:r>
    </w:p>
    <w:p>
      <w:pPr>
        <w:spacing w:after="0" w:line="28" w:lineRule="exact"/>
        <w:rPr>
          <w:rFonts w:ascii="Arial" w:cs="Arial" w:eastAsia="Arial" w:hAnsi="Arial"/>
          <w:sz w:val="14"/>
          <w:szCs w:val="14"/>
          <w:color w:val="51555C"/>
        </w:rPr>
      </w:pPr>
    </w:p>
    <w:p>
      <w:pPr>
        <w:ind w:left="340" w:hanging="332"/>
        <w:spacing w:after="0"/>
        <w:tabs>
          <w:tab w:leader="none" w:pos="340" w:val="left"/>
        </w:tabs>
        <w:numPr>
          <w:ilvl w:val="0"/>
          <w:numId w:val="79"/>
        </w:numPr>
        <w:rPr>
          <w:rFonts w:ascii="Arial" w:cs="Arial" w:eastAsia="Arial" w:hAnsi="Arial"/>
          <w:sz w:val="14"/>
          <w:szCs w:val="14"/>
          <w:color w:val="51555C"/>
        </w:rPr>
      </w:pPr>
      <w:r>
        <w:rPr>
          <w:rFonts w:ascii="Arial" w:cs="Arial" w:eastAsia="Arial" w:hAnsi="Arial"/>
          <w:sz w:val="14"/>
          <w:szCs w:val="14"/>
          <w:color w:val="51555C"/>
        </w:rPr>
        <w:t>The value indicated does not consider any post-retirement vesting that may apply to eligible LTI awards under the retirement component of our LTI program.</w:t>
      </w:r>
    </w:p>
    <w:p>
      <w:pPr>
        <w:spacing w:after="0" w:line="14" w:lineRule="exact"/>
        <w:rPr>
          <w:rFonts w:ascii="Arial" w:cs="Arial" w:eastAsia="Arial" w:hAnsi="Arial"/>
          <w:sz w:val="14"/>
          <w:szCs w:val="14"/>
          <w:color w:val="51555C"/>
        </w:rPr>
      </w:pPr>
    </w:p>
    <w:p>
      <w:pPr>
        <w:ind w:left="340" w:hanging="332"/>
        <w:spacing w:after="0"/>
        <w:tabs>
          <w:tab w:leader="none" w:pos="340" w:val="left"/>
        </w:tabs>
        <w:numPr>
          <w:ilvl w:val="0"/>
          <w:numId w:val="79"/>
        </w:numPr>
        <w:rPr>
          <w:rFonts w:ascii="Arial" w:cs="Arial" w:eastAsia="Arial" w:hAnsi="Arial"/>
          <w:sz w:val="14"/>
          <w:szCs w:val="14"/>
          <w:color w:val="51555C"/>
        </w:rPr>
      </w:pPr>
      <w:r>
        <w:rPr>
          <w:rFonts w:ascii="Arial" w:cs="Arial" w:eastAsia="Arial" w:hAnsi="Arial"/>
          <w:sz w:val="14"/>
          <w:szCs w:val="14"/>
          <w:color w:val="51555C"/>
        </w:rPr>
        <w:t>The individual amounts for each NEO may not sum to total due to rounding.</w:t>
      </w:r>
    </w:p>
    <w:p>
      <w:pPr>
        <w:spacing w:after="0" w:line="14" w:lineRule="exact"/>
        <w:rPr>
          <w:rFonts w:ascii="Arial" w:cs="Arial" w:eastAsia="Arial" w:hAnsi="Arial"/>
          <w:sz w:val="14"/>
          <w:szCs w:val="14"/>
          <w:color w:val="51555C"/>
        </w:rPr>
      </w:pPr>
    </w:p>
    <w:p>
      <w:pPr>
        <w:ind w:left="340" w:hanging="332"/>
        <w:spacing w:after="0" w:line="262" w:lineRule="auto"/>
        <w:tabs>
          <w:tab w:leader="none" w:pos="354" w:val="left"/>
        </w:tabs>
        <w:numPr>
          <w:ilvl w:val="0"/>
          <w:numId w:val="79"/>
        </w:numPr>
        <w:rPr>
          <w:rFonts w:ascii="Arial" w:cs="Arial" w:eastAsia="Arial" w:hAnsi="Arial"/>
          <w:sz w:val="14"/>
          <w:szCs w:val="14"/>
          <w:color w:val="51555C"/>
        </w:rPr>
      </w:pPr>
      <w:r>
        <w:rPr>
          <w:rFonts w:ascii="Arial" w:cs="Arial" w:eastAsia="Arial" w:hAnsi="Arial"/>
          <w:sz w:val="14"/>
          <w:szCs w:val="14"/>
          <w:color w:val="51555C"/>
        </w:rPr>
        <w:t>Termination by the Company without cause or by the NEO for good reason in connection with the change in control, as described under "Employment Arrangements" above.</w:t>
      </w:r>
    </w:p>
    <w:p>
      <w:pPr>
        <w:spacing w:after="0" w:line="200" w:lineRule="exact"/>
        <w:rPr>
          <w:sz w:val="20"/>
          <w:szCs w:val="20"/>
          <w:color w:val="auto"/>
        </w:rPr>
      </w:pPr>
    </w:p>
    <w:p>
      <w:pPr>
        <w:spacing w:after="0" w:line="324"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66</w:t>
      </w:r>
      <w:r>
        <w:rPr>
          <w:sz w:val="20"/>
          <w:szCs w:val="20"/>
          <w:color w:val="auto"/>
        </w:rPr>
        <w:tab/>
      </w:r>
      <w:r>
        <w:rPr>
          <w:sz w:val="1"/>
          <w:szCs w:val="1"/>
          <w:color w:val="auto"/>
        </w:rPr>
        <w:drawing>
          <wp:inline distT="0" distB="0" distL="0" distR="0">
            <wp:extent cx="702945" cy="111125"/>
            <wp:effectExtent l="0" t="0" r="0"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155575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68" w:name="page69"/>
    <w:bookmarkEnd w:id="68"/>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b w:val="1"/>
          <w:bCs w:val="1"/>
          <w:color w:val="5155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CEO PAY RATIO</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As required by Item 402(u) of the SEC’s Regulation S-K, we are providing the following information about the relationship of the annual total compensation of our employees and the annual total compensation of Mr. Gianoni, our CEO. The pay ratio described below is a reasonable estimate calculated in a manner consistent with Item 402(u) of Regulation S-K. However, due to the flexibility afforded by Item 402(u) in calculating the CEO Pay Ratio, our CEO Pay Ratio and calculation methodology may not be comparable with the CEO pay ratios and approaches of other companies.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51555C"/>
        </w:rPr>
        <w:t>For 2025:</w:t>
      </w:r>
    </w:p>
    <w:p>
      <w:pPr>
        <w:spacing w:after="0" w:line="63" w:lineRule="exact"/>
        <w:rPr>
          <w:sz w:val="20"/>
          <w:szCs w:val="20"/>
          <w:color w:val="auto"/>
        </w:rPr>
      </w:pPr>
    </w:p>
    <w:p>
      <w:pPr>
        <w:ind w:left="460" w:hanging="128"/>
        <w:spacing w:after="0"/>
        <w:tabs>
          <w:tab w:leader="none" w:pos="460" w:val="left"/>
        </w:tabs>
        <w:numPr>
          <w:ilvl w:val="0"/>
          <w:numId w:val="80"/>
        </w:numPr>
        <w:rPr>
          <w:rFonts w:ascii="Arial" w:cs="Arial" w:eastAsia="Arial" w:hAnsi="Arial"/>
          <w:sz w:val="18"/>
          <w:szCs w:val="18"/>
          <w:color w:val="51555C"/>
        </w:rPr>
      </w:pPr>
      <w:r>
        <w:rPr>
          <w:rFonts w:ascii="Arial" w:cs="Arial" w:eastAsia="Arial" w:hAnsi="Arial"/>
          <w:sz w:val="18"/>
          <w:szCs w:val="18"/>
          <w:color w:val="51555C"/>
        </w:rPr>
        <w:t>the median of the annual total compensation of all employees of our Company (other than Mr. Gianoni), was $118,728; and</w:t>
      </w:r>
    </w:p>
    <w:p>
      <w:pPr>
        <w:spacing w:after="0" w:line="63" w:lineRule="exact"/>
        <w:rPr>
          <w:rFonts w:ascii="Arial" w:cs="Arial" w:eastAsia="Arial" w:hAnsi="Arial"/>
          <w:sz w:val="18"/>
          <w:szCs w:val="18"/>
          <w:color w:val="51555C"/>
        </w:rPr>
      </w:pPr>
    </w:p>
    <w:p>
      <w:pPr>
        <w:ind w:left="500" w:hanging="168"/>
        <w:spacing w:after="0" w:line="287" w:lineRule="auto"/>
        <w:tabs>
          <w:tab w:leader="none" w:pos="468" w:val="left"/>
        </w:tabs>
        <w:numPr>
          <w:ilvl w:val="0"/>
          <w:numId w:val="80"/>
        </w:numPr>
        <w:rPr>
          <w:rFonts w:ascii="Arial" w:cs="Arial" w:eastAsia="Arial" w:hAnsi="Arial"/>
          <w:sz w:val="18"/>
          <w:szCs w:val="18"/>
          <w:color w:val="51555C"/>
        </w:rPr>
      </w:pPr>
      <w:r>
        <w:rPr>
          <w:rFonts w:ascii="Arial" w:cs="Arial" w:eastAsia="Arial" w:hAnsi="Arial"/>
          <w:sz w:val="18"/>
          <w:szCs w:val="18"/>
          <w:color w:val="51555C"/>
        </w:rPr>
        <w:t>the annual total compensation of Mr. Gianoni, as reported in the 2025 Summary Compensation Table beginning on page 53 of this Proxy Statement, was $6,022,250.</w:t>
      </w:r>
    </w:p>
    <w:p>
      <w:pPr>
        <w:spacing w:after="0" w:line="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Based on this information, for 2025, the ratio of the annual total compensation of Mr. Gianoni to the median of the annual total compensation of all other employees was estimated to be 51 to 1.</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During 2025, there were changes in our employee population or employee compensation arrangements that we believe would result in a significant change to our pay ratio disclosure. Therefore, in accordance with applicable SEC rules, we elected to determine a new median employee as of December 31, 2025.</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To identify the median employee, compensation data was gathered for our entire employee population as of December 31, 2025, excluding our CEO. We included part-time and non-U.S. employees. We used total 2025 earned compensation (base salary paid in 2025, sales commissions paid in 2025 and the value of equity awards received in 2025 for STI and LTI compensation) as the compensation measure that best reflects the compensation of all our employees. This compensation measure was consistently applied to all of our employees included in the calculation. We annualized the compensation amounts for employees hired during 2025 and, for non-U.S. employees, we converted compensation amounts to U.S. dollars using our currency exchange rates used for organizational planning purposes. In accordance with SEC rules, after identifying our median employee, the 2025 annual total compensation of the median employee and our CEO were determined using the same methodology that we use to determine our NEOs' annual total compensation for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220980</wp:posOffset>
            </wp:positionV>
            <wp:extent cx="702945" cy="11112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67</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69" w:name="page70"/>
    <w:bookmarkEnd w:id="69"/>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EXECUTIVE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20"/>
        <w:spacing w:after="0" w:line="298" w:lineRule="auto"/>
        <w:rPr>
          <w:sz w:val="20"/>
          <w:szCs w:val="20"/>
          <w:color w:val="auto"/>
        </w:rPr>
      </w:pPr>
      <w:r>
        <w:rPr>
          <w:rFonts w:ascii="Arial" w:cs="Arial" w:eastAsia="Arial" w:hAnsi="Arial"/>
          <w:sz w:val="29"/>
          <w:szCs w:val="29"/>
          <w:b w:val="1"/>
          <w:bCs w:val="1"/>
          <w:color w:val="004054"/>
        </w:rPr>
        <w:t>PROPOSAL 2 — APPROVAL OF THE AMENDMENT AND RESTATEMENT OF THE BLACKBAUD, INC. 2016 EQUITY AND INCENTIVE COMPENSATION PLAN</w:t>
      </w:r>
    </w:p>
    <w:p>
      <w:pPr>
        <w:spacing w:after="0" w:line="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We are asking our stockholders to approve an amendment and restatement of the Blackbaud, Inc. 2016 Equity and Incentive Compensation Plan.</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The 2016 Plan was originally adopted by the Board of Directors on March 8, 2016 and approved by the Company’s stockholders at the 2016 Annual Meeting of Stockholders. The 2016 Plan has since been amended and restated several times, most recently effective as of June 11, 2025 and approved by the Company's stockholders at the 2025 Annual Meeting of Stockholders. The Board of Directors has approved a further amendment and restatement of the 2016 Plan to be effective as of June 10, 2026, subject to the requisite approval of the Company’s stockholders at the 2026 Annual Meeting of Stockholders. We are seeking stockholder approval of this amendment and restatement of the 2016 Plan in order to increase the number of shares of the Company’s common stock authorized for issuance under the 2016 Plan by an additional 2,500,000 shares. No other amendments are proposed for stockholder approval.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Proposed Increase in Share Reserve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We are seeking stockholder approval of the amended and restated 2016 Plan to increase the number of shares of the Company's common stock authorized for issuance under the 2016 Plan by 2,500,000 shares. This proposed increase is intended to allow the Company to continue to offer equity compensation to attract, retain, motivate and reward key employees, directors and consultants as well as to align their interests with those of the Company’s stockholders.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As of April 13, 2026, 2,035,264 shares of the Company’s common stock are available for future awards under the 2016 Plan, and we do not believe that this remaining share reserve is sufficient to meet our projected needs. If the proposed addition of 2,500,000 shares receives stockholder approval, the total remaining number of shares of common stock that would then be available for new awards under the amended and restated 2016 Plan will be approximately 4,535,264 shares (plus any shares returned to the share reserve due to forfeited or canceled awards, etc.). The proposed increase in the number of shares of common stock under the amended and restated 2016 Plan is not required or intended to cover awards previously made under the 2016 Plan.</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After careful consideration of the Company’s equity compensation practices and anticipated equity needs, we believe that the proposed increase is consistent with the interests of the Company and its stockholders. As we compete for high-caliber employees, the use of equity grants plays a significant role in our recruiting and retention practices, including in the form of signing bonuses and retention grants. The Company’s approach toward balancing cash and equity-based compensation also has evolved, with short-term incentive bonus compensation for employees now generally provided in the form of equity-based awards, thereby linking the interests of a greater number of employees with those of our stockholders. Since the size of equity grants is based on the competitive value the Company intends to offer recipients, our stock price and volatility also can contribute to the accelerated use of the share reserve under the 2016 Plan.</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We continue to believe that the 2016 Plan is essential to help strengthen the incentive for participants to achieve the objectives of the Company and its stockholders, and contribute to our growth and success. The Company has a standing practice of linking employee compensation to corporate performance because we believe this approach increases employee motivation to improve profitability and stockholder value. These additional shares proposed for stockholder approval are important to furthering our goals and sustaining equity compensation as an integral component of our compensation philosophy. The grant of equity awards as a form of compensation also helps to allow us to manage cash resources.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We rely on the use of equity compensation as a critical and powerful tool to compete for and attract, retain and motivate talented employees. If the amendment and restatement of the 2016 Plan is not approved by our stockholders, we anticipate there will be insufficient shares under the 2016 Plan to support our equity compensation program which we believe would place us at a considerable disadvantage by limiting our flexibility to provide incentives to and reward employees and hindering our ability to attract and retain highly qualified individuals.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For more information about the number of shares subject to certain outstanding awards and the number of shares available for future awards under the 2016 Plan as of December 31, 2025 and as of April 13, 2026, see "Equity Compensation Plan Information" on page 78 of this Proxy Statement.</w:t>
      </w:r>
    </w:p>
    <w:p>
      <w:pPr>
        <w:spacing w:after="0" w:line="341"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68</w:t>
      </w:r>
      <w:r>
        <w:rPr>
          <w:sz w:val="20"/>
          <w:szCs w:val="20"/>
          <w:color w:val="auto"/>
        </w:rPr>
        <w:tab/>
      </w:r>
      <w:r>
        <w:rPr>
          <w:sz w:val="1"/>
          <w:szCs w:val="1"/>
          <w:color w:val="auto"/>
        </w:rPr>
        <w:drawing>
          <wp:inline distT="0" distB="0" distL="0" distR="0">
            <wp:extent cx="702945" cy="111125"/>
            <wp:effectExtent l="0" t="0" r="0" b="0"/>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70" w:name="page71"/>
    <w:bookmarkEnd w:id="70"/>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b w:val="1"/>
          <w:bCs w:val="1"/>
          <w:color w:val="5155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0" w:right="580" w:hanging="466"/>
        <w:spacing w:after="0" w:line="182" w:lineRule="auto"/>
        <w:tabs>
          <w:tab w:leader="none" w:pos="600" w:val="left"/>
        </w:tabs>
        <w:numPr>
          <w:ilvl w:val="0"/>
          <w:numId w:val="81"/>
        </w:numPr>
        <w:rPr>
          <w:rFonts w:ascii="Wingdings" w:cs="Wingdings" w:eastAsia="Wingdings" w:hAnsi="Wingdings"/>
          <w:sz w:val="47"/>
          <w:szCs w:val="47"/>
          <w:b w:val="1"/>
          <w:bCs w:val="1"/>
          <w:color w:val="0CD973"/>
          <w:highlight w:val="white"/>
          <w:vertAlign w:val="subscript"/>
        </w:rPr>
      </w:pPr>
      <w:r>
        <w:rPr>
          <w:rFonts w:ascii="Arial" w:cs="Arial" w:eastAsia="Arial" w:hAnsi="Arial"/>
          <w:sz w:val="18"/>
          <w:szCs w:val="18"/>
          <w:b w:val="1"/>
          <w:bCs w:val="1"/>
          <w:color w:val="51555C"/>
        </w:rPr>
        <w:t>The Board of Directors unanimously recommends that stockholders vote FOR the approval of the amendment and restatement of the Blackbaud, Inc. 2016 Equity and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-405130</wp:posOffset>
            </wp:positionV>
            <wp:extent cx="7148830" cy="46228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8830" cy="46228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51555C"/>
        </w:rPr>
        <w:t>The voting requirements for this Proposal 2 are described above and under "Additional Information" on page 81 of this Proxy Statement.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The following is a summary of the 2016 Plan, as amended and restated, submitted for stockholder approval. The summary describes the principal features of the proposed amended and restated 2016 Plan, but it is qualified by reference to the full text of the amended and restated 2016 Plan, which is included in this Proxy Statement as Appendix B.</w:t>
      </w:r>
    </w:p>
    <w:p>
      <w:pPr>
        <w:spacing w:after="0" w:line="39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Summary of Amendment and Restatement of 2016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Administration</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The 2016 Plan is administered by the Compensation Committee. The Compensation Committee has the full authority to grant awards under the 2016 Plan, to select the recipients of awards under the 2016 Plan, to determine the type and size of awards, and to determine and amend the terms, restrictions and conditions of awards. Among other things, the Compensation Committee also has the full authority to construe and interpret the 2016 Plan and any related award agreement, to establish rules and regulations relating to the administration of the 2016 Plan, to delegate to officers the authority to grant certain awards and make other determinations, to delegate administrative responsibilities and to make all other determinations and to take any other actions that may be necessary or advisable for the administration of the 2016 Plan. The Compensation Committee also has the discretion to vary or amend the terms of awards and to establish administrative rules, procedures and sub-plans to conform to or accommodate differences in laws, rules, regulations, customs or policies of applicable non-U.S. jurisdictions.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Eligibility</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The Compensation Committee may grant awards under the 2016 Plan to employees, directors and consultants providing services to the Company and its affiliates. In selecting recipients of awards and determining the applicable terms and conditions, the Compensation Committee may take into account any factors it deems appropriate, including, among other things, their duties and the Compensation Committee’s assessment of their present and potential contributions to the success of the Company. The number of individuals who are eligible to participate in the 2016 Plan varies and, in light of the Compensation Committee’s discretion, the actual number of individuals who will be granted an award in the future cannot be determined. As of April 13, 2026, the Company had approximately 2,912 employees and six non-employee directors.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Types of Awards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Awards under the 2016 Plan may be granted in the form of incentive stock options, nonstatutory stock options, stock appreciation rights (or "SARs"), restricted stock, restricted stock units, other stock awards, and cash incentive awards. The Compensation Committee also may designate certain awards as performance-based compensation subject to achievement of certain objective performance goals. Each type of award is discussed in more detail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Shares Subject to 2016 Plan and Adjustments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If the stockholders approve the amendment and restatement of the 2016 Plan, the number of shares of the Company’s common stock that have been authorized for issuance under the 2016 Plan since its adoption will be: (i) 5,000,000 shares of common stock initially reserved for the 2016 Plan when it was first approved, plus (ii) an additional 5,000,000 shares of common stock approved in connection with the amendment and restatement of the 2016 Plan effective as of June 13, 2019, plus (iii) an additional 1,500,000 shares of common stock approved in connection with the amendment and restatement of the 2016 Plan effective as of June 10, 2021, plus (iv) an additional 1,400,000 shares of common stock approved in connection with the amendment and restatement of the 2016 Plan effective as of June 9, 2022, plus (v) an additional 2,100,000 shares of common stock approved in connection with the amendment and restatement of the 2016 Plan effective as of June 14, 2023, plus (vi) an additional 2,060,000 shares of common stock approved in connection with the amendment and restatement of the 2016 Plan effective as of June 12, 2024, plus (vii) an additional 1,450,000 shares of common stock approved in connection with the amendment and restatement of the 2016 Plan effective as of June 11, 2025, plus (viii) an additional 2,500,000 shares of common stock proposed in connection with this amendment and restatement of the 2016 Plan, plus (ix) 1,896,134 shares of common stock that remained unallocated under our previous 2008 Incentive Plan when the 2016 Plan was first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235585</wp:posOffset>
            </wp:positionV>
            <wp:extent cx="702945" cy="11112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69</w:t>
            </w:r>
          </w:p>
        </w:tc>
      </w:tr>
      <w:tr>
        <w:trPr>
          <w:trHeight w:val="271"/>
        </w:trPr>
        <w:tc>
          <w:tcPr>
            <w:tcW w:w="1020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71" w:name="page72"/>
    <w:bookmarkEnd w:id="71"/>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EXECUTIVE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In addition, the share reserve under the 2016 Plan may be increased from time to time by a number of shares equal to the number of shares of the Company’s common stock that (i) are issuable pursuant to awards outstanding under the 2008 Incentive Plan and (ii) but for the termination of the 2008 Incentive Plan for future grants, would otherwise have reverted to the share reserve of the 2008 Incentive Plan.</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The 2016 Plan used to include a fungible share counting provision which reduced the share reserve by one share for each share subject to options or stock appreciation rights, and by two shares for each share subject to all other stock awards. The fungible share counting provision previously was eliminated from the 2016 Plan with respect to awards granted on or after June 10, 2021 so the share reserve is reduced by one share for each share subject to such a stock award, regardless of the type of award.</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Shares of common stock covered by awards that expire, lapse or are forfeited, repurchased, canceled, or otherwise terminated without the delivery of the full number of covered shares generally will be available for further awards under the 2016 Plan to the extent of such expiration, forfeiture, cancellation, etc. The number of shares that again become available for awards under the 2016 Plan are added back to the share reserve on a one-for-one basis, except that shares of common stock subject to awards granted under the 2016 Plan prior to June 10, 2021 (other than stock options or stock appreciation rights) are added back as two shares for each share subject to such stock award.</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However, shares of common stock subject to an award will not become available again for awards under the 2016 Plan if they are (i) withheld or retained by the Company in payment of the exercise or purchase price of an award (including shares withheld or retained by the Company or not issued in connection with the net settlement or net exercise of an award), or (ii) tendered to, withheld or retained by the Company in payment of tax withholding obligations relating to an award. Shares of common stock shall not be deemed to have been issued pursuant to the 2016 Plan with respect to any portion of a stock award (other than a stock appreciation right that may be settled in shares of common stock and/or cash) that is settled in cash. Upon exercise of a stock appreciation right, whether in cash or shares of common stock, the number of shares available for issuance under the 2016 Plan will be reduced by the gross number of shares for which the stock appreciation right is exercised.</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The aggregate maximum number of shares of the Company’s common stock that may be issued under the 2016 Plan pursuant to the exercise of incentive stock options is 5,000,000 shares.</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In the event any change is made in the shares subject to the 2016 Plan or any stock award granted under the 2016 Plan, whether through merger, consolidation, reorganization, recapitalization, reincorporation, stock dividend, dividend in property other than cash, stock split, liquidating dividend, combination of shares, exchange of shares, change in corporate structure, or otherwise, the Compensation Committee will equitably and proportionately adjust: (i) the class (or classes) and maximum number of securities subject to the 2016 Plan, (ii) the class (or classes) and maximum number of securities that may be issued pursuant to the exercise of incentive stock options, (iii) the class (or classes) and maximum number of securities (or amount of cash consideration) that may be awarded to any person pursuant to performance stock awards and other stock-based awards, and (iv) the class (or classes) and number of securities and price per share of stock subject to outstanding stock awards.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Individual Award Limits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51555C"/>
        </w:rPr>
        <w:t>The 2016 Plan provides for the following individual award limits.</w:t>
      </w:r>
    </w:p>
    <w:p>
      <w:pPr>
        <w:spacing w:after="0" w:line="171" w:lineRule="exact"/>
        <w:rPr>
          <w:sz w:val="20"/>
          <w:szCs w:val="20"/>
          <w:color w:val="auto"/>
        </w:rPr>
      </w:pPr>
    </w:p>
    <w:p>
      <w:pPr>
        <w:jc w:val="both"/>
        <w:ind w:left="500" w:hanging="168"/>
        <w:spacing w:after="0" w:line="262" w:lineRule="auto"/>
        <w:tabs>
          <w:tab w:leader="none" w:pos="468" w:val="left"/>
        </w:tabs>
        <w:numPr>
          <w:ilvl w:val="0"/>
          <w:numId w:val="82"/>
        </w:numPr>
        <w:rPr>
          <w:rFonts w:ascii="Arial" w:cs="Arial" w:eastAsia="Arial" w:hAnsi="Arial"/>
          <w:sz w:val="18"/>
          <w:szCs w:val="18"/>
          <w:color w:val="51555C"/>
        </w:rPr>
      </w:pPr>
      <w:r>
        <w:rPr>
          <w:rFonts w:ascii="Arial" w:cs="Arial" w:eastAsia="Arial" w:hAnsi="Arial"/>
          <w:sz w:val="18"/>
          <w:szCs w:val="18"/>
          <w:color w:val="51555C"/>
        </w:rPr>
        <w:t>No employee or consultant may be granted (i) options and/or stock appreciation rights under the 2016 Plan with respect to an aggregate of more than 1,000,000 shares of common stock during any calendar year, or (ii) other types of stock awards under the 2016 Plan (whether such awards may be settled in shares of common stock and/or cash) consisting of, covering or relating to in the aggregate more than 1,000,000 shares of common stock during any calendar year.</w:t>
      </w:r>
    </w:p>
    <w:p>
      <w:pPr>
        <w:spacing w:after="0" w:line="122" w:lineRule="exact"/>
        <w:rPr>
          <w:rFonts w:ascii="Arial" w:cs="Arial" w:eastAsia="Arial" w:hAnsi="Arial"/>
          <w:sz w:val="18"/>
          <w:szCs w:val="18"/>
          <w:color w:val="51555C"/>
        </w:rPr>
      </w:pPr>
    </w:p>
    <w:p>
      <w:pPr>
        <w:ind w:left="500" w:hanging="168"/>
        <w:spacing w:after="0" w:line="287" w:lineRule="auto"/>
        <w:tabs>
          <w:tab w:leader="none" w:pos="468" w:val="left"/>
        </w:tabs>
        <w:numPr>
          <w:ilvl w:val="0"/>
          <w:numId w:val="82"/>
        </w:numPr>
        <w:rPr>
          <w:rFonts w:ascii="Arial" w:cs="Arial" w:eastAsia="Arial" w:hAnsi="Arial"/>
          <w:sz w:val="18"/>
          <w:szCs w:val="18"/>
          <w:color w:val="51555C"/>
        </w:rPr>
      </w:pPr>
      <w:r>
        <w:rPr>
          <w:rFonts w:ascii="Arial" w:cs="Arial" w:eastAsia="Arial" w:hAnsi="Arial"/>
          <w:sz w:val="18"/>
          <w:szCs w:val="18"/>
          <w:color w:val="51555C"/>
        </w:rPr>
        <w:t>No non-employee director may be granted stock awards (whether such awards may be settled in shares of common stock and/or cash) under the 2016 Plan with respect to an aggregate of more than 300,000 shares of common stock during any calendar year.</w:t>
      </w:r>
    </w:p>
    <w:p>
      <w:pPr>
        <w:spacing w:after="0" w:line="98" w:lineRule="exact"/>
        <w:rPr>
          <w:rFonts w:ascii="Arial" w:cs="Arial" w:eastAsia="Arial" w:hAnsi="Arial"/>
          <w:sz w:val="18"/>
          <w:szCs w:val="18"/>
          <w:color w:val="51555C"/>
        </w:rPr>
      </w:pPr>
    </w:p>
    <w:p>
      <w:pPr>
        <w:jc w:val="both"/>
        <w:ind w:left="500" w:hanging="168"/>
        <w:spacing w:after="0" w:line="287" w:lineRule="auto"/>
        <w:tabs>
          <w:tab w:leader="none" w:pos="468" w:val="left"/>
        </w:tabs>
        <w:numPr>
          <w:ilvl w:val="0"/>
          <w:numId w:val="82"/>
        </w:numPr>
        <w:rPr>
          <w:rFonts w:ascii="Arial" w:cs="Arial" w:eastAsia="Arial" w:hAnsi="Arial"/>
          <w:sz w:val="18"/>
          <w:szCs w:val="18"/>
          <w:color w:val="51555C"/>
        </w:rPr>
      </w:pPr>
      <w:r>
        <w:rPr>
          <w:rFonts w:ascii="Arial" w:cs="Arial" w:eastAsia="Arial" w:hAnsi="Arial"/>
          <w:sz w:val="18"/>
          <w:szCs w:val="18"/>
          <w:color w:val="51555C"/>
        </w:rPr>
        <w:t>With respect to any performance-based cash award, the maximum amount that can be paid to any participant with respect to (i) a performance period that is 12 months or less is $15,000,000 and (ii) a performance period that is more than 12 months is $20,000,000.</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Prohibition on Repricing</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The 2016 Plan expressly provides that the terms of outstanding options and stock appreciation rights may not be amended without requisite stockholder approval to (i) reduce the exercise price or strike price, (ii) cancel outstanding options or stock appreciation rights in exchange for options or stock appreciation rights with an exercise price or strike price that is less than the exercise price of the original options or stock appreciation rights, (iii) cancel outstanding options or stock appreciation rights</w:t>
      </w:r>
    </w:p>
    <w:p>
      <w:pPr>
        <w:spacing w:after="0" w:line="333"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70</w:t>
      </w:r>
      <w:r>
        <w:rPr>
          <w:sz w:val="20"/>
          <w:szCs w:val="20"/>
          <w:color w:val="auto"/>
        </w:rPr>
        <w:tab/>
      </w:r>
      <w:r>
        <w:rPr>
          <w:sz w:val="1"/>
          <w:szCs w:val="1"/>
          <w:color w:val="auto"/>
        </w:rPr>
        <w:drawing>
          <wp:inline distT="0" distB="0" distL="0" distR="0">
            <wp:extent cx="702945" cy="111760"/>
            <wp:effectExtent l="0" t="0" r="0" b="0"/>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02945" cy="111760"/>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72" w:name="page73"/>
    <w:bookmarkEnd w:id="72"/>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b w:val="1"/>
          <w:bCs w:val="1"/>
          <w:color w:val="5155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with an exercise price or strike price that is less than the then current fair market value of a share of common stock in exchange for other awards, cash or other property, or (iv) otherwise effect a transaction that would be considered a “repricing” for purposes of the stockholder approval rules of the applicable securities exchange or inter-dealer quotation system on which the common stock is listed or quoted. These prohibitions do not apply to certain transactions in which awards are assumed.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Minimum Vesting Requirements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The Compensation Committee determines the time(s) at which an award will vest or the restrictions thereon lapse and the terms on which an award requiring exercise will become and remain exercisable. However, the 2016 Plan includes minimum vesting periods for awards. Generally, awards may not vest (or the restrictions may not lapse, as applicable) less than one year from the grant date. The 2016 Plan provides that awards to non-employee directors that vest on the earlier of the one-year anniversary of the date of grant and the next annual meeting of stockholders are deemed to meet this requirement. The Compensation Committee may provide at or following the grant date of an award for accelerated vesting (or lapse of restrictions) in connection with death, disability, a change in control or changes in applicable laws, or, subject to the minimum vesting periods above, at any other time. However, up to a maximum of 5% of the aggregate shares of the Company’s common stock authorized for issuance under the 2016 Plan may be subject to awards that do not satisfy these minimum vesting periods and/or that provide for acceleration in other circumstances.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Stock Options</w:t>
      </w:r>
    </w:p>
    <w:p>
      <w:pPr>
        <w:spacing w:after="0" w:line="16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Stock options may be granted under the 2016 Plan in the form of either incentive stock options intended to qualify under Section 422 of the Code or nonstatutory stock options. Incentive stock options can be granted only to employees of the Company and certain subsidiaries. Stock options give the recipient an opportunity to purchase shares of common stock from the Company at a designated exercise price.</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The exercise price of options granted under the 2016 Plan is determined at the discretion of the Compensation Committee, but the exercise price per share generally may not be less than the fair market value of a share of the Company’s common stock on the grant date of the option. In the case of incentive stock options granted to any holder on the grant date of more than 10% (directly or by attribution through relatives or entities in which the holder has an ownership interest) of the total combined voting power of all classes of stock of the Company or a parent or subsidiary corporation (a “10% Stockholder”), the exercise price per share may not be less than 110% of the fair market value of a share of the Company’s common stock on the grant date. For this purpose, fair market value under the 2016 Plan generally is based on the closing sales price of the Company’s common stock on the Nasdaq Global Select Market on the grant date of the option.</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Unless otherwise provided by the Compensation Committee, the exercise price of an option generally may be paid in cash and, subject to applicable law and such rules as may be established by the Compensation Committee, (i) by tendering previously acquired shares of common stock having an aggregate fair market value equal to the total exercise price, as long as certain requirements are met, and/or (ii) by means of a “cashless exercise” through an approved broker. The Compensation Committee also may provide that options may be exercised using a “net share settlement” procedure or by other means consistent with applicable law.</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The Compensation Committee establishes the time period within which options must be exercised, but this period may not exceed ten years from the grant date of the option or, in the case of incentive stock options granted to a 10% Stockholder, five years from the grant date of the option. Options may expire before the end of the option period if the option holder’s service with the Company terminates. Stock options will be exercisable at such time(s) and subject to such restrictions as determined by the Compensation Committee. Such restrictions may, but are not required to, include performance goals for financial or other business objectives. To the extent that the fair market value of incentive stock options (determined based on the grant date) that become exercisable for the first time in a calendar year exceeds $100,000, such options generally will be deemed nonstatutory stock options.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The Compensation Committee may implement an automatic exercise feature for stock options providing that if, on the last day that an option may be exercised, the participant has not then exercised such option and its exercise price is less than the fair market value of a share of common stock, the option will be deemed to have been exercised by the participant using a “net exercise” on such last day and the Company will make the appropriate payment to such participant after applicable tax withholding.</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The following rules generally apply if the option holder’s service with the Company and its subsidiaries terminates. If the option holder’s service terminates for any reason other than cause (as defined in the 2016 Plan), disability or death, the option holder generally may exercise his or her vested stock options within the three-month period following such termination. If the option holder’s service terminates due to his or her disability, vested options generally may be exercised during the twelve-month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218440</wp:posOffset>
            </wp:positionV>
            <wp:extent cx="702945" cy="11112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71</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73" w:name="page74"/>
    <w:bookmarkEnd w:id="73"/>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EXECUTIVE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period following termination. If the option holder dies while employed or during the applicable exercise period following termination as described above, vested options generally may be exercised during the twelve-month period following the option holder’s death. However, in no event can an option be exercised after the expiration of its term (i.e., the option period fixed by the Compensation Committee). If the option holder is terminated by the Company for cause, all options will terminate immediately and the option holder will be prohibited from exercising his or her options.</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Options generally may not be transferred except by will or the laws of descent and distribution and options generally may be exercised during the lifetime of the option holder only by the option holder. However, the Compensation Committee, in its discretion, may permit the transfer of nonstatutory stock options in certain circumstances.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51555C"/>
        </w:rPr>
        <w:t>The 2016 Plan prohibits dividend equivalents with respect to stock options.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Stock Appreciation Rights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SARs allow a recipient to receive upon exercise an amount equal to the excess of the fair market value at that time of the shares of the Company’s common stock with respect to which the SARs are being exercised over the initial value assigned to such SARs. This amount may be payable in cash, shares of common stock or a combination, as determined by the Compensation Committee. The initial value of SARs granted under the 2016 Plan is determined at the discretion of the Compensation Committee, but the initial value per share of common stock covered by the SARs may not be less than the fair market value of a share of the Company’s common stock on the grant date of the SARs. For this purpose, fair market value under the 2016 Plan generally is based on the closing price of the Company’s common stock on the Nasdaq Global Select Market on the grant date of the SARs.</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SARs may be granted in tandem with stock options or independently. The Compensation Committee will establish the time period within which SARs must be exercised, but this period may not exceed ten years from the grant date of the SARs. SARs granted in tandem with stock options must have the same term as the options to which they relate. SARs may expire before the end of the exercise period if the recipient’s service with the Company and its subsidiaries ends. SARs will be exercisable at such time(s) and subject to such restrictions as determined by the Compensation Committee. Such restrictions may, but are not required to, include performance goals for financial or other business objectives. However, SARs granted in tandem with stock options may be exercised only with respect to the shares of common stock for which their related stock options are then exercisable. The exercise of either options or SARs that are granted in tandem will result in the termination of the other to the extent of the number of shares of common stock with respect to which such options or SARs are exercised. The Compensation Committee may implement an automatic exercise feature for SARs similar to the automatic exercise feature described above for stock options.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If an individual’s service with the Company and its subsidiaries terminates, SARs then held by such individual will terminate on the same terms and conditions that apply to stock options as described 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51555C"/>
        </w:rPr>
        <w:t>The 2016 Plan prohibits dividend equivalents with respect to SARs.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Restricted Stock and Restricted Stock Units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Restricted stock is an award of shares of the Company’s common stock that is subject to restrictions and other terms and conditions set by the Compensation Committee. Restricted stock units are non-voting units of measurement that represent the contingent right to receive shares of common stock or the value of shares of common stock in the future, but no shares are actually awarded to recipients on the grant date. Once applicable restrictions lapse or have been satisfied, restricted stock units may be payable in cash, shares of common stock or a combination, as specified by the Compensation Committee.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The Compensation Committee determines the type of restrictions applicable to the award, which can include restrictions based on the achievement of financial or other business objectives, the occurrence of a specific event, continued service for a period of time or other time-based restrictions. The Compensation Committee also determines the purchase price, if any, to be paid for the restricted stock or restricted stock units. Restricted stock units are not transferable and restricted stock generally may not be transferred until all restrictions applicable to the award have lapsed or been satisfied.</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If the recipient’s service with the Company and its subsidiaries terminates, all shares of common stock or restricted stock units, as the case may be, that are still subject to restrictions generally will be forfeited unless the Compensation Committee provides otherwise.</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Unless the award agreement provides otherwise, a recipient of restricted stock generally will have certain rights and privileges of a stockholder, including the right to vote such shares of restricted stock and to receive cash dividends, if any; provided, that any such dividends will be subject to forfeiture to the same extent as the corresponding shares of restricted stock (and the</w:t>
      </w:r>
    </w:p>
    <w:p>
      <w:pPr>
        <w:spacing w:after="0" w:line="327"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72</w:t>
      </w:r>
      <w:r>
        <w:rPr>
          <w:sz w:val="20"/>
          <w:szCs w:val="20"/>
          <w:color w:val="auto"/>
        </w:rPr>
        <w:tab/>
      </w:r>
      <w:r>
        <w:rPr>
          <w:sz w:val="1"/>
          <w:szCs w:val="1"/>
          <w:color w:val="auto"/>
        </w:rPr>
        <w:drawing>
          <wp:inline distT="0" distB="0" distL="0" distR="0">
            <wp:extent cx="702945" cy="111125"/>
            <wp:effectExtent l="0" t="0" r="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74" w:name="page75"/>
    <w:bookmarkEnd w:id="74"/>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b w:val="1"/>
          <w:bCs w:val="1"/>
          <w:color w:val="5155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Compensation Committee may require that any dividends be reinvested in additional shares of restricted stock). A recipient of restricted stock units will not have any voting or other stockholder rights. However, the Compensation Committee may provide for dividend equivalent rights on such terms and conditions as it may specify but dividend equivalents with respect to restricted stock units subject to vesting conditions can only be paid to the extent such vesting conditions have been met.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Other Stock Awards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The Compensation Committee may grant other types of stock awards under the 2016 Plan that involve the issuance of shares of our common stock or that are denominated or valued by reference to shares of common stock. The terms and conditions applicable to such stock awards will be determined by the Compensation Committee in its discretion.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Cash Incentive Awards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The Compensation Committee may award an employee the opportunity to receive a cash bonus based on the achievement of one or more performance goals (as described below under “Performance Awards”). The Compensation Committee will establish these performance goals and any other criteria that must be met, the period during which achievement of the performance goals and other criteria will be measured, the formula or basis by which the actual amount of the cash incentive bonus will be determined, the timing and form of payment, and any forfeiture events. Cash incentive awards will be paid in cash. The Compensation Committee may, in its discretion, reduce the amount of or eliminate a cash incentive award.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Performance Awards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The 2016 Plan authorizes performance awards in the form of restricted stock, restricted stock units, other stock awards or cash awards that may be granted, vest or become payable based on the attainment of certain performance goals. The Compensation Committee determines the length of any performance period, the performance goals to be achieved during the performance period, and the measure of whether and to what degree such performance goals have been attained.</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Section 162(m) of the Code generally limits the Company's annual federal income tax deduction for compensation paid to certain officers and former officers to $1.0 million with respect to each such officer. Under prior law, an exception to this deduction limit applied for compensation that qualified as performance-based compensation (the “Section 162(m) Exception”), and the 2016 Plan was intended to allow certain awards to meet the requirements for the Section 162(m) Exception.</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The Section 162(m) Exception was eliminated effective for taxable years beginning after December 31, 2017. However, the Section 162(m) Exception continues to be available under transition relief for certain grandfathered awards made pursuant to written binding contracts in effect on November 2, 2017 that have not subsequently been materially modified. Therefore, although we may continue to grant awards under the 2016 Plan that contain vesting or other terms that relate to performance-based conditions, we may no longer grant awards that will qualify for the Section 162(m) Exception. For historical reference and because certain provisions in the 2016 Plan relate both to awards that were intended to meet the Section 162(m) Exception and to performance-based awards that were not intended to qualify for the exception, provisions in the 2016 Plan related to awards that were intended to qualify for the Section 162(m) Exception have largely been retained.</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For example, although the Section 162(m) Exception is no longer applicable, the 2016 Plan continues to include the following list of criteria on which performance goals may be based: (i) earnings per share; (ii) earnings before interest, taxes and depreciation; (iii) earnings before interest, taxes, depreciation and amortization (EBITDA); (iv) total stockholder return; (v) return on equity; (vi) return on assets, investment, or capital employed; (vii) operating margin; (viii) gross margin; (ix) operating income; (x) net income (before or after taxes); (xi) net operating income; (xii) net operating income after tax; (xiii) pre- and/or after-tax income; (xiv) pre-tax profit; (xv) operating cash flow; (xvi) sales or revenue targets; (xvii) orders and revenue; (xviii) increases in revenue or product revenue; (xix) expenses and cost reduction goals;</w:t>
      </w:r>
    </w:p>
    <w:p>
      <w:pPr>
        <w:spacing w:after="0" w:line="5" w:lineRule="exact"/>
        <w:rPr>
          <w:sz w:val="20"/>
          <w:szCs w:val="20"/>
          <w:color w:val="auto"/>
        </w:rPr>
      </w:pPr>
    </w:p>
    <w:p>
      <w:pPr>
        <w:jc w:val="both"/>
        <w:ind w:firstLine="8"/>
        <w:spacing w:after="0" w:line="254" w:lineRule="auto"/>
        <w:tabs>
          <w:tab w:leader="none" w:pos="350" w:val="left"/>
        </w:tabs>
        <w:numPr>
          <w:ilvl w:val="0"/>
          <w:numId w:val="83"/>
        </w:numPr>
        <w:rPr>
          <w:rFonts w:ascii="Arial" w:cs="Arial" w:eastAsia="Arial" w:hAnsi="Arial"/>
          <w:sz w:val="18"/>
          <w:szCs w:val="18"/>
          <w:color w:val="51555C"/>
        </w:rPr>
      </w:pPr>
      <w:r>
        <w:rPr>
          <w:rFonts w:ascii="Arial" w:cs="Arial" w:eastAsia="Arial" w:hAnsi="Arial"/>
          <w:sz w:val="18"/>
          <w:szCs w:val="18"/>
          <w:color w:val="51555C"/>
        </w:rPr>
        <w:t>improvement in or attainment of expense levels; (xxi) improvement in or attainment of working capital levels; (xxii) economic value added (or an equivalent metric); (xxiii) market share; (xxiv) cash flow; (xxv) cash flow per share; (xxvi) share price performance; (xxvii) debt reduction, (xxviii) implementation or completion of projects or processes; (xxix) customer satisfaction; (xxx) stockholders’ equity; (xxxi) quality measures; and (xxxii) to the extent that a stock award or cash incentive award is not intended to meet the Section 162(m) Exception, other measures of performance selected by the Compensation Committee.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Performance criteria may be based upon other strategic business criteria, such as negotiating transactions or sales, attaining specified long-term business goals or strategic plans, negotiating significant corporate transactions, meeting specified market penetration goals, productivity measures, geographic business expansion goals, cost targets, employee satisfaction goals, goals relating to merger synergies, management of employment practices and employee benefits, or supervision of litigation and information technology, and goals relating to acquisitions or divestitures of subsidiaries and/or other affiliates or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220345</wp:posOffset>
            </wp:positionV>
            <wp:extent cx="702945" cy="11112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73</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75" w:name="page76"/>
    <w:bookmarkEnd w:id="75"/>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EXECUTIVE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provided however, that the measurement of any such performance criteria must be objectively determinable for awards intended to meet the Section 162(m) Exception.</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Partial achievement of the specified performance criteria may result in the payment or vesting corresponding to the degree of achievement as specified in the award agreement or terms of the cash incentive award. The performance criteria may have any reasonable definitions that the Compensation Committee may specify and the Compensation Committee has the authority to define the manner of calculating the performance criteria it selects to use for a performance period. The 2016 Plan provides that the Compensation Committee may state any one or more of the performance criteria within a performance goal as a percentage of another performance criteria, or a percentage of a prior period’s performance criteria, or use such criteria on an absolute, relative or adjusted basis to measure the performance of the Company and/or one or more of its affiliates as a whole or with respect to one or more business units, business segments, divisions, operational units, product lines, brands, administrative departments of the Company and/or one or more of its affiliates or any combination, as the Compensation Committee may deem appropriate. Performance goals also may measure performance criteria in either absolute terms or relative to a pre-established target, to performance in previous years, to the performance of one or more selected comparison companies or the performance of one or more relevant stock market or other indices, or in percentages or in terms of growth over time, as the Compensation Committee, in its sole discretion, deems appropriate. Performance goals do not have to be based upon an increase or positive result under the performance criteria and could include, for example, maintaining the status quo or the limitation of economic losses (measured in such case by reference to the specific criteria).</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In connection with establishing performance goals, the Compensation Committee is authorized, in its sole discretion, to provide for automatic adjustments (in measures of achievement, amounts payable, or other award terms) to reflect objectively determinable events that may affect performance criteria, including but not limited to (i) asset write-downs; (ii) litigation or claim judgments or settlements; (iii) the effect of changes in tax laws, corporate tax rates, accounting principles, or other laws or regulatory rules affecting reported results; (iv) any reorganization and restructuring programs; (v) events of an “unusual nature” or of a type that indicates “infrequency of occurrence,” both as described in Accounting Standards Codification Topic 225-20 (or any successor pronouncement thereto) and/or in management’s discussion and analysis of financial condition and results of operations appearing in the Company’s annual report to stockholders for the applicable year;</w:t>
      </w:r>
    </w:p>
    <w:p>
      <w:pPr>
        <w:spacing w:after="0" w:line="3" w:lineRule="exact"/>
        <w:rPr>
          <w:sz w:val="20"/>
          <w:szCs w:val="20"/>
          <w:color w:val="auto"/>
        </w:rPr>
      </w:pPr>
    </w:p>
    <w:p>
      <w:pPr>
        <w:jc w:val="both"/>
        <w:ind w:firstLine="8"/>
        <w:spacing w:after="0" w:line="254" w:lineRule="auto"/>
        <w:tabs>
          <w:tab w:leader="none" w:pos="324" w:val="left"/>
        </w:tabs>
        <w:numPr>
          <w:ilvl w:val="0"/>
          <w:numId w:val="84"/>
        </w:numPr>
        <w:rPr>
          <w:rFonts w:ascii="Arial" w:cs="Arial" w:eastAsia="Arial" w:hAnsi="Arial"/>
          <w:sz w:val="18"/>
          <w:szCs w:val="18"/>
          <w:color w:val="51555C"/>
        </w:rPr>
      </w:pPr>
      <w:r>
        <w:rPr>
          <w:rFonts w:ascii="Arial" w:cs="Arial" w:eastAsia="Arial" w:hAnsi="Arial"/>
          <w:sz w:val="18"/>
          <w:szCs w:val="18"/>
          <w:color w:val="51555C"/>
        </w:rPr>
        <w:t>acquisitions or divestitures; (vii) any other specific unusual or nonrecurring events, or objectively determinable category thereof; (viii) exchange rate effects, as applicable, for non-U.S. dollar denominated net sales and operating earnings; (ix) foreign exchange gains and losses; (x) discontinued operations and nonrecurring charges; and (xi) a change in the Company’s fiscal year, with any such adjustment to be established and administered in a manner consistent with the requirements for the Section 162(m) Exception for awards intended to meet such exception.</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The Compensation Committee also can establish subjective performance goals, but the subjective performance goals may be used only to reduce, and not to increase, an award intended to qualify for the Section 162(m) Exception.</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There is no guarantee that awards under the 2016 Plan that are intended to qualify as tax deductible will ultimately be determined as such by the Internal Revenue Service.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Change in Control</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In the event of a change in control (as such term is defined in the 2016 Plan), outstanding awards will be treated as the Compensation Committee determines, including providing that outstanding awards may be assumed, continued, or substituted by the surviving corporation. If the surviving corporation does not assume, continue, or substitute such awards, then generally (i) for any stock awards that are held by individuals performing services for us immediately prior to the effective time of the corporate transaction, the vesting of such stock awards and, with respect to options and SARs, exercisability of such stock awards will be accelerated in full and such stock awards will be terminated if not exercised (if applicable) at or prior to the effective time of the corporate transaction, and (ii) all other outstanding stock awards (other than a stock award consisting of vested and outstanding shares of common stock not subject to a forfeiture condition or the Company’s right of repurchase) will be terminated if not exercised (if applicable) prior to the effective time of the corporate transaction. Notwithstanding the foregoing, if a stock award would terminate if not exercised prior to the effective time of a corporate transaction, the Compensation Committee, in its sole discretion, may provide that the holder of such stock award may not exercise it but instead will receive a payment, in such form as may be determined by the Compensation Committee, equal in value to the excess, if any, of the value of the property such holder would have received upon exercise of the stock award (including, at the discretion of the Compensation Committee, any unvested portion of the stock award) over any exercise price payable by such holder in connection with such exercise.</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An award may be subject to additional acceleration of vesting and exercisability upon or after a change in control as may be provided in the award agreement or as may be provided in any other written agreement between the Company or any of our affiliates and the participant.</w:t>
      </w:r>
    </w:p>
    <w:p>
      <w:pPr>
        <w:spacing w:after="0" w:line="310"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74</w:t>
      </w:r>
      <w:r>
        <w:rPr>
          <w:sz w:val="20"/>
          <w:szCs w:val="20"/>
          <w:color w:val="auto"/>
        </w:rPr>
        <w:tab/>
      </w:r>
      <w:r>
        <w:rPr>
          <w:sz w:val="1"/>
          <w:szCs w:val="1"/>
          <w:color w:val="auto"/>
        </w:rPr>
        <w:drawing>
          <wp:inline distT="0" distB="0" distL="0" distR="0">
            <wp:extent cx="702945" cy="111125"/>
            <wp:effectExtent l="0" t="0" r="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76" w:name="page77"/>
    <w:bookmarkEnd w:id="76"/>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b w:val="1"/>
          <w:bCs w:val="1"/>
          <w:color w:val="5155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Forfeiture and Clawback</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The 2016 Plan provides that, in addition to forfeitures due to vesting schedules or termination of service, the Compensation Committee may specify in an award agreement that an award and/or a participant’s rights, payments and benefits with respect to an award (including but not limited to the right to receive an award, to exercise an award, to retain an award, to retain cash or common stock acquired in connection with an award and/or to retain the profit or gain realized in connection with an award) will be subject to reduction, rescission, forfeiture or recoupment by the Company upon certain events, such as termination of service for cause, breach of confidentiality or other restrictive covenants, engaging in competition against the Company or other conduct or activity that is detrimental to the business or reputation of the Company. The 2016 Plan also provides that all awards granted under the 2016 Plan are intended to be subject to the terms and conditions of any applicable law and any policy adopted by the Company regarding hedging, clawbacks, forfeitures or recoupments. By accepting an award under the 2016 Plan, each participant agrees to repay to the Company any amount that may be required to be repaid under any such policy, Section 954 of the Dodd-Frank Wall Street Reform and Consumer Protection Act of 2010 (as may be amended) and any implementing rules and regulations promulgated thereunder; and/or Section 304 of the Sarbanes Oxley Act of 2002 (as may be amended) and any implementing rules and regulations promulgated thereunder.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Amendment, Suspension or Termination of 2016 Plan</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The Board of Directors may amend the 2016 Plan at any time in whole or in part for any reason, although such action may be subject to stockholder approval if necessary to comply with legal, regulatory or securities exchange listing requirements. The Board of Directors also may suspend or terminate the 2016 Plan at any time. Unless terminated earlier, the 2016 Plan will terminate at 11:59 pm on March 7, 2028; provided, that no incentive stock options may be granted under the 2016 Plan on or after March 7, 2026. Generally, no amendment, suspension or termination of the 2016 Plan may adversely affect in any material way the rights of the holder of an outstanding award without his or her consent. However, the Board of Directors may amend the 2016 Plan without obtaining the holder’s consent if it deems the amendment necessary or advisable to comply with applicable law or to address other regulatory matters or if it has determined such amendment is in the best interest of the affected participant.</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Market Price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51555C"/>
        </w:rPr>
        <w:t>The closing price of a share of the Company’s common stock on the Nasdaq Global Select Market on April 13, 2026 was $36.16.</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Awards under the 2016 Plan are made at the discretion of the Compensation Committee. Future awards that may be received by any executive officers or others pursuant to the 2016 Plan are not presently determinable. No stock options have been granted under the 2016 Plan since its original adoption.</w:t>
      </w:r>
    </w:p>
    <w:p>
      <w:pPr>
        <w:spacing w:after="0" w:line="39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Certain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The following is a brief summary of the current U.S. federal income tax consequences that generally apply with respect to awards that may be granted under the 2016 Plan. Applicable laws and regulations may change in the future. This summary is not intended to be exhaustive and does not describe a number of tax rules, including any foreign, state or local tax consequences, tax withholding requirements or various other tax considerations that could apply to a particular individual or to the Company and its subsidiaries under certain circumstances (and references to the Company in this section include the applicable subsidiary, if any). This summary is not intended as tax advice. Tax implications may vary due to individual circumstances. Award recipients should consult their personal tax advisors about the tax consequences related to awards under the 2016 Plan.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Nonstatutory Stock Options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The grant of nonstatutory stock options generally should have no federal income tax consequences to the Company or the option holder. Upon the exercise of a nonstatutory stock option, the option holder will recognize ordinary income equal to the excess of the fair market value of the acquired shares on the date of exercise over the exercise price paid for the shares. The Company generally will be allowed a federal income tax deduction equal to the same amount that the option holder recognizes as ordinary income (subject to deduction limitations under Section 162(m) of the Code). In the event of the disposition of the acquired shares of common stock, any additional gain or loss generally will be taxed to the option holder as either short-term or long-term capital gain or loss depending on how long the shares were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221615</wp:posOffset>
            </wp:positionV>
            <wp:extent cx="702945" cy="11176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02945" cy="111760"/>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75</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77" w:name="page78"/>
    <w:bookmarkEnd w:id="77"/>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EXECUTIVE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Incentive Stock Options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The grant and exercise of incentive stock options generally should have no federal income tax consequences to the Company. The grant and exercise of incentive stock options generally have no ordinary income tax consequences to the option holder. However, upon the exercise of an incentive stock option, the option holder treats the excess of the fair market value of the acquired shares on the date of exercise over the exercise price paid for the shares as an item of tax adjustment for alternative minimum tax purposes, which may result in alternative minimum tax liability.</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If the option holder retains the shares of common stock acquired upon the exercise of an incentive stock option for at least two years following the grant date of the option and one year following exercise of the option, the subsequent disposition of such shares will ordinarily result in long-term capital gains or losses to the option holder equal to the difference between the amount realized on disposition of the shares and the exercise price. The Company will not be entitled to any deduction in such case. If the holding period requirements described above are not met, the option holder will recognize ordinary income upon disposition of the common stock equal to the excess of the fair market value of the shares on the date of exercise (or, if less, the sale price received on disposition of the shares) over the exercise price. The Company will be entitled to a corresponding tax deduction in the same amount (subject to deduction limitations under Section 162(m) of the Code). Any additional gain or loss realized by the option holder on the disposition of the common stock will be taxed as short-term or long-term capital gain or loss, as applicable.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Stock Appreciation Rights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The grant of SARs generally should have no federal income tax consequences to the Company or the recipient. Upon the exercise of SARs, the recipient will recognize ordinary income equal to the amount of cash received and the fair market value of any shares of common stock received. The Company generally will be allowed a federal income tax deduction equal to the same amount that the recipient recognizes as ordinary income (subject to deduction limitations under Section 162(m) of the Code).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Restricted Stock</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The recipient of restricted stock normally will recognize ordinary income when the restrictions on the restricted stock lapse (i.e., at the time the restricted shares are no longer subject to a substantial risk of forfeiture or become transferable, whichever occurs first). However, a recipient instead may elect to recognize ordinary income at the time the restricted stock is granted by making an election under Section 83(b) of the Code within 30 days after the grant date. In either case, the recipient will recognize ordinary income equal to the fair market value of such shares of stock at the time the income is recognized (reduced by the amount, if any, the recipient paid for the stock). The Company generally will be entitled to a corresponding tax deduction (subject to deduction limitations under Section 162(m) of the Code). If the recipient subsequently disposes of the shares of common stock, any additional gain or loss should be eligible for short-term or long-term capital gain or loss tax treatment depending on how long the shares were held after the ordinary income was recognized. If a recipient makes an “83(b) election” and then forfeits the shares of common stock, the recipient normally will not be entitled to any tax deduction or refund with respect to the tax already paid. An award agreement may include provisions that require a participant to make, or to refrain from making, an election under Section 83(b) of the Code.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Restricted Stock Units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The grant of restricted stock units generally should have no federal income tax consequences to the Company or the recipient. When the restricted stock units vest and become payable, the recipient will recognize ordinary income equal to the amount of cash received and the fair market value of any shares of common stock received. The Company generally will be allowed a federal income tax deduction equal to the same amount that the recipient recognizes as ordinary income (subject to deduction limitations under Section 162(m) of the Code). If the recipient subsequently disposes of the shares of common stock, any additional gain or loss should be eligible for short-term or long-term capital gain or loss tax treatment depending on how long the shares were held after the ordinary income was recognized.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Other Stock Awards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51555C"/>
        </w:rPr>
        <w:t>The federal income tax consequences of other stock awards will depend on the form of such awards.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Cash Incentive Awards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An employee should not have taxable income upon the grant of a contingent right to a cash incentive award. The cash incentive award will be taxable income to the employee at the time it is paid, and the Company will be entitled to a corresponding tax deduction (subject to deduction limitations under Section 162(m) of the Code).</w:t>
      </w:r>
    </w:p>
    <w:p>
      <w:pPr>
        <w:spacing w:after="0" w:line="327"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76</w:t>
      </w:r>
      <w:r>
        <w:rPr>
          <w:sz w:val="20"/>
          <w:szCs w:val="20"/>
          <w:color w:val="auto"/>
        </w:rPr>
        <w:tab/>
      </w:r>
      <w:r>
        <w:rPr>
          <w:sz w:val="1"/>
          <w:szCs w:val="1"/>
          <w:color w:val="auto"/>
        </w:rPr>
        <w:drawing>
          <wp:inline distT="0" distB="0" distL="0" distR="0">
            <wp:extent cx="702945" cy="111125"/>
            <wp:effectExtent l="0" t="0" r="0" b="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78" w:name="page79"/>
    <w:bookmarkEnd w:id="78"/>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b w:val="1"/>
          <w:bCs w:val="1"/>
          <w:color w:val="5155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Section 162(m) of the Code</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The above discussion regarding the Company’s federal income tax deductions in connection with awards under the 2016 Plan is subject to Section 162(m) of the Code. Section 162(m) of the Code generally limits the Company’s annual federal income tax deduction for compensation paid to certain current and former officers to $1.0 million with respect to each such officer (and, beginning after December 31, 2026, this limitation will expand to the Company’s next five highest compensated employees). Therefore, our deduction for certain awards under the 2016 Plan may be limited by Section 162(m) of the Code. In addition, there is no guarantee that awards under the 2016 Plan that were intended to meet the Section 162(m) Exception will ultimately be determined as such by the Internal Revenue Service.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Section 409A of the Code</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Section 409A of the Code provides requirements for certain nonqualified deferred compensation arrangements. If applicable, Section 409A of the Code also imposes penalties (including an additional 20% tax) on the recipient of deferred compensation in the event such compensation fails to comply with Section 409A of the Code. Unless otherwise provided by the Compensation Committee, awards granted under the 2016 Plan generally are intended to either comply with or meet the requirements for an exemption from Section 409A of the Code. The Company does not guarantee to any participant that the 2016 Plan or any award granted under the 2016 Plan complies with or is exempt from Section 409A of the Code and the Company will not have any liability to, indemnify or hold harmless any individual with respect to any tax consequences that arise from any failure to comply with or meet the requirements for an exemption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Registration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If our stockholders approve the amendment and restatement of the 2016 Plan, the Company intends to file a registration statement on Form S-8 with the SEC (and/or an amendment to an existing registration statement) as soon as reasonably practicable following such approval in order to register the additional shares of common stock that will be available for issuance pursuant to the amendment and restatement of the 2016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217805</wp:posOffset>
            </wp:positionV>
            <wp:extent cx="702945" cy="11176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02945" cy="111760"/>
                    </a:xfrm>
                    <a:prstGeom prst="rect">
                      <a:avLst/>
                    </a:prstGeom>
                    <a:noFill/>
                  </pic:spPr>
                </pic:pic>
              </a:graphicData>
            </a:graphic>
          </wp:anchor>
        </w:drawing>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77</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79" w:name="page80"/>
    <w:bookmarkEnd w:id="79"/>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EXECUTIVE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100"/>
          </w:cols>
          <w:pgMar w:left="320" w:top="33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EQUITY COMPENSATION PLAN INFORMATION</w:t>
      </w:r>
    </w:p>
    <w:p>
      <w:pPr>
        <w:spacing w:after="0" w:line="19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51555C"/>
        </w:rPr>
        <w:t>The following table sets forth information as of December 31, 2025 and April 13, 2026 with respect to shares of Blackbaud common stock that may be issued under our equity compensation plans.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20" w:type="dxa"/>
            <w:vAlign w:val="bottom"/>
            <w:shd w:val="clear" w:color="auto" w:fill="004054"/>
          </w:tcPr>
          <w:p>
            <w:pPr>
              <w:spacing w:after="0"/>
              <w:rPr>
                <w:sz w:val="19"/>
                <w:szCs w:val="19"/>
                <w:color w:val="auto"/>
              </w:rPr>
            </w:pPr>
          </w:p>
        </w:tc>
        <w:tc>
          <w:tcPr>
            <w:tcW w:w="1520" w:type="dxa"/>
            <w:vAlign w:val="bottom"/>
            <w:shd w:val="clear" w:color="auto" w:fill="004054"/>
          </w:tcPr>
          <w:p>
            <w:pPr>
              <w:jc w:val="center"/>
              <w:ind w:left="1024"/>
              <w:spacing w:after="0"/>
              <w:rPr>
                <w:sz w:val="20"/>
                <w:szCs w:val="20"/>
                <w:color w:val="auto"/>
              </w:rPr>
            </w:pPr>
            <w:r>
              <w:rPr>
                <w:rFonts w:ascii="Arial" w:cs="Arial" w:eastAsia="Arial" w:hAnsi="Arial"/>
                <w:sz w:val="14"/>
                <w:szCs w:val="14"/>
                <w:b w:val="1"/>
                <w:bCs w:val="1"/>
                <w:color w:val="FFFFFF"/>
              </w:rPr>
              <w:t>(a)</w:t>
            </w:r>
          </w:p>
        </w:tc>
        <w:tc>
          <w:tcPr>
            <w:tcW w:w="1390" w:type="dxa"/>
            <w:vAlign w:val="bottom"/>
            <w:shd w:val="clear" w:color="auto" w:fill="004054"/>
          </w:tcPr>
          <w:p>
            <w:pPr>
              <w:spacing w:after="0"/>
              <w:rPr>
                <w:sz w:val="19"/>
                <w:szCs w:val="19"/>
                <w:color w:val="auto"/>
              </w:rPr>
            </w:pPr>
          </w:p>
        </w:tc>
        <w:tc>
          <w:tcPr>
            <w:tcW w:w="310" w:type="dxa"/>
            <w:vAlign w:val="bottom"/>
            <w:shd w:val="clear" w:color="auto" w:fill="004054"/>
          </w:tcPr>
          <w:p>
            <w:pPr>
              <w:spacing w:after="0"/>
              <w:rPr>
                <w:sz w:val="19"/>
                <w:szCs w:val="19"/>
                <w:color w:val="auto"/>
              </w:rPr>
            </w:pPr>
          </w:p>
        </w:tc>
        <w:tc>
          <w:tcPr>
            <w:tcW w:w="1260" w:type="dxa"/>
            <w:vAlign w:val="bottom"/>
            <w:shd w:val="clear" w:color="auto" w:fill="004054"/>
          </w:tcPr>
          <w:p>
            <w:pPr>
              <w:jc w:val="center"/>
              <w:ind w:left="406"/>
              <w:spacing w:after="0"/>
              <w:rPr>
                <w:sz w:val="20"/>
                <w:szCs w:val="20"/>
                <w:color w:val="auto"/>
              </w:rPr>
            </w:pPr>
            <w:r>
              <w:rPr>
                <w:rFonts w:ascii="Arial" w:cs="Arial" w:eastAsia="Arial" w:hAnsi="Arial"/>
                <w:sz w:val="14"/>
                <w:szCs w:val="14"/>
                <w:b w:val="1"/>
                <w:bCs w:val="1"/>
                <w:color w:val="FFFFFF"/>
              </w:rPr>
              <w:t>(b)</w:t>
            </w:r>
          </w:p>
        </w:tc>
        <w:tc>
          <w:tcPr>
            <w:tcW w:w="680" w:type="dxa"/>
            <w:vAlign w:val="bottom"/>
            <w:shd w:val="clear" w:color="auto" w:fill="004054"/>
          </w:tcPr>
          <w:p>
            <w:pPr>
              <w:spacing w:after="0"/>
              <w:rPr>
                <w:sz w:val="19"/>
                <w:szCs w:val="19"/>
                <w:color w:val="auto"/>
              </w:rPr>
            </w:pPr>
          </w:p>
        </w:tc>
        <w:tc>
          <w:tcPr>
            <w:tcW w:w="1350" w:type="dxa"/>
            <w:vAlign w:val="bottom"/>
            <w:shd w:val="clear" w:color="auto" w:fill="004054"/>
          </w:tcPr>
          <w:p>
            <w:pPr>
              <w:spacing w:after="0"/>
              <w:rPr>
                <w:sz w:val="19"/>
                <w:szCs w:val="19"/>
                <w:color w:val="auto"/>
              </w:rPr>
            </w:pPr>
          </w:p>
        </w:tc>
        <w:tc>
          <w:tcPr>
            <w:tcW w:w="630" w:type="dxa"/>
            <w:vAlign w:val="bottom"/>
            <w:gridSpan w:val="2"/>
            <w:shd w:val="clear" w:color="auto" w:fill="004054"/>
          </w:tcPr>
          <w:p>
            <w:pPr>
              <w:jc w:val="center"/>
              <w:ind w:right="50"/>
              <w:spacing w:after="0"/>
              <w:rPr>
                <w:sz w:val="20"/>
                <w:szCs w:val="20"/>
                <w:color w:val="auto"/>
              </w:rPr>
            </w:pPr>
            <w:r>
              <w:rPr>
                <w:rFonts w:ascii="Arial" w:cs="Arial" w:eastAsia="Arial" w:hAnsi="Arial"/>
                <w:sz w:val="14"/>
                <w:szCs w:val="14"/>
                <w:b w:val="1"/>
                <w:bCs w:val="1"/>
                <w:color w:val="FFFFFF"/>
                <w:w w:val="93"/>
              </w:rPr>
              <w:t>(c)</w:t>
            </w:r>
          </w:p>
        </w:tc>
        <w:tc>
          <w:tcPr>
            <w:tcW w:w="118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20" w:type="dxa"/>
            <w:vAlign w:val="bottom"/>
            <w:shd w:val="clear" w:color="auto" w:fill="004054"/>
          </w:tcPr>
          <w:p>
            <w:pPr>
              <w:spacing w:after="0"/>
              <w:rPr>
                <w:sz w:val="18"/>
                <w:szCs w:val="18"/>
                <w:color w:val="auto"/>
              </w:rPr>
            </w:pPr>
          </w:p>
        </w:tc>
        <w:tc>
          <w:tcPr>
            <w:tcW w:w="1520" w:type="dxa"/>
            <w:vAlign w:val="bottom"/>
            <w:shd w:val="clear" w:color="auto" w:fill="004054"/>
          </w:tcPr>
          <w:p>
            <w:pPr>
              <w:spacing w:after="0"/>
              <w:rPr>
                <w:sz w:val="18"/>
                <w:szCs w:val="18"/>
                <w:color w:val="auto"/>
              </w:rPr>
            </w:pPr>
          </w:p>
        </w:tc>
        <w:tc>
          <w:tcPr>
            <w:tcW w:w="1390" w:type="dxa"/>
            <w:vAlign w:val="bottom"/>
            <w:shd w:val="clear" w:color="auto" w:fill="004054"/>
          </w:tcPr>
          <w:p>
            <w:pPr>
              <w:spacing w:after="0"/>
              <w:rPr>
                <w:sz w:val="18"/>
                <w:szCs w:val="18"/>
                <w:color w:val="auto"/>
              </w:rPr>
            </w:pPr>
          </w:p>
        </w:tc>
        <w:tc>
          <w:tcPr>
            <w:tcW w:w="310" w:type="dxa"/>
            <w:vAlign w:val="bottom"/>
            <w:shd w:val="clear" w:color="auto" w:fill="004054"/>
          </w:tcPr>
          <w:p>
            <w:pPr>
              <w:spacing w:after="0"/>
              <w:rPr>
                <w:sz w:val="18"/>
                <w:szCs w:val="18"/>
                <w:color w:val="auto"/>
              </w:rPr>
            </w:pPr>
          </w:p>
        </w:tc>
        <w:tc>
          <w:tcPr>
            <w:tcW w:w="1260" w:type="dxa"/>
            <w:vAlign w:val="bottom"/>
            <w:shd w:val="clear" w:color="auto" w:fill="004054"/>
          </w:tcPr>
          <w:p>
            <w:pPr>
              <w:spacing w:after="0"/>
              <w:rPr>
                <w:sz w:val="18"/>
                <w:szCs w:val="18"/>
                <w:color w:val="auto"/>
              </w:rPr>
            </w:pPr>
          </w:p>
        </w:tc>
        <w:tc>
          <w:tcPr>
            <w:tcW w:w="680" w:type="dxa"/>
            <w:vAlign w:val="bottom"/>
            <w:shd w:val="clear" w:color="auto" w:fill="004054"/>
          </w:tcPr>
          <w:p>
            <w:pPr>
              <w:spacing w:after="0"/>
              <w:rPr>
                <w:sz w:val="18"/>
                <w:szCs w:val="18"/>
                <w:color w:val="auto"/>
              </w:rPr>
            </w:pPr>
          </w:p>
        </w:tc>
        <w:tc>
          <w:tcPr>
            <w:tcW w:w="3160" w:type="dxa"/>
            <w:vAlign w:val="bottom"/>
            <w:gridSpan w:val="4"/>
            <w:shd w:val="clear" w:color="auto" w:fill="004054"/>
          </w:tcPr>
          <w:p>
            <w:pPr>
              <w:jc w:val="center"/>
              <w:ind w:left="46"/>
              <w:spacing w:after="0"/>
              <w:rPr>
                <w:sz w:val="20"/>
                <w:szCs w:val="20"/>
                <w:color w:val="auto"/>
              </w:rPr>
            </w:pPr>
            <w:r>
              <w:rPr>
                <w:rFonts w:ascii="Arial" w:cs="Arial" w:eastAsia="Arial" w:hAnsi="Arial"/>
                <w:sz w:val="14"/>
                <w:szCs w:val="14"/>
                <w:b w:val="1"/>
                <w:bCs w:val="1"/>
                <w:color w:val="FFFFFF"/>
              </w:rPr>
              <w:t>Number of securities</w:t>
            </w:r>
          </w:p>
        </w:tc>
        <w:tc>
          <w:tcPr>
            <w:tcW w:w="20" w:type="dxa"/>
            <w:vAlign w:val="bottom"/>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920" w:type="dxa"/>
            <w:vAlign w:val="bottom"/>
            <w:shd w:val="clear" w:color="auto" w:fill="004054"/>
          </w:tcPr>
          <w:p>
            <w:pPr>
              <w:spacing w:after="0"/>
              <w:rPr>
                <w:sz w:val="15"/>
                <w:szCs w:val="15"/>
                <w:color w:val="auto"/>
              </w:rPr>
            </w:pPr>
          </w:p>
        </w:tc>
        <w:tc>
          <w:tcPr>
            <w:tcW w:w="2910" w:type="dxa"/>
            <w:vAlign w:val="bottom"/>
            <w:gridSpan w:val="2"/>
            <w:shd w:val="clear" w:color="auto" w:fill="004054"/>
          </w:tcPr>
          <w:p>
            <w:pPr>
              <w:jc w:val="center"/>
              <w:ind w:right="209"/>
              <w:spacing w:after="0"/>
              <w:rPr>
                <w:sz w:val="20"/>
                <w:szCs w:val="20"/>
                <w:color w:val="auto"/>
              </w:rPr>
            </w:pPr>
            <w:r>
              <w:rPr>
                <w:rFonts w:ascii="Arial" w:cs="Arial" w:eastAsia="Arial" w:hAnsi="Arial"/>
                <w:sz w:val="14"/>
                <w:szCs w:val="14"/>
                <w:b w:val="1"/>
                <w:bCs w:val="1"/>
                <w:color w:val="FFFFFF"/>
              </w:rPr>
              <w:t>Number of securities to be issued</w:t>
            </w:r>
          </w:p>
        </w:tc>
        <w:tc>
          <w:tcPr>
            <w:tcW w:w="310" w:type="dxa"/>
            <w:vAlign w:val="bottom"/>
            <w:shd w:val="clear" w:color="auto" w:fill="004054"/>
          </w:tcPr>
          <w:p>
            <w:pPr>
              <w:spacing w:after="0"/>
              <w:rPr>
                <w:sz w:val="15"/>
                <w:szCs w:val="15"/>
                <w:color w:val="auto"/>
              </w:rPr>
            </w:pPr>
          </w:p>
        </w:tc>
        <w:tc>
          <w:tcPr>
            <w:tcW w:w="1940" w:type="dxa"/>
            <w:vAlign w:val="bottom"/>
            <w:gridSpan w:val="2"/>
            <w:shd w:val="clear" w:color="auto" w:fill="004054"/>
          </w:tcPr>
          <w:p>
            <w:pPr>
              <w:jc w:val="center"/>
              <w:ind w:right="102"/>
              <w:spacing w:after="0"/>
              <w:rPr>
                <w:sz w:val="20"/>
                <w:szCs w:val="20"/>
                <w:color w:val="auto"/>
              </w:rPr>
            </w:pPr>
            <w:r>
              <w:rPr>
                <w:rFonts w:ascii="Arial" w:cs="Arial" w:eastAsia="Arial" w:hAnsi="Arial"/>
                <w:sz w:val="14"/>
                <w:szCs w:val="14"/>
                <w:b w:val="1"/>
                <w:bCs w:val="1"/>
                <w:color w:val="FFFFFF"/>
              </w:rPr>
              <w:t>Weighted-average</w:t>
            </w:r>
          </w:p>
        </w:tc>
        <w:tc>
          <w:tcPr>
            <w:tcW w:w="3160" w:type="dxa"/>
            <w:vAlign w:val="bottom"/>
            <w:gridSpan w:val="4"/>
            <w:shd w:val="clear" w:color="auto" w:fill="004054"/>
          </w:tcPr>
          <w:p>
            <w:pPr>
              <w:jc w:val="center"/>
              <w:ind w:left="66"/>
              <w:spacing w:after="0"/>
              <w:rPr>
                <w:sz w:val="20"/>
                <w:szCs w:val="20"/>
                <w:color w:val="auto"/>
              </w:rPr>
            </w:pPr>
            <w:r>
              <w:rPr>
                <w:rFonts w:ascii="Arial" w:cs="Arial" w:eastAsia="Arial" w:hAnsi="Arial"/>
                <w:sz w:val="14"/>
                <w:szCs w:val="14"/>
                <w:b w:val="1"/>
                <w:bCs w:val="1"/>
                <w:color w:val="FFFFFF"/>
              </w:rPr>
              <w:t>remaining available for issuance under</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shd w:val="clear" w:color="auto" w:fill="004054"/>
          </w:tcPr>
          <w:p>
            <w:pPr>
              <w:spacing w:after="0"/>
              <w:rPr>
                <w:sz w:val="15"/>
                <w:szCs w:val="15"/>
                <w:color w:val="auto"/>
              </w:rPr>
            </w:pPr>
          </w:p>
        </w:tc>
        <w:tc>
          <w:tcPr>
            <w:tcW w:w="2910" w:type="dxa"/>
            <w:vAlign w:val="bottom"/>
            <w:gridSpan w:val="2"/>
            <w:shd w:val="clear" w:color="auto" w:fill="004054"/>
          </w:tcPr>
          <w:p>
            <w:pPr>
              <w:jc w:val="center"/>
              <w:ind w:right="209"/>
              <w:spacing w:after="0"/>
              <w:rPr>
                <w:sz w:val="20"/>
                <w:szCs w:val="20"/>
                <w:color w:val="auto"/>
              </w:rPr>
            </w:pPr>
            <w:r>
              <w:rPr>
                <w:rFonts w:ascii="Arial" w:cs="Arial" w:eastAsia="Arial" w:hAnsi="Arial"/>
                <w:sz w:val="14"/>
                <w:szCs w:val="14"/>
                <w:b w:val="1"/>
                <w:bCs w:val="1"/>
                <w:color w:val="FFFFFF"/>
              </w:rPr>
              <w:t>upon exercise of</w:t>
            </w:r>
          </w:p>
        </w:tc>
        <w:tc>
          <w:tcPr>
            <w:tcW w:w="310" w:type="dxa"/>
            <w:vAlign w:val="bottom"/>
            <w:shd w:val="clear" w:color="auto" w:fill="004054"/>
          </w:tcPr>
          <w:p>
            <w:pPr>
              <w:spacing w:after="0"/>
              <w:rPr>
                <w:sz w:val="15"/>
                <w:szCs w:val="15"/>
                <w:color w:val="auto"/>
              </w:rPr>
            </w:pPr>
          </w:p>
        </w:tc>
        <w:tc>
          <w:tcPr>
            <w:tcW w:w="1940" w:type="dxa"/>
            <w:vAlign w:val="bottom"/>
            <w:gridSpan w:val="2"/>
            <w:shd w:val="clear" w:color="auto" w:fill="004054"/>
          </w:tcPr>
          <w:p>
            <w:pPr>
              <w:jc w:val="center"/>
              <w:ind w:right="122"/>
              <w:spacing w:after="0"/>
              <w:rPr>
                <w:sz w:val="20"/>
                <w:szCs w:val="20"/>
                <w:color w:val="auto"/>
              </w:rPr>
            </w:pPr>
            <w:r>
              <w:rPr>
                <w:rFonts w:ascii="Arial" w:cs="Arial" w:eastAsia="Arial" w:hAnsi="Arial"/>
                <w:sz w:val="14"/>
                <w:szCs w:val="14"/>
                <w:b w:val="1"/>
                <w:bCs w:val="1"/>
                <w:color w:val="FFFFFF"/>
              </w:rPr>
              <w:t>exercise price of</w:t>
            </w:r>
          </w:p>
        </w:tc>
        <w:tc>
          <w:tcPr>
            <w:tcW w:w="3160" w:type="dxa"/>
            <w:vAlign w:val="bottom"/>
            <w:gridSpan w:val="4"/>
            <w:shd w:val="clear" w:color="auto" w:fill="004054"/>
          </w:tcPr>
          <w:p>
            <w:pPr>
              <w:jc w:val="center"/>
              <w:ind w:left="46"/>
              <w:spacing w:after="0"/>
              <w:rPr>
                <w:sz w:val="20"/>
                <w:szCs w:val="20"/>
                <w:color w:val="auto"/>
              </w:rPr>
            </w:pPr>
            <w:r>
              <w:rPr>
                <w:rFonts w:ascii="Arial" w:cs="Arial" w:eastAsia="Arial" w:hAnsi="Arial"/>
                <w:sz w:val="14"/>
                <w:szCs w:val="14"/>
                <w:b w:val="1"/>
                <w:bCs w:val="1"/>
                <w:color w:val="FFFFFF"/>
              </w:rPr>
              <w:t>equity compensation plans (excluding</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shd w:val="clear" w:color="auto" w:fill="004054"/>
          </w:tcPr>
          <w:p>
            <w:pPr>
              <w:spacing w:after="0"/>
              <w:rPr>
                <w:sz w:val="15"/>
                <w:szCs w:val="15"/>
                <w:color w:val="auto"/>
              </w:rPr>
            </w:pPr>
          </w:p>
        </w:tc>
        <w:tc>
          <w:tcPr>
            <w:tcW w:w="2910" w:type="dxa"/>
            <w:vAlign w:val="bottom"/>
            <w:gridSpan w:val="2"/>
            <w:shd w:val="clear" w:color="auto" w:fill="004054"/>
          </w:tcPr>
          <w:p>
            <w:pPr>
              <w:jc w:val="center"/>
              <w:ind w:right="209"/>
              <w:spacing w:after="0"/>
              <w:rPr>
                <w:sz w:val="20"/>
                <w:szCs w:val="20"/>
                <w:color w:val="auto"/>
              </w:rPr>
            </w:pPr>
            <w:r>
              <w:rPr>
                <w:rFonts w:ascii="Arial" w:cs="Arial" w:eastAsia="Arial" w:hAnsi="Arial"/>
                <w:sz w:val="14"/>
                <w:szCs w:val="14"/>
                <w:b w:val="1"/>
                <w:bCs w:val="1"/>
                <w:color w:val="FFFFFF"/>
              </w:rPr>
              <w:t>outstanding options,</w:t>
            </w:r>
          </w:p>
        </w:tc>
        <w:tc>
          <w:tcPr>
            <w:tcW w:w="310" w:type="dxa"/>
            <w:vAlign w:val="bottom"/>
            <w:shd w:val="clear" w:color="auto" w:fill="004054"/>
          </w:tcPr>
          <w:p>
            <w:pPr>
              <w:spacing w:after="0"/>
              <w:rPr>
                <w:sz w:val="15"/>
                <w:szCs w:val="15"/>
                <w:color w:val="auto"/>
              </w:rPr>
            </w:pPr>
          </w:p>
        </w:tc>
        <w:tc>
          <w:tcPr>
            <w:tcW w:w="1940" w:type="dxa"/>
            <w:vAlign w:val="bottom"/>
            <w:gridSpan w:val="2"/>
            <w:shd w:val="clear" w:color="auto" w:fill="004054"/>
          </w:tcPr>
          <w:p>
            <w:pPr>
              <w:jc w:val="center"/>
              <w:ind w:right="122"/>
              <w:spacing w:after="0"/>
              <w:rPr>
                <w:sz w:val="20"/>
                <w:szCs w:val="20"/>
                <w:color w:val="auto"/>
              </w:rPr>
            </w:pPr>
            <w:r>
              <w:rPr>
                <w:rFonts w:ascii="Arial" w:cs="Arial" w:eastAsia="Arial" w:hAnsi="Arial"/>
                <w:sz w:val="14"/>
                <w:szCs w:val="14"/>
                <w:b w:val="1"/>
                <w:bCs w:val="1"/>
                <w:color w:val="FFFFFF"/>
              </w:rPr>
              <w:t>outstanding options,</w:t>
            </w:r>
          </w:p>
        </w:tc>
        <w:tc>
          <w:tcPr>
            <w:tcW w:w="1980" w:type="dxa"/>
            <w:vAlign w:val="bottom"/>
            <w:gridSpan w:val="3"/>
            <w:shd w:val="clear" w:color="auto" w:fill="004054"/>
          </w:tcPr>
          <w:p>
            <w:pPr>
              <w:jc w:val="center"/>
              <w:ind w:left="1186"/>
              <w:spacing w:after="0"/>
              <w:rPr>
                <w:sz w:val="20"/>
                <w:szCs w:val="20"/>
                <w:color w:val="auto"/>
              </w:rPr>
            </w:pPr>
            <w:r>
              <w:rPr>
                <w:rFonts w:ascii="Arial" w:cs="Arial" w:eastAsia="Arial" w:hAnsi="Arial"/>
                <w:sz w:val="14"/>
                <w:szCs w:val="14"/>
                <w:b w:val="1"/>
                <w:bCs w:val="1"/>
                <w:color w:val="FFFFFF"/>
              </w:rPr>
              <w:t>securities</w:t>
            </w:r>
          </w:p>
        </w:tc>
        <w:tc>
          <w:tcPr>
            <w:tcW w:w="118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2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Plan name</w:t>
            </w:r>
          </w:p>
        </w:tc>
        <w:tc>
          <w:tcPr>
            <w:tcW w:w="2910" w:type="dxa"/>
            <w:vAlign w:val="bottom"/>
            <w:gridSpan w:val="2"/>
            <w:shd w:val="clear" w:color="auto" w:fill="004054"/>
          </w:tcPr>
          <w:p>
            <w:pPr>
              <w:jc w:val="center"/>
              <w:ind w:right="209"/>
              <w:spacing w:after="0"/>
              <w:rPr>
                <w:sz w:val="20"/>
                <w:szCs w:val="20"/>
                <w:color w:val="auto"/>
              </w:rPr>
            </w:pPr>
            <w:r>
              <w:rPr>
                <w:rFonts w:ascii="Arial" w:cs="Arial" w:eastAsia="Arial" w:hAnsi="Arial"/>
                <w:sz w:val="14"/>
                <w:szCs w:val="14"/>
                <w:b w:val="1"/>
                <w:bCs w:val="1"/>
                <w:color w:val="FFFFFF"/>
              </w:rPr>
              <w:t>warrants and rights</w:t>
            </w:r>
          </w:p>
        </w:tc>
        <w:tc>
          <w:tcPr>
            <w:tcW w:w="310" w:type="dxa"/>
            <w:vAlign w:val="bottom"/>
            <w:shd w:val="clear" w:color="auto" w:fill="004054"/>
          </w:tcPr>
          <w:p>
            <w:pPr>
              <w:spacing w:after="0"/>
              <w:rPr>
                <w:sz w:val="17"/>
                <w:szCs w:val="17"/>
                <w:color w:val="auto"/>
              </w:rPr>
            </w:pPr>
          </w:p>
        </w:tc>
        <w:tc>
          <w:tcPr>
            <w:tcW w:w="1940" w:type="dxa"/>
            <w:vAlign w:val="bottom"/>
            <w:gridSpan w:val="2"/>
            <w:shd w:val="clear" w:color="auto" w:fill="004054"/>
          </w:tcPr>
          <w:p>
            <w:pPr>
              <w:jc w:val="center"/>
              <w:ind w:right="122"/>
              <w:spacing w:after="0"/>
              <w:rPr>
                <w:sz w:val="20"/>
                <w:szCs w:val="20"/>
                <w:color w:val="auto"/>
              </w:rPr>
            </w:pPr>
            <w:r>
              <w:rPr>
                <w:rFonts w:ascii="Arial" w:cs="Arial" w:eastAsia="Arial" w:hAnsi="Arial"/>
                <w:sz w:val="14"/>
                <w:szCs w:val="14"/>
                <w:b w:val="1"/>
                <w:bCs w:val="1"/>
                <w:color w:val="FFFFFF"/>
              </w:rPr>
              <w:t>warrants and rights ($)</w:t>
            </w:r>
          </w:p>
        </w:tc>
        <w:tc>
          <w:tcPr>
            <w:tcW w:w="3160" w:type="dxa"/>
            <w:vAlign w:val="bottom"/>
            <w:gridSpan w:val="4"/>
            <w:shd w:val="clear" w:color="auto" w:fill="004054"/>
          </w:tcPr>
          <w:p>
            <w:pPr>
              <w:jc w:val="center"/>
              <w:ind w:left="66"/>
              <w:spacing w:after="0"/>
              <w:rPr>
                <w:sz w:val="20"/>
                <w:szCs w:val="20"/>
                <w:color w:val="auto"/>
              </w:rPr>
            </w:pPr>
            <w:r>
              <w:rPr>
                <w:rFonts w:ascii="Arial" w:cs="Arial" w:eastAsia="Arial" w:hAnsi="Arial"/>
                <w:sz w:val="14"/>
                <w:szCs w:val="14"/>
                <w:b w:val="1"/>
                <w:bCs w:val="1"/>
                <w:color w:val="FFFFFF"/>
              </w:rPr>
              <w:t>reflected in column (a))</w:t>
            </w:r>
          </w:p>
        </w:tc>
        <w:tc>
          <w:tcPr>
            <w:tcW w:w="20" w:type="dxa"/>
            <w:vAlign w:val="bottom"/>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20" w:type="dxa"/>
            <w:vAlign w:val="bottom"/>
            <w:shd w:val="clear" w:color="auto" w:fill="004054"/>
          </w:tcPr>
          <w:p>
            <w:pPr>
              <w:spacing w:after="0"/>
              <w:rPr>
                <w:sz w:val="18"/>
                <w:szCs w:val="18"/>
                <w:color w:val="auto"/>
              </w:rPr>
            </w:pPr>
          </w:p>
        </w:tc>
        <w:tc>
          <w:tcPr>
            <w:tcW w:w="1520" w:type="dxa"/>
            <w:vAlign w:val="bottom"/>
            <w:shd w:val="clear" w:color="auto" w:fill="004054"/>
          </w:tcPr>
          <w:p>
            <w:pPr>
              <w:jc w:val="right"/>
              <w:ind w:right="224"/>
              <w:spacing w:after="0"/>
              <w:rPr>
                <w:sz w:val="20"/>
                <w:szCs w:val="20"/>
                <w:color w:val="auto"/>
              </w:rPr>
            </w:pPr>
            <w:r>
              <w:rPr>
                <w:rFonts w:ascii="Arial" w:cs="Arial" w:eastAsia="Arial" w:hAnsi="Arial"/>
                <w:sz w:val="14"/>
                <w:szCs w:val="14"/>
                <w:b w:val="1"/>
                <w:bCs w:val="1"/>
                <w:color w:val="FFFFFF"/>
              </w:rPr>
              <w:t>December 31,</w:t>
            </w:r>
          </w:p>
        </w:tc>
        <w:tc>
          <w:tcPr>
            <w:tcW w:w="1390" w:type="dxa"/>
            <w:vAlign w:val="bottom"/>
            <w:shd w:val="clear" w:color="auto" w:fill="004054"/>
          </w:tcPr>
          <w:p>
            <w:pPr>
              <w:jc w:val="right"/>
              <w:ind w:right="229"/>
              <w:spacing w:after="0"/>
              <w:rPr>
                <w:sz w:val="20"/>
                <w:szCs w:val="20"/>
                <w:color w:val="auto"/>
              </w:rPr>
            </w:pPr>
            <w:r>
              <w:rPr>
                <w:rFonts w:ascii="Arial" w:cs="Arial" w:eastAsia="Arial" w:hAnsi="Arial"/>
                <w:sz w:val="14"/>
                <w:szCs w:val="14"/>
                <w:b w:val="1"/>
                <w:bCs w:val="1"/>
                <w:color w:val="FFFFFF"/>
              </w:rPr>
              <w:t>April 13,</w:t>
            </w:r>
          </w:p>
        </w:tc>
        <w:tc>
          <w:tcPr>
            <w:tcW w:w="310" w:type="dxa"/>
            <w:vAlign w:val="bottom"/>
            <w:shd w:val="clear" w:color="auto" w:fill="004054"/>
          </w:tcPr>
          <w:p>
            <w:pPr>
              <w:spacing w:after="0"/>
              <w:rPr>
                <w:sz w:val="18"/>
                <w:szCs w:val="18"/>
                <w:color w:val="auto"/>
              </w:rPr>
            </w:pPr>
          </w:p>
        </w:tc>
        <w:tc>
          <w:tcPr>
            <w:tcW w:w="1260" w:type="dxa"/>
            <w:vAlign w:val="bottom"/>
            <w:shd w:val="clear" w:color="auto" w:fill="004054"/>
          </w:tcPr>
          <w:p>
            <w:pPr>
              <w:ind w:left="80"/>
              <w:spacing w:after="0"/>
              <w:rPr>
                <w:sz w:val="20"/>
                <w:szCs w:val="20"/>
                <w:color w:val="auto"/>
              </w:rPr>
            </w:pPr>
            <w:r>
              <w:rPr>
                <w:rFonts w:ascii="Arial" w:cs="Arial" w:eastAsia="Arial" w:hAnsi="Arial"/>
                <w:sz w:val="14"/>
                <w:szCs w:val="14"/>
                <w:b w:val="1"/>
                <w:bCs w:val="1"/>
                <w:color w:val="FFFFFF"/>
              </w:rPr>
              <w:t>December 31,</w:t>
            </w:r>
          </w:p>
        </w:tc>
        <w:tc>
          <w:tcPr>
            <w:tcW w:w="6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April 13,</w:t>
            </w:r>
          </w:p>
        </w:tc>
        <w:tc>
          <w:tcPr>
            <w:tcW w:w="135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90" w:type="dxa"/>
            <w:vAlign w:val="bottom"/>
            <w:shd w:val="clear" w:color="auto" w:fill="004054"/>
          </w:tcPr>
          <w:p>
            <w:pPr>
              <w:spacing w:after="0"/>
              <w:rPr>
                <w:sz w:val="18"/>
                <w:szCs w:val="18"/>
                <w:color w:val="auto"/>
              </w:rPr>
            </w:pPr>
          </w:p>
        </w:tc>
        <w:tc>
          <w:tcPr>
            <w:tcW w:w="340" w:type="dxa"/>
            <w:vAlign w:val="bottom"/>
            <w:shd w:val="clear" w:color="auto" w:fill="004054"/>
          </w:tcPr>
          <w:p>
            <w:pPr>
              <w:spacing w:after="0"/>
              <w:rPr>
                <w:sz w:val="18"/>
                <w:szCs w:val="18"/>
                <w:color w:val="auto"/>
              </w:rPr>
            </w:pPr>
          </w:p>
        </w:tc>
        <w:tc>
          <w:tcPr>
            <w:tcW w:w="1180" w:type="dxa"/>
            <w:vAlign w:val="bottom"/>
            <w:shd w:val="clear" w:color="auto" w:fill="004054"/>
          </w:tcPr>
          <w:p>
            <w:pPr>
              <w:jc w:val="right"/>
              <w:ind w:right="242"/>
              <w:spacing w:after="0"/>
              <w:rPr>
                <w:sz w:val="20"/>
                <w:szCs w:val="20"/>
                <w:color w:val="auto"/>
              </w:rPr>
            </w:pPr>
            <w:r>
              <w:rPr>
                <w:rFonts w:ascii="Arial" w:cs="Arial" w:eastAsia="Arial" w:hAnsi="Arial"/>
                <w:sz w:val="14"/>
                <w:szCs w:val="14"/>
                <w:b w:val="1"/>
                <w:bCs w:val="1"/>
                <w:color w:val="FFFFFF"/>
              </w:rPr>
              <w:t>April 13,</w:t>
            </w:r>
          </w:p>
        </w:tc>
        <w:tc>
          <w:tcPr>
            <w:tcW w:w="20" w:type="dxa"/>
            <w:vAlign w:val="bottom"/>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20" w:type="dxa"/>
            <w:vAlign w:val="bottom"/>
            <w:tcBorders>
              <w:bottom w:val="single" w:sz="8" w:color="004054"/>
            </w:tcBorders>
            <w:shd w:val="clear" w:color="auto" w:fill="004054"/>
          </w:tcPr>
          <w:p>
            <w:pPr>
              <w:spacing w:after="0"/>
              <w:rPr>
                <w:sz w:val="19"/>
                <w:szCs w:val="19"/>
                <w:color w:val="auto"/>
              </w:rPr>
            </w:pPr>
          </w:p>
        </w:tc>
        <w:tc>
          <w:tcPr>
            <w:tcW w:w="1520" w:type="dxa"/>
            <w:vAlign w:val="bottom"/>
            <w:tcBorders>
              <w:bottom w:val="single" w:sz="8" w:color="004054"/>
            </w:tcBorders>
            <w:shd w:val="clear" w:color="auto" w:fill="004054"/>
          </w:tcPr>
          <w:p>
            <w:pPr>
              <w:jc w:val="right"/>
              <w:ind w:right="224"/>
              <w:spacing w:after="0"/>
              <w:rPr>
                <w:sz w:val="20"/>
                <w:szCs w:val="20"/>
                <w:color w:val="auto"/>
              </w:rPr>
            </w:pPr>
            <w:r>
              <w:rPr>
                <w:rFonts w:ascii="Arial" w:cs="Arial" w:eastAsia="Arial" w:hAnsi="Arial"/>
                <w:sz w:val="14"/>
                <w:szCs w:val="14"/>
                <w:b w:val="1"/>
                <w:bCs w:val="1"/>
                <w:color w:val="FFFFFF"/>
              </w:rPr>
              <w:t>2025</w:t>
            </w:r>
          </w:p>
        </w:tc>
        <w:tc>
          <w:tcPr>
            <w:tcW w:w="1390" w:type="dxa"/>
            <w:vAlign w:val="bottom"/>
            <w:tcBorders>
              <w:bottom w:val="single" w:sz="8" w:color="004054"/>
            </w:tcBorders>
            <w:shd w:val="clear" w:color="auto" w:fill="004054"/>
          </w:tcPr>
          <w:p>
            <w:pPr>
              <w:jc w:val="right"/>
              <w:ind w:right="229"/>
              <w:spacing w:after="0"/>
              <w:rPr>
                <w:sz w:val="20"/>
                <w:szCs w:val="20"/>
                <w:color w:val="auto"/>
              </w:rPr>
            </w:pPr>
            <w:r>
              <w:rPr>
                <w:rFonts w:ascii="Arial" w:cs="Arial" w:eastAsia="Arial" w:hAnsi="Arial"/>
                <w:sz w:val="14"/>
                <w:szCs w:val="14"/>
                <w:b w:val="1"/>
                <w:bCs w:val="1"/>
                <w:color w:val="FFFFFF"/>
              </w:rPr>
              <w:t>2026</w:t>
            </w:r>
          </w:p>
        </w:tc>
        <w:tc>
          <w:tcPr>
            <w:tcW w:w="310" w:type="dxa"/>
            <w:vAlign w:val="bottom"/>
            <w:tcBorders>
              <w:bottom w:val="single" w:sz="8" w:color="004054"/>
            </w:tcBorders>
            <w:shd w:val="clear" w:color="auto" w:fill="004054"/>
          </w:tcPr>
          <w:p>
            <w:pPr>
              <w:spacing w:after="0"/>
              <w:rPr>
                <w:sz w:val="19"/>
                <w:szCs w:val="19"/>
                <w:color w:val="auto"/>
              </w:rPr>
            </w:pPr>
          </w:p>
        </w:tc>
        <w:tc>
          <w:tcPr>
            <w:tcW w:w="1260" w:type="dxa"/>
            <w:vAlign w:val="bottom"/>
            <w:tcBorders>
              <w:bottom w:val="single" w:sz="8" w:color="004054"/>
            </w:tcBorders>
            <w:shd w:val="clear" w:color="auto" w:fill="004054"/>
          </w:tcPr>
          <w:p>
            <w:pPr>
              <w:jc w:val="center"/>
              <w:ind w:left="386"/>
              <w:spacing w:after="0"/>
              <w:rPr>
                <w:sz w:val="20"/>
                <w:szCs w:val="20"/>
                <w:color w:val="auto"/>
              </w:rPr>
            </w:pPr>
            <w:r>
              <w:rPr>
                <w:rFonts w:ascii="Arial" w:cs="Arial" w:eastAsia="Arial" w:hAnsi="Arial"/>
                <w:sz w:val="14"/>
                <w:szCs w:val="14"/>
                <w:b w:val="1"/>
                <w:bCs w:val="1"/>
                <w:color w:val="FFFFFF"/>
              </w:rPr>
              <w:t>2025</w:t>
            </w:r>
          </w:p>
        </w:tc>
        <w:tc>
          <w:tcPr>
            <w:tcW w:w="6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135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90" w:type="dxa"/>
            <w:vAlign w:val="bottom"/>
            <w:tcBorders>
              <w:bottom w:val="single" w:sz="8" w:color="004054"/>
            </w:tcBorders>
            <w:shd w:val="clear" w:color="auto" w:fill="004054"/>
          </w:tcPr>
          <w:p>
            <w:pPr>
              <w:spacing w:after="0"/>
              <w:rPr>
                <w:sz w:val="19"/>
                <w:szCs w:val="19"/>
                <w:color w:val="auto"/>
              </w:rPr>
            </w:pPr>
          </w:p>
        </w:tc>
        <w:tc>
          <w:tcPr>
            <w:tcW w:w="340" w:type="dxa"/>
            <w:vAlign w:val="bottom"/>
            <w:tcBorders>
              <w:bottom w:val="single" w:sz="8" w:color="004054"/>
            </w:tcBorders>
            <w:shd w:val="clear" w:color="auto" w:fill="004054"/>
          </w:tcPr>
          <w:p>
            <w:pPr>
              <w:spacing w:after="0"/>
              <w:rPr>
                <w:sz w:val="19"/>
                <w:szCs w:val="19"/>
                <w:color w:val="auto"/>
              </w:rPr>
            </w:pPr>
          </w:p>
        </w:tc>
        <w:tc>
          <w:tcPr>
            <w:tcW w:w="1180" w:type="dxa"/>
            <w:vAlign w:val="bottom"/>
            <w:tcBorders>
              <w:bottom w:val="single" w:sz="8" w:color="004054"/>
            </w:tcBorders>
            <w:shd w:val="clear" w:color="auto" w:fill="004054"/>
          </w:tcPr>
          <w:p>
            <w:pPr>
              <w:jc w:val="right"/>
              <w:ind w:right="242"/>
              <w:spacing w:after="0"/>
              <w:rPr>
                <w:sz w:val="20"/>
                <w:szCs w:val="20"/>
                <w:color w:val="auto"/>
              </w:rPr>
            </w:pPr>
            <w:r>
              <w:rPr>
                <w:rFonts w:ascii="Arial" w:cs="Arial" w:eastAsia="Arial" w:hAnsi="Arial"/>
                <w:sz w:val="14"/>
                <w:szCs w:val="14"/>
                <w:b w:val="1"/>
                <w:bCs w:val="1"/>
                <w:color w:val="FFFFFF"/>
              </w:rPr>
              <w:t>2026</w:t>
            </w:r>
          </w:p>
        </w:tc>
        <w:tc>
          <w:tcPr>
            <w:tcW w:w="20" w:type="dxa"/>
            <w:vAlign w:val="bottom"/>
            <w:tcBorders>
              <w:bottom w:val="single" w:sz="8" w:color="004054"/>
            </w:tcBorders>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292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Equity compensation plans</w:t>
            </w:r>
          </w:p>
        </w:tc>
        <w:tc>
          <w:tcPr>
            <w:tcW w:w="1520" w:type="dxa"/>
            <w:vAlign w:val="bottom"/>
            <w:shd w:val="clear" w:color="auto" w:fill="EBFBFF"/>
          </w:tcPr>
          <w:p>
            <w:pPr>
              <w:spacing w:after="0"/>
              <w:rPr>
                <w:sz w:val="24"/>
                <w:szCs w:val="24"/>
                <w:color w:val="auto"/>
              </w:rPr>
            </w:pPr>
          </w:p>
        </w:tc>
        <w:tc>
          <w:tcPr>
            <w:tcW w:w="1390" w:type="dxa"/>
            <w:vAlign w:val="bottom"/>
            <w:shd w:val="clear" w:color="auto" w:fill="EBFBFF"/>
          </w:tcPr>
          <w:p>
            <w:pPr>
              <w:spacing w:after="0"/>
              <w:rPr>
                <w:sz w:val="24"/>
                <w:szCs w:val="24"/>
                <w:color w:val="auto"/>
              </w:rPr>
            </w:pPr>
          </w:p>
        </w:tc>
        <w:tc>
          <w:tcPr>
            <w:tcW w:w="310" w:type="dxa"/>
            <w:vAlign w:val="bottom"/>
            <w:shd w:val="clear" w:color="auto" w:fill="EBFBFF"/>
          </w:tcPr>
          <w:p>
            <w:pPr>
              <w:spacing w:after="0"/>
              <w:rPr>
                <w:sz w:val="24"/>
                <w:szCs w:val="24"/>
                <w:color w:val="auto"/>
              </w:rPr>
            </w:pPr>
          </w:p>
        </w:tc>
        <w:tc>
          <w:tcPr>
            <w:tcW w:w="1260" w:type="dxa"/>
            <w:vAlign w:val="bottom"/>
            <w:shd w:val="clear" w:color="auto" w:fill="EBFBFF"/>
          </w:tcPr>
          <w:p>
            <w:pPr>
              <w:spacing w:after="0"/>
              <w:rPr>
                <w:sz w:val="24"/>
                <w:szCs w:val="24"/>
                <w:color w:val="auto"/>
              </w:rPr>
            </w:pPr>
          </w:p>
        </w:tc>
        <w:tc>
          <w:tcPr>
            <w:tcW w:w="680" w:type="dxa"/>
            <w:vAlign w:val="bottom"/>
            <w:shd w:val="clear" w:color="auto" w:fill="EBFBFF"/>
          </w:tcPr>
          <w:p>
            <w:pPr>
              <w:spacing w:after="0"/>
              <w:rPr>
                <w:sz w:val="24"/>
                <w:szCs w:val="24"/>
                <w:color w:val="auto"/>
              </w:rPr>
            </w:pPr>
          </w:p>
        </w:tc>
        <w:tc>
          <w:tcPr>
            <w:tcW w:w="1350" w:type="dxa"/>
            <w:vAlign w:val="bottom"/>
            <w:shd w:val="clear" w:color="auto" w:fill="EBFBFF"/>
          </w:tcPr>
          <w:p>
            <w:pPr>
              <w:spacing w:after="0"/>
              <w:rPr>
                <w:sz w:val="24"/>
                <w:szCs w:val="24"/>
                <w:color w:val="auto"/>
              </w:rPr>
            </w:pPr>
          </w:p>
        </w:tc>
        <w:tc>
          <w:tcPr>
            <w:tcW w:w="290" w:type="dxa"/>
            <w:vAlign w:val="bottom"/>
            <w:shd w:val="clear" w:color="auto" w:fill="EBFBFF"/>
          </w:tcPr>
          <w:p>
            <w:pPr>
              <w:spacing w:after="0"/>
              <w:rPr>
                <w:sz w:val="24"/>
                <w:szCs w:val="24"/>
                <w:color w:val="auto"/>
              </w:rPr>
            </w:pPr>
          </w:p>
        </w:tc>
        <w:tc>
          <w:tcPr>
            <w:tcW w:w="340" w:type="dxa"/>
            <w:vAlign w:val="bottom"/>
            <w:shd w:val="clear" w:color="auto" w:fill="EBFBFF"/>
          </w:tcPr>
          <w:p>
            <w:pPr>
              <w:spacing w:after="0"/>
              <w:rPr>
                <w:sz w:val="24"/>
                <w:szCs w:val="24"/>
                <w:color w:val="auto"/>
              </w:rPr>
            </w:pPr>
          </w:p>
        </w:tc>
        <w:tc>
          <w:tcPr>
            <w:tcW w:w="118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92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approved by stockholders</w:t>
            </w:r>
          </w:p>
        </w:tc>
        <w:tc>
          <w:tcPr>
            <w:tcW w:w="1520" w:type="dxa"/>
            <w:vAlign w:val="bottom"/>
            <w:shd w:val="clear" w:color="auto" w:fill="EBFBFF"/>
          </w:tcPr>
          <w:p>
            <w:pPr>
              <w:spacing w:after="0"/>
              <w:rPr>
                <w:sz w:val="21"/>
                <w:szCs w:val="21"/>
                <w:color w:val="auto"/>
              </w:rPr>
            </w:pPr>
          </w:p>
        </w:tc>
        <w:tc>
          <w:tcPr>
            <w:tcW w:w="1390" w:type="dxa"/>
            <w:vAlign w:val="bottom"/>
            <w:shd w:val="clear" w:color="auto" w:fill="EBFBFF"/>
          </w:tcPr>
          <w:p>
            <w:pPr>
              <w:spacing w:after="0"/>
              <w:rPr>
                <w:sz w:val="21"/>
                <w:szCs w:val="21"/>
                <w:color w:val="auto"/>
              </w:rPr>
            </w:pPr>
          </w:p>
        </w:tc>
        <w:tc>
          <w:tcPr>
            <w:tcW w:w="310" w:type="dxa"/>
            <w:vAlign w:val="bottom"/>
            <w:shd w:val="clear" w:color="auto" w:fill="EBFBFF"/>
          </w:tcPr>
          <w:p>
            <w:pPr>
              <w:spacing w:after="0"/>
              <w:rPr>
                <w:sz w:val="21"/>
                <w:szCs w:val="21"/>
                <w:color w:val="auto"/>
              </w:rPr>
            </w:pPr>
          </w:p>
        </w:tc>
        <w:tc>
          <w:tcPr>
            <w:tcW w:w="1260" w:type="dxa"/>
            <w:vAlign w:val="bottom"/>
            <w:shd w:val="clear" w:color="auto" w:fill="EBFBFF"/>
          </w:tcPr>
          <w:p>
            <w:pPr>
              <w:spacing w:after="0"/>
              <w:rPr>
                <w:sz w:val="21"/>
                <w:szCs w:val="21"/>
                <w:color w:val="auto"/>
              </w:rPr>
            </w:pPr>
          </w:p>
        </w:tc>
        <w:tc>
          <w:tcPr>
            <w:tcW w:w="680" w:type="dxa"/>
            <w:vAlign w:val="bottom"/>
            <w:shd w:val="clear" w:color="auto" w:fill="EBFBFF"/>
          </w:tcPr>
          <w:p>
            <w:pPr>
              <w:spacing w:after="0"/>
              <w:rPr>
                <w:sz w:val="21"/>
                <w:szCs w:val="21"/>
                <w:color w:val="auto"/>
              </w:rPr>
            </w:pPr>
          </w:p>
        </w:tc>
        <w:tc>
          <w:tcPr>
            <w:tcW w:w="1350" w:type="dxa"/>
            <w:vAlign w:val="bottom"/>
            <w:shd w:val="clear" w:color="auto" w:fill="EBFBFF"/>
          </w:tcPr>
          <w:p>
            <w:pPr>
              <w:spacing w:after="0"/>
              <w:rPr>
                <w:sz w:val="21"/>
                <w:szCs w:val="21"/>
                <w:color w:val="auto"/>
              </w:rPr>
            </w:pPr>
          </w:p>
        </w:tc>
        <w:tc>
          <w:tcPr>
            <w:tcW w:w="290" w:type="dxa"/>
            <w:vAlign w:val="bottom"/>
            <w:shd w:val="clear" w:color="auto" w:fill="EBFBFF"/>
          </w:tcPr>
          <w:p>
            <w:pPr>
              <w:spacing w:after="0"/>
              <w:rPr>
                <w:sz w:val="21"/>
                <w:szCs w:val="21"/>
                <w:color w:val="auto"/>
              </w:rPr>
            </w:pPr>
          </w:p>
        </w:tc>
        <w:tc>
          <w:tcPr>
            <w:tcW w:w="340" w:type="dxa"/>
            <w:vAlign w:val="bottom"/>
            <w:shd w:val="clear" w:color="auto" w:fill="EBFBFF"/>
          </w:tcPr>
          <w:p>
            <w:pPr>
              <w:spacing w:after="0"/>
              <w:rPr>
                <w:sz w:val="21"/>
                <w:szCs w:val="21"/>
                <w:color w:val="auto"/>
              </w:rPr>
            </w:pPr>
          </w:p>
        </w:tc>
        <w:tc>
          <w:tcPr>
            <w:tcW w:w="1180" w:type="dxa"/>
            <w:vAlign w:val="bottom"/>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2920" w:type="dxa"/>
            <w:vAlign w:val="bottom"/>
            <w:shd w:val="clear" w:color="auto" w:fill="EBFBFF"/>
          </w:tcPr>
          <w:p>
            <w:pPr>
              <w:ind w:left="440"/>
              <w:spacing w:after="0"/>
              <w:rPr>
                <w:sz w:val="20"/>
                <w:szCs w:val="20"/>
                <w:color w:val="auto"/>
              </w:rPr>
            </w:pPr>
            <w:r>
              <w:rPr>
                <w:rFonts w:ascii="Arial" w:cs="Arial" w:eastAsia="Arial" w:hAnsi="Arial"/>
                <w:sz w:val="18"/>
                <w:szCs w:val="18"/>
                <w:color w:val="51555C"/>
              </w:rPr>
              <w:t>2016 Equity and Incentive</w:t>
            </w:r>
          </w:p>
        </w:tc>
        <w:tc>
          <w:tcPr>
            <w:tcW w:w="1520" w:type="dxa"/>
            <w:vAlign w:val="bottom"/>
            <w:vMerge w:val="restart"/>
            <w:shd w:val="clear" w:color="auto" w:fill="EBFBFF"/>
          </w:tcPr>
          <w:p>
            <w:pPr>
              <w:ind w:left="360"/>
              <w:spacing w:after="0"/>
              <w:rPr>
                <w:sz w:val="20"/>
                <w:szCs w:val="20"/>
                <w:color w:val="auto"/>
              </w:rPr>
            </w:pPr>
            <w:r>
              <w:rPr>
                <w:rFonts w:ascii="Arial" w:cs="Arial" w:eastAsia="Arial" w:hAnsi="Arial"/>
                <w:sz w:val="18"/>
                <w:szCs w:val="18"/>
                <w:color w:val="51555C"/>
              </w:rPr>
              <w:t xml:space="preserve">1,546,184 </w:t>
            </w:r>
            <w:r>
              <w:rPr>
                <w:rFonts w:ascii="Arial" w:cs="Arial" w:eastAsia="Arial" w:hAnsi="Arial"/>
                <w:sz w:val="23"/>
                <w:szCs w:val="23"/>
                <w:color w:val="51555C"/>
                <w:vertAlign w:val="superscript"/>
              </w:rPr>
              <w:t>(1)</w:t>
            </w:r>
          </w:p>
        </w:tc>
        <w:tc>
          <w:tcPr>
            <w:tcW w:w="1390" w:type="dxa"/>
            <w:vAlign w:val="bottom"/>
            <w:vMerge w:val="restart"/>
            <w:shd w:val="clear" w:color="auto" w:fill="EBFBFF"/>
          </w:tcPr>
          <w:p>
            <w:pPr>
              <w:ind w:left="220"/>
              <w:spacing w:after="0"/>
              <w:rPr>
                <w:sz w:val="20"/>
                <w:szCs w:val="20"/>
                <w:color w:val="auto"/>
              </w:rPr>
            </w:pPr>
            <w:r>
              <w:rPr>
                <w:rFonts w:ascii="Arial" w:cs="Arial" w:eastAsia="Arial" w:hAnsi="Arial"/>
                <w:sz w:val="18"/>
                <w:szCs w:val="18"/>
                <w:color w:val="51555C"/>
              </w:rPr>
              <w:t xml:space="preserve">1,819,136 </w:t>
            </w:r>
            <w:r>
              <w:rPr>
                <w:rFonts w:ascii="Arial" w:cs="Arial" w:eastAsia="Arial" w:hAnsi="Arial"/>
                <w:sz w:val="23"/>
                <w:szCs w:val="23"/>
                <w:color w:val="51555C"/>
                <w:vertAlign w:val="superscript"/>
              </w:rPr>
              <w:t>(2)</w:t>
            </w:r>
          </w:p>
        </w:tc>
        <w:tc>
          <w:tcPr>
            <w:tcW w:w="310" w:type="dxa"/>
            <w:vAlign w:val="bottom"/>
            <w:shd w:val="clear" w:color="auto" w:fill="EBFBFF"/>
          </w:tcPr>
          <w:p>
            <w:pPr>
              <w:spacing w:after="0"/>
              <w:rPr>
                <w:sz w:val="24"/>
                <w:szCs w:val="24"/>
                <w:color w:val="auto"/>
              </w:rPr>
            </w:pPr>
          </w:p>
        </w:tc>
        <w:tc>
          <w:tcPr>
            <w:tcW w:w="1260" w:type="dxa"/>
            <w:vAlign w:val="bottom"/>
            <w:shd w:val="clear" w:color="auto" w:fill="EBFBFF"/>
          </w:tcPr>
          <w:p>
            <w:pPr>
              <w:spacing w:after="0"/>
              <w:rPr>
                <w:sz w:val="24"/>
                <w:szCs w:val="24"/>
                <w:color w:val="auto"/>
              </w:rPr>
            </w:pPr>
          </w:p>
        </w:tc>
        <w:tc>
          <w:tcPr>
            <w:tcW w:w="680" w:type="dxa"/>
            <w:vAlign w:val="bottom"/>
            <w:shd w:val="clear" w:color="auto" w:fill="EBFBFF"/>
          </w:tcPr>
          <w:p>
            <w:pPr>
              <w:spacing w:after="0"/>
              <w:rPr>
                <w:sz w:val="24"/>
                <w:szCs w:val="24"/>
                <w:color w:val="auto"/>
              </w:rPr>
            </w:pPr>
          </w:p>
        </w:tc>
        <w:tc>
          <w:tcPr>
            <w:tcW w:w="1640" w:type="dxa"/>
            <w:vAlign w:val="bottom"/>
            <w:gridSpan w:val="2"/>
            <w:vMerge w:val="restart"/>
            <w:shd w:val="clear" w:color="auto" w:fill="EBFBFF"/>
          </w:tcPr>
          <w:p>
            <w:pPr>
              <w:jc w:val="right"/>
              <w:ind w:right="68"/>
              <w:spacing w:after="0"/>
              <w:rPr>
                <w:sz w:val="20"/>
                <w:szCs w:val="20"/>
                <w:color w:val="auto"/>
              </w:rPr>
            </w:pPr>
            <w:r>
              <w:rPr>
                <w:rFonts w:ascii="Arial" w:cs="Arial" w:eastAsia="Arial" w:hAnsi="Arial"/>
                <w:sz w:val="18"/>
                <w:szCs w:val="18"/>
                <w:color w:val="51555C"/>
              </w:rPr>
              <w:t xml:space="preserve">4,003,142 </w:t>
            </w:r>
            <w:r>
              <w:rPr>
                <w:rFonts w:ascii="Arial" w:cs="Arial" w:eastAsia="Arial" w:hAnsi="Arial"/>
                <w:sz w:val="23"/>
                <w:szCs w:val="23"/>
                <w:color w:val="51555C"/>
                <w:vertAlign w:val="superscript"/>
              </w:rPr>
              <w:t>(3)</w:t>
            </w:r>
          </w:p>
        </w:tc>
        <w:tc>
          <w:tcPr>
            <w:tcW w:w="340" w:type="dxa"/>
            <w:vAlign w:val="bottom"/>
            <w:shd w:val="clear" w:color="auto" w:fill="EBFBFF"/>
          </w:tcPr>
          <w:p>
            <w:pPr>
              <w:spacing w:after="0"/>
              <w:rPr>
                <w:sz w:val="24"/>
                <w:szCs w:val="24"/>
                <w:color w:val="auto"/>
              </w:rPr>
            </w:pPr>
          </w:p>
        </w:tc>
        <w:tc>
          <w:tcPr>
            <w:tcW w:w="1180" w:type="dxa"/>
            <w:vAlign w:val="bottom"/>
            <w:vMerge w:val="restart"/>
            <w:shd w:val="clear" w:color="auto" w:fill="EBFBFF"/>
          </w:tcPr>
          <w:p>
            <w:pPr>
              <w:jc w:val="right"/>
              <w:ind w:right="62"/>
              <w:spacing w:after="0"/>
              <w:rPr>
                <w:sz w:val="20"/>
                <w:szCs w:val="20"/>
                <w:color w:val="auto"/>
              </w:rPr>
            </w:pPr>
            <w:r>
              <w:rPr>
                <w:rFonts w:ascii="Arial" w:cs="Arial" w:eastAsia="Arial" w:hAnsi="Arial"/>
                <w:sz w:val="18"/>
                <w:szCs w:val="18"/>
                <w:color w:val="51555C"/>
                <w:w w:val="98"/>
              </w:rPr>
              <w:t xml:space="preserve">2,035,264 </w:t>
            </w:r>
            <w:r>
              <w:rPr>
                <w:rFonts w:ascii="Arial" w:cs="Arial" w:eastAsia="Arial" w:hAnsi="Arial"/>
                <w:sz w:val="23"/>
                <w:szCs w:val="23"/>
                <w:color w:val="51555C"/>
                <w:w w:val="98"/>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920" w:type="dxa"/>
            <w:vAlign w:val="bottom"/>
            <w:shd w:val="clear" w:color="auto" w:fill="EBFBFF"/>
          </w:tcPr>
          <w:p>
            <w:pPr>
              <w:ind w:left="440"/>
              <w:spacing w:after="0"/>
              <w:rPr>
                <w:sz w:val="20"/>
                <w:szCs w:val="20"/>
                <w:color w:val="auto"/>
              </w:rPr>
            </w:pPr>
            <w:r>
              <w:rPr>
                <w:rFonts w:ascii="Arial" w:cs="Arial" w:eastAsia="Arial" w:hAnsi="Arial"/>
                <w:sz w:val="18"/>
                <w:szCs w:val="18"/>
                <w:color w:val="51555C"/>
              </w:rPr>
              <w:t>Compensation Plan</w:t>
            </w:r>
          </w:p>
        </w:tc>
        <w:tc>
          <w:tcPr>
            <w:tcW w:w="1520" w:type="dxa"/>
            <w:vAlign w:val="bottom"/>
            <w:vMerge w:val="continue"/>
            <w:shd w:val="clear" w:color="auto" w:fill="EBFBFF"/>
          </w:tcPr>
          <w:p>
            <w:pPr>
              <w:spacing w:after="0"/>
              <w:rPr>
                <w:sz w:val="22"/>
                <w:szCs w:val="22"/>
                <w:color w:val="auto"/>
              </w:rPr>
            </w:pPr>
          </w:p>
        </w:tc>
        <w:tc>
          <w:tcPr>
            <w:tcW w:w="1390" w:type="dxa"/>
            <w:vAlign w:val="bottom"/>
            <w:vMerge w:val="continue"/>
            <w:shd w:val="clear" w:color="auto" w:fill="EBFBFF"/>
          </w:tcPr>
          <w:p>
            <w:pPr>
              <w:spacing w:after="0"/>
              <w:rPr>
                <w:sz w:val="22"/>
                <w:szCs w:val="22"/>
                <w:color w:val="auto"/>
              </w:rPr>
            </w:pPr>
          </w:p>
        </w:tc>
        <w:tc>
          <w:tcPr>
            <w:tcW w:w="31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1260" w:type="dxa"/>
            <w:vAlign w:val="bottom"/>
            <w:shd w:val="clear" w:color="auto" w:fill="EBFBFF"/>
          </w:tcPr>
          <w:p>
            <w:pPr>
              <w:ind w:left="780"/>
              <w:spacing w:after="0"/>
              <w:rPr>
                <w:sz w:val="20"/>
                <w:szCs w:val="20"/>
                <w:color w:val="auto"/>
              </w:rPr>
            </w:pPr>
            <w:r>
              <w:rPr>
                <w:rFonts w:ascii="Arial" w:cs="Arial" w:eastAsia="Arial" w:hAnsi="Arial"/>
                <w:sz w:val="18"/>
                <w:szCs w:val="18"/>
                <w:color w:val="51555C"/>
              </w:rPr>
              <w:t>— $</w:t>
            </w:r>
          </w:p>
        </w:tc>
        <w:tc>
          <w:tcPr>
            <w:tcW w:w="680" w:type="dxa"/>
            <w:vAlign w:val="bottom"/>
            <w:shd w:val="clear" w:color="auto" w:fill="EBFBFF"/>
          </w:tcPr>
          <w:p>
            <w:pPr>
              <w:jc w:val="right"/>
              <w:ind w:right="2"/>
              <w:spacing w:after="0"/>
              <w:rPr>
                <w:sz w:val="20"/>
                <w:szCs w:val="20"/>
                <w:color w:val="auto"/>
              </w:rPr>
            </w:pPr>
            <w:r>
              <w:rPr>
                <w:rFonts w:ascii="Arial" w:cs="Arial" w:eastAsia="Arial" w:hAnsi="Arial"/>
                <w:sz w:val="18"/>
                <w:szCs w:val="18"/>
                <w:color w:val="51555C"/>
              </w:rPr>
              <w:t>—</w:t>
            </w:r>
          </w:p>
        </w:tc>
        <w:tc>
          <w:tcPr>
            <w:tcW w:w="1640" w:type="dxa"/>
            <w:vAlign w:val="bottom"/>
            <w:gridSpan w:val="2"/>
            <w:vMerge w:val="continue"/>
            <w:shd w:val="clear" w:color="auto" w:fill="EBFBFF"/>
          </w:tcPr>
          <w:p>
            <w:pPr>
              <w:spacing w:after="0"/>
              <w:rPr>
                <w:sz w:val="22"/>
                <w:szCs w:val="22"/>
                <w:color w:val="auto"/>
              </w:rPr>
            </w:pPr>
          </w:p>
        </w:tc>
        <w:tc>
          <w:tcPr>
            <w:tcW w:w="340" w:type="dxa"/>
            <w:vAlign w:val="bottom"/>
            <w:shd w:val="clear" w:color="auto" w:fill="EBFBFF"/>
          </w:tcPr>
          <w:p>
            <w:pPr>
              <w:spacing w:after="0"/>
              <w:rPr>
                <w:sz w:val="22"/>
                <w:szCs w:val="22"/>
                <w:color w:val="auto"/>
              </w:rPr>
            </w:pPr>
          </w:p>
        </w:tc>
        <w:tc>
          <w:tcPr>
            <w:tcW w:w="1180" w:type="dxa"/>
            <w:vAlign w:val="bottom"/>
            <w:vMerge w:val="continue"/>
            <w:shd w:val="clear" w:color="auto" w:fill="EBFB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292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51555C"/>
              </w:rPr>
              <w:t>Total full-value awards</w:t>
            </w:r>
            <w:r>
              <w:rPr>
                <w:rFonts w:ascii="Arial" w:cs="Arial" w:eastAsia="Arial" w:hAnsi="Arial"/>
                <w:sz w:val="23"/>
                <w:szCs w:val="23"/>
                <w:color w:val="51555C"/>
                <w:vertAlign w:val="superscript"/>
              </w:rPr>
              <w:t>(4)</w:t>
            </w:r>
          </w:p>
        </w:tc>
        <w:tc>
          <w:tcPr>
            <w:tcW w:w="1520" w:type="dxa"/>
            <w:vAlign w:val="bottom"/>
            <w:tcBorders>
              <w:bottom w:val="single" w:sz="8" w:color="0CD973"/>
            </w:tcBorders>
          </w:tcPr>
          <w:p>
            <w:pPr>
              <w:ind w:left="360"/>
              <w:spacing w:after="0"/>
              <w:rPr>
                <w:sz w:val="20"/>
                <w:szCs w:val="20"/>
                <w:color w:val="auto"/>
              </w:rPr>
            </w:pPr>
            <w:r>
              <w:rPr>
                <w:rFonts w:ascii="Arial" w:cs="Arial" w:eastAsia="Arial" w:hAnsi="Arial"/>
                <w:sz w:val="18"/>
                <w:szCs w:val="18"/>
                <w:b w:val="1"/>
                <w:bCs w:val="1"/>
                <w:color w:val="51555C"/>
              </w:rPr>
              <w:t>2,217,148</w:t>
            </w:r>
          </w:p>
        </w:tc>
        <w:tc>
          <w:tcPr>
            <w:tcW w:w="1390" w:type="dxa"/>
            <w:vAlign w:val="bottom"/>
            <w:tcBorders>
              <w:bottom w:val="single" w:sz="8" w:color="0CD973"/>
            </w:tcBorders>
          </w:tcPr>
          <w:p>
            <w:pPr>
              <w:ind w:left="220"/>
              <w:spacing w:after="0"/>
              <w:rPr>
                <w:sz w:val="20"/>
                <w:szCs w:val="20"/>
                <w:color w:val="auto"/>
              </w:rPr>
            </w:pPr>
            <w:r>
              <w:rPr>
                <w:rFonts w:ascii="Arial" w:cs="Arial" w:eastAsia="Arial" w:hAnsi="Arial"/>
                <w:sz w:val="18"/>
                <w:szCs w:val="18"/>
                <w:b w:val="1"/>
                <w:bCs w:val="1"/>
                <w:color w:val="51555C"/>
              </w:rPr>
              <w:t>2,853,267</w:t>
            </w:r>
          </w:p>
        </w:tc>
        <w:tc>
          <w:tcPr>
            <w:tcW w:w="310" w:type="dxa"/>
            <w:vAlign w:val="bottom"/>
            <w:tcBorders>
              <w:bottom w:val="single" w:sz="8" w:color="0CD973"/>
            </w:tcBorders>
          </w:tcPr>
          <w:p>
            <w:pPr>
              <w:spacing w:after="0"/>
              <w:rPr>
                <w:sz w:val="24"/>
                <w:szCs w:val="24"/>
                <w:color w:val="auto"/>
              </w:rPr>
            </w:pPr>
          </w:p>
        </w:tc>
        <w:tc>
          <w:tcPr>
            <w:tcW w:w="1260" w:type="dxa"/>
            <w:vAlign w:val="bottom"/>
            <w:tcBorders>
              <w:bottom w:val="single" w:sz="8" w:color="0CD973"/>
            </w:tcBorders>
          </w:tcPr>
          <w:p>
            <w:pPr>
              <w:spacing w:after="0"/>
              <w:rPr>
                <w:sz w:val="24"/>
                <w:szCs w:val="24"/>
                <w:color w:val="auto"/>
              </w:rPr>
            </w:pPr>
          </w:p>
        </w:tc>
        <w:tc>
          <w:tcPr>
            <w:tcW w:w="680" w:type="dxa"/>
            <w:vAlign w:val="bottom"/>
            <w:tcBorders>
              <w:bottom w:val="single" w:sz="8" w:color="0CD973"/>
            </w:tcBorders>
          </w:tcPr>
          <w:p>
            <w:pPr>
              <w:spacing w:after="0"/>
              <w:rPr>
                <w:sz w:val="24"/>
                <w:szCs w:val="24"/>
                <w:color w:val="auto"/>
              </w:rPr>
            </w:pPr>
          </w:p>
        </w:tc>
        <w:tc>
          <w:tcPr>
            <w:tcW w:w="1350" w:type="dxa"/>
            <w:vAlign w:val="bottom"/>
            <w:tcBorders>
              <w:bottom w:val="single" w:sz="8" w:color="0CD973"/>
            </w:tcBorders>
          </w:tcPr>
          <w:p>
            <w:pPr>
              <w:spacing w:after="0"/>
              <w:rPr>
                <w:sz w:val="24"/>
                <w:szCs w:val="24"/>
                <w:color w:val="auto"/>
              </w:rPr>
            </w:pPr>
          </w:p>
        </w:tc>
        <w:tc>
          <w:tcPr>
            <w:tcW w:w="290" w:type="dxa"/>
            <w:vAlign w:val="bottom"/>
            <w:tcBorders>
              <w:bottom w:val="single" w:sz="8" w:color="0CD973"/>
            </w:tcBorders>
          </w:tcPr>
          <w:p>
            <w:pPr>
              <w:spacing w:after="0"/>
              <w:rPr>
                <w:sz w:val="24"/>
                <w:szCs w:val="24"/>
                <w:color w:val="auto"/>
              </w:rPr>
            </w:pPr>
          </w:p>
        </w:tc>
        <w:tc>
          <w:tcPr>
            <w:tcW w:w="340" w:type="dxa"/>
            <w:vAlign w:val="bottom"/>
            <w:tcBorders>
              <w:bottom w:val="single" w:sz="8" w:color="0CD973"/>
            </w:tcBorders>
          </w:tcPr>
          <w:p>
            <w:pPr>
              <w:spacing w:after="0"/>
              <w:rPr>
                <w:sz w:val="24"/>
                <w:szCs w:val="24"/>
                <w:color w:val="auto"/>
              </w:rPr>
            </w:pPr>
          </w:p>
        </w:tc>
        <w:tc>
          <w:tcPr>
            <w:tcW w:w="1180" w:type="dxa"/>
            <w:vAlign w:val="bottom"/>
            <w:tcBorders>
              <w:bottom w:val="single" w:sz="8" w:color="0CD973"/>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-1173480</wp:posOffset>
            </wp:positionV>
            <wp:extent cx="528891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288915" cy="8890"/>
                    </a:xfrm>
                    <a:prstGeom prst="rect">
                      <a:avLst/>
                    </a:prstGeom>
                    <a:noFill/>
                  </pic:spPr>
                </pic:pic>
              </a:graphicData>
            </a:graphic>
          </wp:anchor>
        </w:drawing>
      </w:r>
    </w:p>
    <w:p>
      <w:pPr>
        <w:spacing w:after="0" w:line="52" w:lineRule="exact"/>
        <w:rPr>
          <w:sz w:val="20"/>
          <w:szCs w:val="20"/>
          <w:color w:val="auto"/>
        </w:rPr>
      </w:pPr>
    </w:p>
    <w:p>
      <w:pPr>
        <w:ind w:left="340" w:right="20" w:hanging="332"/>
        <w:spacing w:after="0" w:line="272" w:lineRule="auto"/>
        <w:tabs>
          <w:tab w:leader="none" w:pos="354" w:val="left"/>
        </w:tabs>
        <w:numPr>
          <w:ilvl w:val="0"/>
          <w:numId w:val="85"/>
        </w:numPr>
        <w:rPr>
          <w:rFonts w:ascii="Arial" w:cs="Arial" w:eastAsia="Arial" w:hAnsi="Arial"/>
          <w:sz w:val="14"/>
          <w:szCs w:val="14"/>
          <w:color w:val="51555C"/>
        </w:rPr>
      </w:pPr>
      <w:r>
        <w:rPr>
          <w:rFonts w:ascii="Arial" w:cs="Arial" w:eastAsia="Arial" w:hAnsi="Arial"/>
          <w:sz w:val="14"/>
          <w:szCs w:val="14"/>
          <w:color w:val="51555C"/>
        </w:rPr>
        <w:t>Includes 609,094 shares issuable following vesting of outstanding RSUs and 937,090 shares issuable following vesting of outstanding PRSUs. No weighted-average exercise price information is shown in column (b) because these awards do not have an exercise price.</w:t>
      </w:r>
    </w:p>
    <w:p>
      <w:pPr>
        <w:ind w:left="340" w:right="20" w:hanging="332"/>
        <w:spacing w:after="0" w:line="251" w:lineRule="auto"/>
        <w:tabs>
          <w:tab w:leader="none" w:pos="354" w:val="left"/>
        </w:tabs>
        <w:numPr>
          <w:ilvl w:val="0"/>
          <w:numId w:val="85"/>
        </w:numPr>
        <w:rPr>
          <w:rFonts w:ascii="Arial" w:cs="Arial" w:eastAsia="Arial" w:hAnsi="Arial"/>
          <w:sz w:val="14"/>
          <w:szCs w:val="14"/>
          <w:color w:val="51555C"/>
        </w:rPr>
      </w:pPr>
      <w:r>
        <w:rPr>
          <w:rFonts w:ascii="Arial" w:cs="Arial" w:eastAsia="Arial" w:hAnsi="Arial"/>
          <w:sz w:val="14"/>
          <w:szCs w:val="14"/>
          <w:color w:val="51555C"/>
        </w:rPr>
        <w:t>Includes 574,011 shares issuable following vesting of outstanding RSUs and 1,245,125 shares issuable following vesting of outstanding PRSUs. No weighted-average exercise price information is shown in column (b) because these awards do not have an exercise price.</w:t>
      </w:r>
    </w:p>
    <w:p>
      <w:pPr>
        <w:jc w:val="both"/>
        <w:ind w:left="340" w:right="20" w:hanging="332"/>
        <w:spacing w:after="0" w:line="261" w:lineRule="auto"/>
        <w:tabs>
          <w:tab w:leader="none" w:pos="354" w:val="left"/>
        </w:tabs>
        <w:numPr>
          <w:ilvl w:val="0"/>
          <w:numId w:val="85"/>
        </w:numPr>
        <w:rPr>
          <w:rFonts w:ascii="Arial" w:cs="Arial" w:eastAsia="Arial" w:hAnsi="Arial"/>
          <w:sz w:val="14"/>
          <w:szCs w:val="14"/>
          <w:color w:val="51555C"/>
        </w:rPr>
      </w:pPr>
      <w:r>
        <w:rPr>
          <w:rFonts w:ascii="Arial" w:cs="Arial" w:eastAsia="Arial" w:hAnsi="Arial"/>
          <w:sz w:val="14"/>
          <w:szCs w:val="14"/>
          <w:color w:val="51555C"/>
        </w:rPr>
        <w:t>Includes shares available for issuance through grants of options, SARs, restricted stock, RSUs or other stock awards. These numbers do not include the additional 2,500,000 shares that stockholders are being asked to approve for issuance under the amended and restated 2016 Equity and Incentive Compensation Plan at the 2026 Annual Meeting of Stockholders.</w:t>
      </w:r>
    </w:p>
    <w:p>
      <w:pPr>
        <w:spacing w:after="0" w:line="1" w:lineRule="exact"/>
        <w:rPr>
          <w:rFonts w:ascii="Arial" w:cs="Arial" w:eastAsia="Arial" w:hAnsi="Arial"/>
          <w:sz w:val="14"/>
          <w:szCs w:val="14"/>
          <w:color w:val="51555C"/>
        </w:rPr>
      </w:pPr>
    </w:p>
    <w:p>
      <w:pPr>
        <w:ind w:left="340" w:hanging="332"/>
        <w:spacing w:after="0"/>
        <w:tabs>
          <w:tab w:leader="none" w:pos="340" w:val="left"/>
        </w:tabs>
        <w:numPr>
          <w:ilvl w:val="0"/>
          <w:numId w:val="85"/>
        </w:numPr>
        <w:rPr>
          <w:rFonts w:ascii="Arial" w:cs="Arial" w:eastAsia="Arial" w:hAnsi="Arial"/>
          <w:sz w:val="14"/>
          <w:szCs w:val="14"/>
          <w:color w:val="51555C"/>
        </w:rPr>
      </w:pPr>
      <w:r>
        <w:rPr>
          <w:rFonts w:ascii="Arial" w:cs="Arial" w:eastAsia="Arial" w:hAnsi="Arial"/>
          <w:sz w:val="14"/>
          <w:szCs w:val="14"/>
          <w:color w:val="51555C"/>
        </w:rPr>
        <w:t>Full-value awards outstanding under the 2016 Equity and Incentive Compensation Plan include RSAs, RSUs and PRSUs.</w:t>
      </w:r>
    </w:p>
    <w:p>
      <w:pPr>
        <w:spacing w:after="0" w:line="364"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78</w:t>
      </w:r>
      <w:r>
        <w:rPr>
          <w:sz w:val="20"/>
          <w:szCs w:val="20"/>
          <w:color w:val="auto"/>
        </w:rPr>
        <w:tab/>
      </w:r>
      <w:r>
        <w:rPr>
          <w:sz w:val="1"/>
          <w:szCs w:val="1"/>
          <w:color w:val="auto"/>
        </w:rPr>
        <w:drawing>
          <wp:inline distT="0" distB="0" distL="0" distR="0">
            <wp:extent cx="702945" cy="111125"/>
            <wp:effectExtent l="0" t="0" r="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80" w:name="page81"/>
    <w:bookmarkEnd w:id="80"/>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sz w:val="1"/>
          <w:szCs w:val="1"/>
          <w:color w:val="auto"/>
        </w:rPr>
        <w:drawing>
          <wp:inline distT="0" distB="0" distL="0" distR="0">
            <wp:extent cx="257175" cy="257175"/>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Arial" w:cs="Arial" w:eastAsia="Arial" w:hAnsi="Arial"/>
          <w:sz w:val="40"/>
          <w:szCs w:val="40"/>
          <w:b w:val="1"/>
          <w:bCs w:val="1"/>
          <w:color w:val="50535A"/>
        </w:rPr>
        <w:t xml:space="preserve"> AUDIT MATTERS</w:t>
      </w:r>
    </w:p>
    <w:p>
      <w:pPr>
        <w:spacing w:after="0" w:line="360" w:lineRule="exact"/>
        <w:rPr>
          <w:sz w:val="20"/>
          <w:szCs w:val="20"/>
          <w:color w:val="auto"/>
        </w:rPr>
      </w:pPr>
    </w:p>
    <w:p>
      <w:pPr>
        <w:ind w:right="1660"/>
        <w:spacing w:after="0" w:line="288" w:lineRule="auto"/>
        <w:rPr>
          <w:sz w:val="20"/>
          <w:szCs w:val="20"/>
          <w:color w:val="auto"/>
        </w:rPr>
      </w:pPr>
      <w:r>
        <w:rPr>
          <w:rFonts w:ascii="Arial" w:cs="Arial" w:eastAsia="Arial" w:hAnsi="Arial"/>
          <w:sz w:val="29"/>
          <w:szCs w:val="29"/>
          <w:b w:val="1"/>
          <w:bCs w:val="1"/>
          <w:color w:val="004054"/>
        </w:rPr>
        <w:t>PROPOSAL 3 — RATIFICATION OF APPOINTMENT OF INDEPENDENT REGISTERED PUBLIC ACCOUNTING FIRM</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The Audit Committee has selected Ernst &amp; Young LLP (“EY”) to audit our consolidated financial statements for the fiscal year ending December 31, 2026 and recommends that stockholders vote for the ratification of such appointment. Although ratification is not required by our Bylaws or otherwise, the Board is submitting the selection of EY to our stockholders for ratification because we value our stockholders’ views on our independent registered public accounting firm and as a matter of good corporate practice. In the event of a negative vote on ratification, the Audit Committee will reconsider, but might not change, its selection. Notwithstanding the selection and ratification, the Audit Committee, in its discretion, may appoint a different independent registered public accounting firm at any time, if it believes doing so would be in the best interests of our Company and our stockholders.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Representatives of EY are expected to be present during the 2026 Annual Meeting of Stockholders with the opportunity to make a statement if they desire to do so and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8830" cy="63373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48830" cy="633730"/>
                    </a:xfrm>
                    <a:prstGeom prst="rect">
                      <a:avLst/>
                    </a:prstGeom>
                    <a:noFill/>
                  </pic:spPr>
                </pic:pic>
              </a:graphicData>
            </a:graphic>
          </wp:anchor>
        </w:drawing>
      </w:r>
    </w:p>
    <w:p>
      <w:pPr>
        <w:spacing w:after="0" w:line="110" w:lineRule="exact"/>
        <w:rPr>
          <w:sz w:val="20"/>
          <w:szCs w:val="20"/>
          <w:color w:val="auto"/>
        </w:rPr>
      </w:pPr>
    </w:p>
    <w:p>
      <w:pPr>
        <w:ind w:left="600"/>
        <w:spacing w:after="0"/>
        <w:rPr>
          <w:sz w:val="20"/>
          <w:szCs w:val="20"/>
          <w:color w:val="auto"/>
        </w:rPr>
      </w:pPr>
      <w:r>
        <w:rPr>
          <w:rFonts w:ascii="Arial" w:cs="Arial" w:eastAsia="Arial" w:hAnsi="Arial"/>
          <w:sz w:val="22"/>
          <w:szCs w:val="22"/>
          <w:b w:val="1"/>
          <w:bCs w:val="1"/>
          <w:color w:val="51555C"/>
        </w:rPr>
        <w:t>The Board of Directors unanimously recommends that stockholders vote FOR the ratification of the</w:t>
      </w:r>
    </w:p>
    <w:p>
      <w:pPr>
        <w:spacing w:after="0" w:line="84" w:lineRule="exact"/>
        <w:rPr>
          <w:sz w:val="20"/>
          <w:szCs w:val="20"/>
          <w:color w:val="auto"/>
        </w:rPr>
      </w:pPr>
    </w:p>
    <w:p>
      <w:pPr>
        <w:ind w:left="600" w:right="200" w:hanging="410"/>
        <w:spacing w:after="0" w:line="190" w:lineRule="auto"/>
        <w:tabs>
          <w:tab w:leader="none" w:pos="600" w:val="left"/>
        </w:tabs>
        <w:numPr>
          <w:ilvl w:val="0"/>
          <w:numId w:val="86"/>
        </w:numPr>
        <w:rPr>
          <w:rFonts w:ascii="Wingdings" w:cs="Wingdings" w:eastAsia="Wingdings" w:hAnsi="Wingdings"/>
          <w:sz w:val="40"/>
          <w:szCs w:val="40"/>
          <w:b w:val="1"/>
          <w:bCs w:val="1"/>
          <w:color w:val="0CD973"/>
        </w:rPr>
      </w:pPr>
      <w:r>
        <w:rPr>
          <w:rFonts w:ascii="Arial" w:cs="Arial" w:eastAsia="Arial" w:hAnsi="Arial"/>
          <w:sz w:val="22"/>
          <w:szCs w:val="22"/>
          <w:b w:val="1"/>
          <w:bCs w:val="1"/>
          <w:color w:val="51555C"/>
        </w:rPr>
        <w:t>appointment of Ernst &amp; Young LLP as our independent registered public accounting firm for the fiscal year ending December 31, 2026.</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51555C"/>
        </w:rPr>
        <w:t>The voting requirements for this Proposal 3 are described under "Additional Information" on page 81 of this Proxy Statement.</w:t>
      </w:r>
    </w:p>
    <w:p>
      <w:pPr>
        <w:spacing w:after="0" w:line="264"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AUDIT COMMITTEE REPORT</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Our Audit Committee has (1) reviewed and discussed with management the audited financial statements for the year ended December 31, 2025, (2) discussed with EY, our independent registered public accounting firm, the matters required to be discussed by the applicable requirements of the Public Company Accounting Oversight Board (“PCAOB”) and the SEC, and (3) received the written disclosures and the letter from EY required by the applicable requirements of the PCAOB regarding EY's communications with the Audit Committee concerning independence, and has discussed with EY its independence. Based upon these discussions and reviews, the Audit Committee recommended to the Board of Directors that the audited financial statements be included in our Annual Report on Form 10-K for the fiscal year ended December 31, 2025, which was filed with the SEC on February 18, 2026.</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51555C"/>
        </w:rPr>
        <w:t>Our Audit Committee is currently composed of the following three directors, all of whom are independent directors as defined in Rule 5605(a)</w:t>
      </w:r>
    </w:p>
    <w:p>
      <w:pPr>
        <w:spacing w:after="0" w:line="27" w:lineRule="exact"/>
        <w:rPr>
          <w:sz w:val="20"/>
          <w:szCs w:val="20"/>
          <w:color w:val="auto"/>
        </w:rPr>
      </w:pPr>
    </w:p>
    <w:p>
      <w:pPr>
        <w:jc w:val="both"/>
        <w:ind w:firstLine="8"/>
        <w:spacing w:after="0" w:line="256" w:lineRule="auto"/>
        <w:tabs>
          <w:tab w:leader="none" w:pos="276" w:val="left"/>
        </w:tabs>
        <w:numPr>
          <w:ilvl w:val="0"/>
          <w:numId w:val="87"/>
        </w:numPr>
        <w:rPr>
          <w:rFonts w:ascii="Arial" w:cs="Arial" w:eastAsia="Arial" w:hAnsi="Arial"/>
          <w:sz w:val="18"/>
          <w:szCs w:val="18"/>
          <w:color w:val="51555C"/>
        </w:rPr>
      </w:pPr>
      <w:r>
        <w:rPr>
          <w:rFonts w:ascii="Arial" w:cs="Arial" w:eastAsia="Arial" w:hAnsi="Arial"/>
          <w:sz w:val="18"/>
          <w:szCs w:val="18"/>
          <w:color w:val="51555C"/>
        </w:rPr>
        <w:t xml:space="preserve">of the Nasdaq Marketplace Rules and Section 10A(m)(3) of the Exchange Act: Chair D. Roger Nanney, Andrew M. Leitch and Kristian P. Talvitie. The Board of Directors has determined that Mr. Nanney, Mr. Leitch and Mr. Talvitie are “audit committee financial experts” as defined in Item 407(d) of Regulation S-K promulgated by the SEC. Our Audit Committee operates under a written charter adopted by the Board, a copy of which is available under </w:t>
      </w:r>
      <w:r>
        <w:rPr>
          <w:rFonts w:ascii="Arial" w:cs="Arial" w:eastAsia="Arial" w:hAnsi="Arial"/>
          <w:sz w:val="18"/>
          <w:szCs w:val="18"/>
          <w:i w:val="1"/>
          <w:iCs w:val="1"/>
          <w:color w:val="51555C"/>
        </w:rPr>
        <w:t>Corporate Governance</w:t>
      </w:r>
      <w:r>
        <w:rPr>
          <w:rFonts w:ascii="Arial" w:cs="Arial" w:eastAsia="Arial" w:hAnsi="Arial"/>
          <w:sz w:val="18"/>
          <w:szCs w:val="18"/>
          <w:color w:val="51555C"/>
        </w:rPr>
        <w:t xml:space="preserve"> in the </w:t>
      </w:r>
      <w:r>
        <w:rPr>
          <w:rFonts w:ascii="Arial" w:cs="Arial" w:eastAsia="Arial" w:hAnsi="Arial"/>
          <w:sz w:val="18"/>
          <w:szCs w:val="18"/>
          <w:i w:val="1"/>
          <w:iCs w:val="1"/>
          <w:color w:val="51555C"/>
        </w:rPr>
        <w:t>Company – Investor Relations</w:t>
      </w:r>
      <w:r>
        <w:rPr>
          <w:rFonts w:ascii="Arial" w:cs="Arial" w:eastAsia="Arial" w:hAnsi="Arial"/>
          <w:sz w:val="18"/>
          <w:szCs w:val="18"/>
          <w:color w:val="51555C"/>
        </w:rPr>
        <w:t xml:space="preserve"> section of our website at </w:t>
      </w:r>
      <w:r>
        <w:rPr>
          <w:rFonts w:ascii="Arial" w:cs="Arial" w:eastAsia="Arial" w:hAnsi="Arial"/>
          <w:sz w:val="18"/>
          <w:szCs w:val="18"/>
          <w:b w:val="1"/>
          <w:bCs w:val="1"/>
          <w:u w:val="single" w:color="auto"/>
          <w:color w:val="51555C"/>
        </w:rPr>
        <w:t>www.blackbaud.com</w:t>
      </w:r>
      <w:r>
        <w:rPr>
          <w:rFonts w:ascii="Arial" w:cs="Arial" w:eastAsia="Arial" w:hAnsi="Arial"/>
          <w:sz w:val="18"/>
          <w:szCs w:val="18"/>
          <w:color w:val="51555C"/>
        </w:rPr>
        <w:t>.</w:t>
      </w:r>
    </w:p>
    <w:p>
      <w:pPr>
        <w:spacing w:after="0" w:line="12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51555C"/>
        </w:rPr>
        <w:t>EY has served as our independent registered public accounting firm since 2021 and audited our consolidated financial statements for the years ended December 31, 2022 through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203200</wp:posOffset>
            </wp:positionV>
            <wp:extent cx="702945" cy="11112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79</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81" w:name="page82"/>
    <w:bookmarkEnd w:id="81"/>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AUDIT MATTERS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Summary of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The Audit Committee has adopted a policy for the pre-approval of all audit and permitted non-audit services that may be performed by our independent registered public accounting firm. Under this policy, each year, at the time it engages an independent registered public accounting firm, the Audit Committee pre-approves the engagement terms and fees and may also pre-approve detailed types of audit-related and permitted tax services, subject to certain dollar limits, to be performed during the year. All other permitted non-audit services are required to be pre-approved by the Audit Committee on an engagement-by-engagement basis.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The following table shows the fees for audit and other services provided by EY for fiscal years 2025 and 2024. All audit and other services provided by EY described below were provided pursuant to the pre-approval policies of the Audit Committee.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5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Category</w:t>
            </w:r>
          </w:p>
        </w:tc>
        <w:tc>
          <w:tcPr>
            <w:tcW w:w="540" w:type="dxa"/>
            <w:vAlign w:val="bottom"/>
            <w:tcBorders>
              <w:bottom w:val="single" w:sz="8" w:color="004054"/>
            </w:tcBorders>
            <w:shd w:val="clear" w:color="auto" w:fill="004054"/>
          </w:tcPr>
          <w:p>
            <w:pPr>
              <w:spacing w:after="0"/>
              <w:rPr>
                <w:sz w:val="20"/>
                <w:szCs w:val="20"/>
                <w:color w:val="auto"/>
              </w:rPr>
            </w:pPr>
          </w:p>
        </w:tc>
        <w:tc>
          <w:tcPr>
            <w:tcW w:w="13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540" w:type="dxa"/>
            <w:vAlign w:val="bottom"/>
            <w:tcBorders>
              <w:bottom w:val="single" w:sz="8" w:color="004054"/>
            </w:tcBorders>
            <w:shd w:val="clear" w:color="auto" w:fill="004054"/>
          </w:tcPr>
          <w:p>
            <w:pPr>
              <w:spacing w:after="0"/>
              <w:rPr>
                <w:sz w:val="20"/>
                <w:szCs w:val="20"/>
                <w:color w:val="auto"/>
              </w:rPr>
            </w:pPr>
          </w:p>
        </w:tc>
        <w:tc>
          <w:tcPr>
            <w:tcW w:w="13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r>
      <w:tr>
        <w:trPr>
          <w:trHeight w:val="304"/>
        </w:trPr>
        <w:tc>
          <w:tcPr>
            <w:tcW w:w="75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Audit Fees</w:t>
            </w:r>
          </w:p>
        </w:tc>
        <w:tc>
          <w:tcPr>
            <w:tcW w:w="540" w:type="dxa"/>
            <w:vAlign w:val="bottom"/>
            <w:tcBorders>
              <w:bottom w:val="single" w:sz="8" w:color="EBFBFF"/>
            </w:tcBorders>
            <w:shd w:val="clear" w:color="auto" w:fill="EBFBFF"/>
          </w:tcPr>
          <w:p>
            <w:pPr>
              <w:jc w:val="right"/>
              <w:ind w:right="330"/>
              <w:spacing w:after="0"/>
              <w:rPr>
                <w:sz w:val="20"/>
                <w:szCs w:val="20"/>
                <w:color w:val="auto"/>
              </w:rPr>
            </w:pPr>
            <w:r>
              <w:rPr>
                <w:rFonts w:ascii="Arial" w:cs="Arial" w:eastAsia="Arial" w:hAnsi="Arial"/>
                <w:sz w:val="18"/>
                <w:szCs w:val="18"/>
                <w:color w:val="51555C"/>
                <w:w w:val="99"/>
              </w:rPr>
              <w:t>$</w:t>
            </w:r>
          </w:p>
        </w:tc>
        <w:tc>
          <w:tcPr>
            <w:tcW w:w="13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2,356,458</w:t>
            </w:r>
          </w:p>
        </w:tc>
        <w:tc>
          <w:tcPr>
            <w:tcW w:w="540" w:type="dxa"/>
            <w:vAlign w:val="bottom"/>
            <w:tcBorders>
              <w:bottom w:val="single" w:sz="8" w:color="EBFBFF"/>
            </w:tcBorders>
            <w:shd w:val="clear" w:color="auto" w:fill="EBFBFF"/>
          </w:tcPr>
          <w:p>
            <w:pPr>
              <w:jc w:val="right"/>
              <w:ind w:right="330"/>
              <w:spacing w:after="0"/>
              <w:rPr>
                <w:sz w:val="20"/>
                <w:szCs w:val="20"/>
                <w:color w:val="auto"/>
              </w:rPr>
            </w:pPr>
            <w:r>
              <w:rPr>
                <w:rFonts w:ascii="Arial" w:cs="Arial" w:eastAsia="Arial" w:hAnsi="Arial"/>
                <w:sz w:val="18"/>
                <w:szCs w:val="18"/>
                <w:color w:val="51555C"/>
                <w:w w:val="99"/>
              </w:rPr>
              <w:t>$</w:t>
            </w:r>
          </w:p>
        </w:tc>
        <w:tc>
          <w:tcPr>
            <w:tcW w:w="13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2,065,069</w:t>
            </w:r>
          </w:p>
        </w:tc>
      </w:tr>
      <w:tr>
        <w:trPr>
          <w:trHeight w:val="301"/>
        </w:trPr>
        <w:tc>
          <w:tcPr>
            <w:tcW w:w="7540" w:type="dxa"/>
            <w:vAlign w:val="bottom"/>
          </w:tcPr>
          <w:p>
            <w:pPr>
              <w:ind w:left="20"/>
              <w:spacing w:after="0"/>
              <w:rPr>
                <w:sz w:val="20"/>
                <w:szCs w:val="20"/>
                <w:color w:val="auto"/>
              </w:rPr>
            </w:pPr>
            <w:r>
              <w:rPr>
                <w:rFonts w:ascii="Arial" w:cs="Arial" w:eastAsia="Arial" w:hAnsi="Arial"/>
                <w:sz w:val="18"/>
                <w:szCs w:val="18"/>
                <w:color w:val="51555C"/>
              </w:rPr>
              <w:t>Audit-Related Fees</w:t>
            </w:r>
          </w:p>
        </w:tc>
        <w:tc>
          <w:tcPr>
            <w:tcW w:w="5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51555C"/>
              </w:rPr>
              <w:t>—</w:t>
            </w:r>
          </w:p>
        </w:tc>
        <w:tc>
          <w:tcPr>
            <w:tcW w:w="5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51555C"/>
              </w:rPr>
              <w:t>—</w:t>
            </w:r>
          </w:p>
        </w:tc>
      </w:tr>
      <w:tr>
        <w:trPr>
          <w:trHeight w:val="23"/>
        </w:trPr>
        <w:tc>
          <w:tcPr>
            <w:tcW w:w="7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04"/>
        </w:trPr>
        <w:tc>
          <w:tcPr>
            <w:tcW w:w="75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Tax Fees</w:t>
            </w:r>
          </w:p>
        </w:tc>
        <w:tc>
          <w:tcPr>
            <w:tcW w:w="540" w:type="dxa"/>
            <w:vAlign w:val="bottom"/>
            <w:tcBorders>
              <w:bottom w:val="single" w:sz="8" w:color="EBFBFF"/>
            </w:tcBorders>
            <w:shd w:val="clear" w:color="auto" w:fill="EBFBFF"/>
          </w:tcPr>
          <w:p>
            <w:pPr>
              <w:spacing w:after="0"/>
              <w:rPr>
                <w:sz w:val="24"/>
                <w:szCs w:val="24"/>
                <w:color w:val="auto"/>
              </w:rPr>
            </w:pPr>
          </w:p>
        </w:tc>
        <w:tc>
          <w:tcPr>
            <w:tcW w:w="13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21,560</w:t>
            </w:r>
          </w:p>
        </w:tc>
        <w:tc>
          <w:tcPr>
            <w:tcW w:w="540" w:type="dxa"/>
            <w:vAlign w:val="bottom"/>
            <w:tcBorders>
              <w:bottom w:val="single" w:sz="8" w:color="EBFBFF"/>
            </w:tcBorders>
            <w:shd w:val="clear" w:color="auto" w:fill="EBFBFF"/>
          </w:tcPr>
          <w:p>
            <w:pPr>
              <w:spacing w:after="0"/>
              <w:rPr>
                <w:sz w:val="24"/>
                <w:szCs w:val="24"/>
                <w:color w:val="auto"/>
              </w:rPr>
            </w:pPr>
          </w:p>
        </w:tc>
        <w:tc>
          <w:tcPr>
            <w:tcW w:w="13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114,642</w:t>
            </w:r>
          </w:p>
        </w:tc>
      </w:tr>
      <w:tr>
        <w:trPr>
          <w:trHeight w:val="301"/>
        </w:trPr>
        <w:tc>
          <w:tcPr>
            <w:tcW w:w="7540" w:type="dxa"/>
            <w:vAlign w:val="bottom"/>
          </w:tcPr>
          <w:p>
            <w:pPr>
              <w:ind w:left="20"/>
              <w:spacing w:after="0"/>
              <w:rPr>
                <w:sz w:val="20"/>
                <w:szCs w:val="20"/>
                <w:color w:val="auto"/>
              </w:rPr>
            </w:pPr>
            <w:r>
              <w:rPr>
                <w:rFonts w:ascii="Arial" w:cs="Arial" w:eastAsia="Arial" w:hAnsi="Arial"/>
                <w:sz w:val="18"/>
                <w:szCs w:val="18"/>
                <w:color w:val="51555C"/>
              </w:rPr>
              <w:t>All Other Fees</w:t>
            </w:r>
          </w:p>
        </w:tc>
        <w:tc>
          <w:tcPr>
            <w:tcW w:w="5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51555C"/>
              </w:rPr>
              <w:t>—</w:t>
            </w:r>
          </w:p>
        </w:tc>
        <w:tc>
          <w:tcPr>
            <w:tcW w:w="5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51555C"/>
              </w:rPr>
              <w:t>—</w:t>
            </w:r>
          </w:p>
        </w:tc>
      </w:tr>
      <w:tr>
        <w:trPr>
          <w:trHeight w:val="23"/>
        </w:trPr>
        <w:tc>
          <w:tcPr>
            <w:tcW w:w="7540" w:type="dxa"/>
            <w:vAlign w:val="bottom"/>
            <w:tcBorders>
              <w:bottom w:val="single" w:sz="8" w:color="EBFBFF"/>
            </w:tcBorders>
          </w:tcPr>
          <w:p>
            <w:pPr>
              <w:spacing w:after="0"/>
              <w:rPr>
                <w:sz w:val="2"/>
                <w:szCs w:val="2"/>
                <w:color w:val="auto"/>
              </w:rPr>
            </w:pPr>
          </w:p>
        </w:tc>
        <w:tc>
          <w:tcPr>
            <w:tcW w:w="540" w:type="dxa"/>
            <w:vAlign w:val="bottom"/>
            <w:tcBorders>
              <w:bottom w:val="single" w:sz="8" w:color="51555C"/>
            </w:tcBorders>
          </w:tcPr>
          <w:p>
            <w:pPr>
              <w:spacing w:after="0"/>
              <w:rPr>
                <w:sz w:val="2"/>
                <w:szCs w:val="2"/>
                <w:color w:val="auto"/>
              </w:rPr>
            </w:pPr>
          </w:p>
        </w:tc>
        <w:tc>
          <w:tcPr>
            <w:tcW w:w="1300" w:type="dxa"/>
            <w:vAlign w:val="bottom"/>
            <w:tcBorders>
              <w:bottom w:val="single" w:sz="8" w:color="51555C"/>
            </w:tcBorders>
          </w:tcPr>
          <w:p>
            <w:pPr>
              <w:spacing w:after="0"/>
              <w:rPr>
                <w:sz w:val="2"/>
                <w:szCs w:val="2"/>
                <w:color w:val="auto"/>
              </w:rPr>
            </w:pPr>
          </w:p>
        </w:tc>
        <w:tc>
          <w:tcPr>
            <w:tcW w:w="540" w:type="dxa"/>
            <w:vAlign w:val="bottom"/>
            <w:tcBorders>
              <w:bottom w:val="single" w:sz="8" w:color="51555C"/>
            </w:tcBorders>
          </w:tcPr>
          <w:p>
            <w:pPr>
              <w:spacing w:after="0"/>
              <w:rPr>
                <w:sz w:val="2"/>
                <w:szCs w:val="2"/>
                <w:color w:val="auto"/>
              </w:rPr>
            </w:pPr>
          </w:p>
        </w:tc>
        <w:tc>
          <w:tcPr>
            <w:tcW w:w="1300" w:type="dxa"/>
            <w:vAlign w:val="bottom"/>
            <w:tcBorders>
              <w:bottom w:val="single" w:sz="8" w:color="51555C"/>
            </w:tcBorders>
          </w:tcPr>
          <w:p>
            <w:pPr>
              <w:spacing w:after="0"/>
              <w:rPr>
                <w:sz w:val="2"/>
                <w:szCs w:val="2"/>
                <w:color w:val="auto"/>
              </w:rPr>
            </w:pPr>
          </w:p>
        </w:tc>
      </w:tr>
      <w:tr>
        <w:trPr>
          <w:trHeight w:val="311"/>
        </w:trPr>
        <w:tc>
          <w:tcPr>
            <w:tcW w:w="7540" w:type="dxa"/>
            <w:vAlign w:val="bottom"/>
            <w:tcBorders>
              <w:bottom w:val="single" w:sz="8" w:color="0CD973"/>
            </w:tcBorders>
            <w:shd w:val="clear" w:color="auto" w:fill="EBFBFF"/>
          </w:tcPr>
          <w:p>
            <w:pPr>
              <w:ind w:left="240"/>
              <w:spacing w:after="0"/>
              <w:rPr>
                <w:sz w:val="20"/>
                <w:szCs w:val="20"/>
                <w:color w:val="auto"/>
              </w:rPr>
            </w:pPr>
            <w:r>
              <w:rPr>
                <w:rFonts w:ascii="Arial" w:cs="Arial" w:eastAsia="Arial" w:hAnsi="Arial"/>
                <w:sz w:val="18"/>
                <w:szCs w:val="18"/>
                <w:b w:val="1"/>
                <w:bCs w:val="1"/>
                <w:color w:val="51555C"/>
              </w:rPr>
              <w:t>Total</w:t>
            </w:r>
          </w:p>
        </w:tc>
        <w:tc>
          <w:tcPr>
            <w:tcW w:w="540" w:type="dxa"/>
            <w:vAlign w:val="bottom"/>
            <w:tcBorders>
              <w:bottom w:val="single" w:sz="8" w:color="0CD973"/>
            </w:tcBorders>
            <w:shd w:val="clear" w:color="auto" w:fill="EBFBFF"/>
          </w:tcPr>
          <w:p>
            <w:pPr>
              <w:jc w:val="right"/>
              <w:ind w:right="330"/>
              <w:spacing w:after="0"/>
              <w:rPr>
                <w:sz w:val="20"/>
                <w:szCs w:val="20"/>
                <w:color w:val="auto"/>
              </w:rPr>
            </w:pPr>
            <w:r>
              <w:rPr>
                <w:rFonts w:ascii="Arial" w:cs="Arial" w:eastAsia="Arial" w:hAnsi="Arial"/>
                <w:sz w:val="18"/>
                <w:szCs w:val="18"/>
                <w:b w:val="1"/>
                <w:bCs w:val="1"/>
                <w:color w:val="51555C"/>
                <w:w w:val="99"/>
              </w:rPr>
              <w:t>$</w:t>
            </w:r>
          </w:p>
        </w:tc>
        <w:tc>
          <w:tcPr>
            <w:tcW w:w="130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b w:val="1"/>
                <w:bCs w:val="1"/>
                <w:color w:val="51555C"/>
              </w:rPr>
              <w:t>2,378,018</w:t>
            </w:r>
          </w:p>
        </w:tc>
        <w:tc>
          <w:tcPr>
            <w:tcW w:w="540" w:type="dxa"/>
            <w:vAlign w:val="bottom"/>
            <w:tcBorders>
              <w:bottom w:val="single" w:sz="8" w:color="0CD973"/>
            </w:tcBorders>
            <w:shd w:val="clear" w:color="auto" w:fill="EBFBFF"/>
          </w:tcPr>
          <w:p>
            <w:pPr>
              <w:jc w:val="right"/>
              <w:ind w:right="330"/>
              <w:spacing w:after="0"/>
              <w:rPr>
                <w:sz w:val="20"/>
                <w:szCs w:val="20"/>
                <w:color w:val="auto"/>
              </w:rPr>
            </w:pPr>
            <w:r>
              <w:rPr>
                <w:rFonts w:ascii="Arial" w:cs="Arial" w:eastAsia="Arial" w:hAnsi="Arial"/>
                <w:sz w:val="18"/>
                <w:szCs w:val="18"/>
                <w:b w:val="1"/>
                <w:bCs w:val="1"/>
                <w:color w:val="51555C"/>
                <w:w w:val="99"/>
              </w:rPr>
              <w:t>$</w:t>
            </w:r>
          </w:p>
        </w:tc>
        <w:tc>
          <w:tcPr>
            <w:tcW w:w="130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b w:val="1"/>
                <w:bCs w:val="1"/>
                <w:color w:val="51555C"/>
              </w:rPr>
              <w:t>2,179,711</w:t>
            </w:r>
          </w:p>
        </w:tc>
      </w:tr>
    </w:tbl>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This category consists of fees associated with the annual audit of financial statements and the audit of internal control over financial reporting, the reviews of our Quarterly Reports on Form 10-Q and other registration statements and regulatory filings.</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This category consists of fees for services that are reasonably related to the performance of the audit or review of financial statements and are not included in “Audit Fees.”</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Tax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This category consists of fees for services rendered for tax compliance, tax advice and tax planning. In 2025, we incurred approximately $21,560 for tax compliance and $0 for tax advice and tax planning. In 2024, we incurred approximately $16,792 for tax compliance and $97,850 for tax advice and tax planning.</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Our Audit Committee has considered whether, and determined that, the provision of the non-audit services rendered to us during 2025 and 2024 was compatible with maintaining the independence of EY.</w:t>
      </w:r>
    </w:p>
    <w:p>
      <w:pPr>
        <w:spacing w:after="0" w:line="99" w:lineRule="exact"/>
        <w:rPr>
          <w:sz w:val="20"/>
          <w:szCs w:val="20"/>
          <w:color w:val="auto"/>
        </w:rPr>
      </w:pPr>
    </w:p>
    <w:p>
      <w:pPr>
        <w:ind w:left="5840"/>
        <w:spacing w:after="0"/>
        <w:rPr>
          <w:sz w:val="20"/>
          <w:szCs w:val="20"/>
          <w:color w:val="auto"/>
        </w:rPr>
      </w:pPr>
      <w:r>
        <w:rPr>
          <w:rFonts w:ascii="Arial" w:cs="Arial" w:eastAsia="Arial" w:hAnsi="Arial"/>
          <w:sz w:val="18"/>
          <w:szCs w:val="18"/>
          <w:color w:val="51555C"/>
        </w:rPr>
        <w:t>THE AUDIT COMMITTEE OF</w:t>
      </w:r>
    </w:p>
    <w:p>
      <w:pPr>
        <w:spacing w:after="0" w:line="27" w:lineRule="exact"/>
        <w:rPr>
          <w:sz w:val="20"/>
          <w:szCs w:val="20"/>
          <w:color w:val="auto"/>
        </w:rPr>
      </w:pPr>
    </w:p>
    <w:p>
      <w:pPr>
        <w:ind w:left="5840"/>
        <w:spacing w:after="0"/>
        <w:rPr>
          <w:sz w:val="20"/>
          <w:szCs w:val="20"/>
          <w:color w:val="auto"/>
        </w:rPr>
      </w:pPr>
      <w:r>
        <w:rPr>
          <w:rFonts w:ascii="Arial" w:cs="Arial" w:eastAsia="Arial" w:hAnsi="Arial"/>
          <w:sz w:val="18"/>
          <w:szCs w:val="18"/>
          <w:color w:val="51555C"/>
        </w:rPr>
        <w:t>THE BOARD OF DIRECTORS</w:t>
      </w:r>
    </w:p>
    <w:p>
      <w:pPr>
        <w:spacing w:after="0" w:line="99" w:lineRule="exact"/>
        <w:rPr>
          <w:sz w:val="20"/>
          <w:szCs w:val="20"/>
          <w:color w:val="auto"/>
        </w:rPr>
      </w:pPr>
    </w:p>
    <w:p>
      <w:pPr>
        <w:ind w:left="5840"/>
        <w:spacing w:after="0"/>
        <w:rPr>
          <w:sz w:val="20"/>
          <w:szCs w:val="20"/>
          <w:color w:val="auto"/>
        </w:rPr>
      </w:pPr>
      <w:r>
        <w:rPr>
          <w:rFonts w:ascii="Arial" w:cs="Arial" w:eastAsia="Arial" w:hAnsi="Arial"/>
          <w:sz w:val="18"/>
          <w:szCs w:val="18"/>
          <w:color w:val="51555C"/>
        </w:rPr>
        <w:t>D. Roger Nanney, Chair</w:t>
      </w:r>
    </w:p>
    <w:p>
      <w:pPr>
        <w:spacing w:after="0" w:line="27" w:lineRule="exact"/>
        <w:rPr>
          <w:sz w:val="20"/>
          <w:szCs w:val="20"/>
          <w:color w:val="auto"/>
        </w:rPr>
      </w:pPr>
    </w:p>
    <w:p>
      <w:pPr>
        <w:ind w:left="5840"/>
        <w:spacing w:after="0"/>
        <w:rPr>
          <w:sz w:val="20"/>
          <w:szCs w:val="20"/>
          <w:color w:val="auto"/>
        </w:rPr>
      </w:pPr>
      <w:r>
        <w:rPr>
          <w:rFonts w:ascii="Arial" w:cs="Arial" w:eastAsia="Arial" w:hAnsi="Arial"/>
          <w:sz w:val="18"/>
          <w:szCs w:val="18"/>
          <w:color w:val="51555C"/>
        </w:rPr>
        <w:t>Andrew M. Leitch</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51555C"/>
        </w:rPr>
        <w:t>Kristian P. Talvitie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80</w:t>
      </w:r>
      <w:r>
        <w:rPr>
          <w:sz w:val="20"/>
          <w:szCs w:val="20"/>
          <w:color w:val="auto"/>
        </w:rPr>
        <w:tab/>
      </w:r>
      <w:r>
        <w:rPr>
          <w:sz w:val="1"/>
          <w:szCs w:val="1"/>
          <w:color w:val="auto"/>
        </w:rPr>
        <w:drawing>
          <wp:inline distT="0" distB="0" distL="0" distR="0">
            <wp:extent cx="702945" cy="111125"/>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82" w:name="page83"/>
    <w:bookmarkEnd w:id="82"/>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sz w:val="1"/>
          <w:szCs w:val="1"/>
          <w:color w:val="auto"/>
        </w:rPr>
        <w:drawing>
          <wp:inline distT="0" distB="0" distL="0" distR="0">
            <wp:extent cx="257175" cy="257175"/>
            <wp:effectExtent l="0" t="0" r="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Arial" w:cs="Arial" w:eastAsia="Arial" w:hAnsi="Arial"/>
          <w:sz w:val="40"/>
          <w:szCs w:val="40"/>
          <w:b w:val="1"/>
          <w:bCs w:val="1"/>
          <w:color w:val="50535A"/>
        </w:rPr>
        <w:t xml:space="preserve"> ADDITIONAL INFORMATION</w:t>
      </w:r>
    </w:p>
    <w:p>
      <w:pPr>
        <w:spacing w:after="0" w:line="360" w:lineRule="exact"/>
        <w:rPr>
          <w:sz w:val="20"/>
          <w:szCs w:val="20"/>
          <w:color w:val="auto"/>
        </w:rPr>
      </w:pPr>
    </w:p>
    <w:p>
      <w:pPr>
        <w:ind w:right="1640"/>
        <w:spacing w:after="0" w:line="288" w:lineRule="auto"/>
        <w:rPr>
          <w:sz w:val="20"/>
          <w:szCs w:val="20"/>
          <w:color w:val="auto"/>
        </w:rPr>
      </w:pPr>
      <w:r>
        <w:rPr>
          <w:rFonts w:ascii="Arial" w:cs="Arial" w:eastAsia="Arial" w:hAnsi="Arial"/>
          <w:sz w:val="29"/>
          <w:szCs w:val="29"/>
          <w:b w:val="1"/>
          <w:bCs w:val="1"/>
          <w:color w:val="004054"/>
        </w:rPr>
        <w:t>QUESTIONS AND ANSWERS ABOUT THE 2026 ANNUAL MEETING OF STOCKHOLDERS</w:t>
      </w:r>
    </w:p>
    <w:p>
      <w:pPr>
        <w:spacing w:after="0" w:line="339" w:lineRule="exact"/>
        <w:rPr>
          <w:sz w:val="20"/>
          <w:szCs w:val="20"/>
          <w:color w:val="auto"/>
        </w:rPr>
      </w:pPr>
    </w:p>
    <w:p>
      <w:pPr>
        <w:ind w:left="560" w:hanging="534"/>
        <w:spacing w:after="0"/>
        <w:tabs>
          <w:tab w:leader="none" w:pos="560" w:val="left"/>
        </w:tabs>
        <w:numPr>
          <w:ilvl w:val="0"/>
          <w:numId w:val="88"/>
        </w:numPr>
        <w:rPr>
          <w:rFonts w:ascii="Arial" w:cs="Arial" w:eastAsia="Arial" w:hAnsi="Arial"/>
          <w:sz w:val="22"/>
          <w:szCs w:val="22"/>
          <w:b w:val="1"/>
          <w:bCs w:val="1"/>
          <w:color w:val="006880"/>
        </w:rPr>
      </w:pPr>
      <w:r>
        <w:rPr>
          <w:rFonts w:ascii="Arial" w:cs="Arial" w:eastAsia="Arial" w:hAnsi="Arial"/>
          <w:sz w:val="22"/>
          <w:szCs w:val="22"/>
          <w:b w:val="1"/>
          <w:bCs w:val="1"/>
          <w:color w:val="006880"/>
        </w:rPr>
        <w:t>Who may vote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The Board set April 13, 2026 as the record date for the meeting. If you owned shares of our common stock at the close of business on April 13, 2026, you may attend and vote at the virtual meeting. Each stockholder is entitled to one vote for each share of common stock held on all matters to be voted on.</w:t>
      </w:r>
    </w:p>
    <w:p>
      <w:pPr>
        <w:spacing w:after="0" w:line="390" w:lineRule="exact"/>
        <w:rPr>
          <w:sz w:val="20"/>
          <w:szCs w:val="20"/>
          <w:color w:val="auto"/>
        </w:rPr>
      </w:pPr>
    </w:p>
    <w:p>
      <w:pPr>
        <w:ind w:left="560" w:hanging="534"/>
        <w:spacing w:after="0"/>
        <w:tabs>
          <w:tab w:leader="none" w:pos="560" w:val="left"/>
        </w:tabs>
        <w:numPr>
          <w:ilvl w:val="0"/>
          <w:numId w:val="89"/>
        </w:numPr>
        <w:rPr>
          <w:rFonts w:ascii="Arial" w:cs="Arial" w:eastAsia="Arial" w:hAnsi="Arial"/>
          <w:sz w:val="22"/>
          <w:szCs w:val="22"/>
          <w:b w:val="1"/>
          <w:bCs w:val="1"/>
          <w:color w:val="006880"/>
        </w:rPr>
      </w:pPr>
      <w:r>
        <w:rPr>
          <w:rFonts w:ascii="Arial" w:cs="Arial" w:eastAsia="Arial" w:hAnsi="Arial"/>
          <w:sz w:val="22"/>
          <w:szCs w:val="22"/>
          <w:b w:val="1"/>
          <w:bCs w:val="1"/>
          <w:color w:val="006880"/>
        </w:rPr>
        <w:t>What is the difference between holding shares as a stockholder of record and as a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If your shares are registered directly in your name with our transfer agent, Broadridge Corporate Issuer Solutions, LLC, you are considered, with respect to those shares, the stockholder of record. As the stockholder of record, you have the right to vote electronically at the meeting.</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If your shares are held in a brokerage account or by another nominee or trustee, you are considered the beneficial owner of shares held in street name. In that case, the Notice of Internet Availability of Proxy Materials or proxy materials have been forwarded to you by your broker, bank or other holder of record who is considered, with respect to those shares, the stockholder of record. As the beneficial owner, you have the right to direct your broker, bank or other holder of record on how to vote your shares by using the voting instructions included in the Notice of Internet Availability of Proxy Materials or proxy materials.</w:t>
      </w:r>
    </w:p>
    <w:p>
      <w:pPr>
        <w:spacing w:after="0" w:line="399" w:lineRule="exact"/>
        <w:rPr>
          <w:sz w:val="20"/>
          <w:szCs w:val="20"/>
          <w:color w:val="auto"/>
        </w:rPr>
      </w:pPr>
    </w:p>
    <w:p>
      <w:pPr>
        <w:ind w:left="560" w:hanging="534"/>
        <w:spacing w:after="0"/>
        <w:tabs>
          <w:tab w:leader="none" w:pos="560" w:val="left"/>
        </w:tabs>
        <w:numPr>
          <w:ilvl w:val="0"/>
          <w:numId w:val="90"/>
        </w:numPr>
        <w:rPr>
          <w:rFonts w:ascii="Arial" w:cs="Arial" w:eastAsia="Arial" w:hAnsi="Arial"/>
          <w:sz w:val="22"/>
          <w:szCs w:val="22"/>
          <w:b w:val="1"/>
          <w:bCs w:val="1"/>
          <w:color w:val="006880"/>
        </w:rPr>
      </w:pPr>
      <w:r>
        <w:rPr>
          <w:rFonts w:ascii="Arial" w:cs="Arial" w:eastAsia="Arial" w:hAnsi="Arial"/>
          <w:sz w:val="22"/>
          <w:szCs w:val="22"/>
          <w:b w:val="1"/>
          <w:bCs w:val="1"/>
          <w:color w:val="006880"/>
        </w:rPr>
        <w:t>What is the quorum requirement for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A majority of our outstanding shares of capital stock entitled to vote as of the record date must be present at the 2026 Annual Meeting of Stockholders in order to hold the meeting and conduct business. This is called a quorum.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51555C"/>
        </w:rPr>
        <w:t>Your shares will be counted as present at the meeting if you:</w:t>
      </w:r>
    </w:p>
    <w:p>
      <w:pPr>
        <w:spacing w:after="0" w:line="63" w:lineRule="exact"/>
        <w:rPr>
          <w:sz w:val="20"/>
          <w:szCs w:val="20"/>
          <w:color w:val="auto"/>
        </w:rPr>
      </w:pPr>
    </w:p>
    <w:p>
      <w:pPr>
        <w:ind w:left="460" w:hanging="128"/>
        <w:spacing w:after="0"/>
        <w:tabs>
          <w:tab w:leader="none" w:pos="460" w:val="left"/>
        </w:tabs>
        <w:numPr>
          <w:ilvl w:val="0"/>
          <w:numId w:val="91"/>
        </w:numPr>
        <w:rPr>
          <w:rFonts w:ascii="Arial" w:cs="Arial" w:eastAsia="Arial" w:hAnsi="Arial"/>
          <w:sz w:val="18"/>
          <w:szCs w:val="18"/>
          <w:color w:val="51555C"/>
        </w:rPr>
      </w:pPr>
      <w:r>
        <w:rPr>
          <w:rFonts w:ascii="Arial" w:cs="Arial" w:eastAsia="Arial" w:hAnsi="Arial"/>
          <w:sz w:val="18"/>
          <w:szCs w:val="18"/>
          <w:color w:val="51555C"/>
        </w:rPr>
        <w:t>Are present electronically at the virtual meeting; or</w:t>
      </w:r>
    </w:p>
    <w:p>
      <w:pPr>
        <w:spacing w:after="0" w:line="63" w:lineRule="exact"/>
        <w:rPr>
          <w:rFonts w:ascii="Arial" w:cs="Arial" w:eastAsia="Arial" w:hAnsi="Arial"/>
          <w:sz w:val="18"/>
          <w:szCs w:val="18"/>
          <w:color w:val="51555C"/>
        </w:rPr>
      </w:pPr>
    </w:p>
    <w:p>
      <w:pPr>
        <w:ind w:left="460" w:hanging="128"/>
        <w:spacing w:after="0"/>
        <w:tabs>
          <w:tab w:leader="none" w:pos="460" w:val="left"/>
        </w:tabs>
        <w:numPr>
          <w:ilvl w:val="0"/>
          <w:numId w:val="91"/>
        </w:numPr>
        <w:rPr>
          <w:rFonts w:ascii="Arial" w:cs="Arial" w:eastAsia="Arial" w:hAnsi="Arial"/>
          <w:sz w:val="18"/>
          <w:szCs w:val="18"/>
          <w:color w:val="51555C"/>
        </w:rPr>
      </w:pPr>
      <w:r>
        <w:rPr>
          <w:rFonts w:ascii="Arial" w:cs="Arial" w:eastAsia="Arial" w:hAnsi="Arial"/>
          <w:sz w:val="18"/>
          <w:szCs w:val="18"/>
          <w:color w:val="51555C"/>
        </w:rPr>
        <w:t>Have voted by Internet, telephone, or properly submitted a Proxy Card or Voter Instruction Card.</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If you are present electronically or by proxy at the virtual meeting, but abstain from voting on any or all proposals, your shares are still counted as present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203200</wp:posOffset>
            </wp:positionV>
            <wp:extent cx="702945" cy="11112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81</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83" w:name="page84"/>
    <w:bookmarkEnd w:id="83"/>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ADDITIONAL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100"/>
          </w:cols>
          <w:pgMar w:left="320" w:top="33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0" w:hanging="534"/>
        <w:spacing w:after="0"/>
        <w:tabs>
          <w:tab w:leader="none" w:pos="560" w:val="left"/>
        </w:tabs>
        <w:numPr>
          <w:ilvl w:val="0"/>
          <w:numId w:val="92"/>
        </w:numPr>
        <w:rPr>
          <w:rFonts w:ascii="Arial" w:cs="Arial" w:eastAsia="Arial" w:hAnsi="Arial"/>
          <w:sz w:val="22"/>
          <w:szCs w:val="22"/>
          <w:b w:val="1"/>
          <w:bCs w:val="1"/>
          <w:color w:val="006880"/>
        </w:rPr>
      </w:pPr>
      <w:r>
        <w:rPr>
          <w:rFonts w:ascii="Arial" w:cs="Arial" w:eastAsia="Arial" w:hAnsi="Arial"/>
          <w:sz w:val="22"/>
          <w:szCs w:val="22"/>
          <w:b w:val="1"/>
          <w:bCs w:val="1"/>
          <w:color w:val="006880"/>
        </w:rPr>
        <w:t>What proposals will be voted on at the meeting and what are the voting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51555C"/>
        </w:rPr>
        <w:t>The three proposals to be voted on at the 2026 Annual Meeting of Stockholders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0" w:type="dxa"/>
            <w:vAlign w:val="bottom"/>
            <w:shd w:val="clear" w:color="auto" w:fill="004054"/>
          </w:tcPr>
          <w:p>
            <w:pPr>
              <w:spacing w:after="0"/>
              <w:rPr>
                <w:sz w:val="16"/>
                <w:szCs w:val="16"/>
                <w:color w:val="auto"/>
              </w:rPr>
            </w:pPr>
          </w:p>
        </w:tc>
        <w:tc>
          <w:tcPr>
            <w:tcW w:w="3140" w:type="dxa"/>
            <w:vAlign w:val="bottom"/>
            <w:shd w:val="clear" w:color="auto" w:fill="004054"/>
          </w:tcPr>
          <w:p>
            <w:pPr>
              <w:spacing w:after="0"/>
              <w:rPr>
                <w:sz w:val="16"/>
                <w:szCs w:val="16"/>
                <w:color w:val="auto"/>
              </w:rPr>
            </w:pPr>
          </w:p>
        </w:tc>
        <w:tc>
          <w:tcPr>
            <w:tcW w:w="1410" w:type="dxa"/>
            <w:vAlign w:val="bottom"/>
            <w:shd w:val="clear" w:color="auto" w:fill="004054"/>
          </w:tcPr>
          <w:p>
            <w:pPr>
              <w:ind w:left="20"/>
              <w:spacing w:after="0"/>
              <w:rPr>
                <w:sz w:val="20"/>
                <w:szCs w:val="20"/>
                <w:color w:val="auto"/>
              </w:rPr>
            </w:pPr>
            <w:r>
              <w:rPr>
                <w:rFonts w:ascii="Arial" w:cs="Arial" w:eastAsia="Arial" w:hAnsi="Arial"/>
                <w:sz w:val="14"/>
                <w:szCs w:val="14"/>
                <w:b w:val="1"/>
                <w:bCs w:val="1"/>
                <w:color w:val="FFFFFF"/>
              </w:rPr>
              <w:t>Board's Voting</w:t>
            </w:r>
          </w:p>
        </w:tc>
        <w:tc>
          <w:tcPr>
            <w:tcW w:w="2140" w:type="dxa"/>
            <w:vAlign w:val="bottom"/>
            <w:shd w:val="clear" w:color="auto" w:fill="004054"/>
          </w:tcPr>
          <w:p>
            <w:pPr>
              <w:ind w:left="10"/>
              <w:spacing w:after="0"/>
              <w:rPr>
                <w:sz w:val="20"/>
                <w:szCs w:val="20"/>
                <w:color w:val="auto"/>
              </w:rPr>
            </w:pPr>
            <w:r>
              <w:rPr>
                <w:rFonts w:ascii="Arial" w:cs="Arial" w:eastAsia="Arial" w:hAnsi="Arial"/>
                <w:sz w:val="14"/>
                <w:szCs w:val="14"/>
                <w:b w:val="1"/>
                <w:bCs w:val="1"/>
                <w:color w:val="FFFFFF"/>
              </w:rPr>
              <w:t>Voting</w:t>
            </w:r>
          </w:p>
        </w:tc>
        <w:tc>
          <w:tcPr>
            <w:tcW w:w="2470" w:type="dxa"/>
            <w:vAlign w:val="bottom"/>
            <w:shd w:val="clear" w:color="auto" w:fill="004054"/>
          </w:tcPr>
          <w:p>
            <w:pPr>
              <w:ind w:left="30"/>
              <w:spacing w:after="0"/>
              <w:rPr>
                <w:sz w:val="20"/>
                <w:szCs w:val="20"/>
                <w:color w:val="auto"/>
              </w:rPr>
            </w:pPr>
            <w:r>
              <w:rPr>
                <w:rFonts w:ascii="Arial" w:cs="Arial" w:eastAsia="Arial" w:hAnsi="Arial"/>
                <w:sz w:val="14"/>
                <w:szCs w:val="14"/>
                <w:b w:val="1"/>
                <w:bCs w:val="1"/>
                <w:color w:val="FFFFFF"/>
              </w:rPr>
              <w:t>Treatment of</w:t>
            </w:r>
          </w:p>
        </w:tc>
        <w:tc>
          <w:tcPr>
            <w:tcW w:w="1560" w:type="dxa"/>
            <w:vAlign w:val="bottom"/>
            <w:shd w:val="clear" w:color="auto" w:fill="004054"/>
          </w:tcPr>
          <w:p>
            <w:pPr>
              <w:ind w:left="20"/>
              <w:spacing w:after="0"/>
              <w:rPr>
                <w:sz w:val="20"/>
                <w:szCs w:val="20"/>
                <w:color w:val="auto"/>
              </w:rPr>
            </w:pPr>
            <w:r>
              <w:rPr>
                <w:rFonts w:ascii="Arial" w:cs="Arial" w:eastAsia="Arial" w:hAnsi="Arial"/>
                <w:sz w:val="14"/>
                <w:szCs w:val="14"/>
                <w:b w:val="1"/>
                <w:bCs w:val="1"/>
                <w:color w:val="FFFFFF"/>
              </w:rPr>
              <w:t>Treatment of Broker</w:t>
            </w:r>
          </w:p>
        </w:tc>
        <w:tc>
          <w:tcPr>
            <w:tcW w:w="20" w:type="dxa"/>
            <w:vAlign w:val="bottom"/>
            <w:shd w:val="clear" w:color="auto" w:fill="004054"/>
          </w:tcPr>
          <w:p>
            <w:pPr>
              <w:spacing w:after="0"/>
              <w:rPr>
                <w:sz w:val="16"/>
                <w:szCs w:val="16"/>
                <w:color w:val="auto"/>
              </w:rPr>
            </w:pPr>
          </w:p>
        </w:tc>
      </w:tr>
      <w:tr>
        <w:trPr>
          <w:trHeight w:val="219"/>
        </w:trPr>
        <w:tc>
          <w:tcPr>
            <w:tcW w:w="3660" w:type="dxa"/>
            <w:vAlign w:val="bottom"/>
            <w:tcBorders>
              <w:bottom w:val="single" w:sz="8" w:color="004054"/>
            </w:tcBorders>
            <w:gridSpan w:val="2"/>
            <w:shd w:val="clear" w:color="auto" w:fill="004054"/>
          </w:tcPr>
          <w:p>
            <w:pPr>
              <w:ind w:left="40"/>
              <w:spacing w:after="0"/>
              <w:rPr>
                <w:sz w:val="20"/>
                <w:szCs w:val="20"/>
                <w:color w:val="auto"/>
              </w:rPr>
            </w:pPr>
            <w:r>
              <w:rPr>
                <w:rFonts w:ascii="Arial" w:cs="Arial" w:eastAsia="Arial" w:hAnsi="Arial"/>
                <w:sz w:val="14"/>
                <w:szCs w:val="14"/>
                <w:b w:val="1"/>
                <w:bCs w:val="1"/>
                <w:color w:val="FFFFFF"/>
              </w:rPr>
              <w:t>Proposal</w:t>
            </w:r>
          </w:p>
        </w:tc>
        <w:tc>
          <w:tcPr>
            <w:tcW w:w="1410" w:type="dxa"/>
            <w:vAlign w:val="bottom"/>
            <w:tcBorders>
              <w:bottom w:val="single" w:sz="8" w:color="004054"/>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Recommendation</w:t>
            </w:r>
          </w:p>
        </w:tc>
        <w:tc>
          <w:tcPr>
            <w:tcW w:w="2140" w:type="dxa"/>
            <w:vAlign w:val="bottom"/>
            <w:tcBorders>
              <w:bottom w:val="single" w:sz="8" w:color="004054"/>
            </w:tcBorders>
            <w:shd w:val="clear" w:color="auto" w:fill="004054"/>
          </w:tcPr>
          <w:p>
            <w:pPr>
              <w:ind w:left="10"/>
              <w:spacing w:after="0"/>
              <w:rPr>
                <w:sz w:val="20"/>
                <w:szCs w:val="20"/>
                <w:color w:val="auto"/>
              </w:rPr>
            </w:pPr>
            <w:r>
              <w:rPr>
                <w:rFonts w:ascii="Arial" w:cs="Arial" w:eastAsia="Arial" w:hAnsi="Arial"/>
                <w:sz w:val="14"/>
                <w:szCs w:val="14"/>
                <w:b w:val="1"/>
                <w:bCs w:val="1"/>
                <w:color w:val="FFFFFF"/>
              </w:rPr>
              <w:t>Standard</w:t>
            </w:r>
            <w:r>
              <w:rPr>
                <w:rFonts w:ascii="Arial" w:cs="Arial" w:eastAsia="Arial" w:hAnsi="Arial"/>
                <w:sz w:val="9"/>
                <w:szCs w:val="9"/>
                <w:b w:val="1"/>
                <w:bCs w:val="1"/>
                <w:color w:val="FFFFFF"/>
              </w:rPr>
              <w:t>(1)</w:t>
            </w:r>
          </w:p>
        </w:tc>
        <w:tc>
          <w:tcPr>
            <w:tcW w:w="2470" w:type="dxa"/>
            <w:vAlign w:val="bottom"/>
            <w:tcBorders>
              <w:bottom w:val="single" w:sz="8" w:color="004054"/>
            </w:tcBorders>
            <w:shd w:val="clear" w:color="auto" w:fill="004054"/>
          </w:tcPr>
          <w:p>
            <w:pPr>
              <w:ind w:left="30"/>
              <w:spacing w:after="0"/>
              <w:rPr>
                <w:sz w:val="20"/>
                <w:szCs w:val="20"/>
                <w:color w:val="auto"/>
              </w:rPr>
            </w:pPr>
            <w:r>
              <w:rPr>
                <w:rFonts w:ascii="Arial" w:cs="Arial" w:eastAsia="Arial" w:hAnsi="Arial"/>
                <w:sz w:val="14"/>
                <w:szCs w:val="14"/>
                <w:b w:val="1"/>
                <w:bCs w:val="1"/>
                <w:color w:val="FFFFFF"/>
              </w:rPr>
              <w:t>Abstentions</w:t>
            </w:r>
          </w:p>
        </w:tc>
        <w:tc>
          <w:tcPr>
            <w:tcW w:w="1560" w:type="dxa"/>
            <w:vAlign w:val="bottom"/>
            <w:tcBorders>
              <w:bottom w:val="single" w:sz="8" w:color="004054"/>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Non-votes</w:t>
            </w:r>
          </w:p>
        </w:tc>
        <w:tc>
          <w:tcPr>
            <w:tcW w:w="20" w:type="dxa"/>
            <w:vAlign w:val="bottom"/>
            <w:shd w:val="clear" w:color="auto" w:fill="004054"/>
          </w:tcPr>
          <w:p>
            <w:pPr>
              <w:spacing w:after="0"/>
              <w:rPr>
                <w:sz w:val="19"/>
                <w:szCs w:val="19"/>
                <w:color w:val="auto"/>
              </w:rPr>
            </w:pPr>
          </w:p>
        </w:tc>
      </w:tr>
      <w:tr>
        <w:trPr>
          <w:trHeight w:val="180"/>
        </w:trPr>
        <w:tc>
          <w:tcPr>
            <w:tcW w:w="52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No. 1</w:t>
            </w:r>
          </w:p>
        </w:tc>
        <w:tc>
          <w:tcPr>
            <w:tcW w:w="3140" w:type="dxa"/>
            <w:vAlign w:val="bottom"/>
            <w:shd w:val="clear" w:color="auto" w:fill="EBFBFF"/>
          </w:tcPr>
          <w:p>
            <w:pPr>
              <w:ind w:left="120"/>
              <w:spacing w:after="0"/>
              <w:rPr>
                <w:sz w:val="20"/>
                <w:szCs w:val="20"/>
                <w:color w:val="auto"/>
              </w:rPr>
            </w:pPr>
            <w:r>
              <w:rPr>
                <w:rFonts w:ascii="Arial" w:cs="Arial" w:eastAsia="Arial" w:hAnsi="Arial"/>
                <w:sz w:val="14"/>
                <w:szCs w:val="14"/>
                <w:color w:val="51555C"/>
              </w:rPr>
              <w:t>Advisory vote to approve the 2025</w:t>
            </w:r>
          </w:p>
        </w:tc>
        <w:tc>
          <w:tcPr>
            <w:tcW w:w="141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FOR</w:t>
            </w:r>
          </w:p>
        </w:tc>
        <w:tc>
          <w:tcPr>
            <w:tcW w:w="2140" w:type="dxa"/>
            <w:vAlign w:val="bottom"/>
            <w:shd w:val="clear" w:color="auto" w:fill="EBFBFF"/>
          </w:tcPr>
          <w:p>
            <w:pPr>
              <w:ind w:left="10"/>
              <w:spacing w:after="0"/>
              <w:rPr>
                <w:sz w:val="20"/>
                <w:szCs w:val="20"/>
                <w:color w:val="auto"/>
              </w:rPr>
            </w:pPr>
            <w:r>
              <w:rPr>
                <w:rFonts w:ascii="Arial" w:cs="Arial" w:eastAsia="Arial" w:hAnsi="Arial"/>
                <w:sz w:val="14"/>
                <w:szCs w:val="14"/>
                <w:color w:val="51555C"/>
              </w:rPr>
              <w:t>Majority of votes present or</w:t>
            </w:r>
          </w:p>
        </w:tc>
        <w:tc>
          <w:tcPr>
            <w:tcW w:w="4030" w:type="dxa"/>
            <w:vAlign w:val="bottom"/>
            <w:gridSpan w:val="2"/>
            <w:shd w:val="clear" w:color="auto" w:fill="EBFBFF"/>
          </w:tcPr>
          <w:p>
            <w:pPr>
              <w:ind w:left="10"/>
              <w:spacing w:after="0"/>
              <w:rPr>
                <w:sz w:val="20"/>
                <w:szCs w:val="20"/>
                <w:color w:val="auto"/>
              </w:rPr>
            </w:pPr>
            <w:r>
              <w:rPr>
                <w:rFonts w:ascii="Arial" w:cs="Arial" w:eastAsia="Arial" w:hAnsi="Arial"/>
                <w:sz w:val="14"/>
                <w:szCs w:val="14"/>
                <w:color w:val="51555C"/>
              </w:rPr>
              <w:t>Counted as votes present and entitled Not counted as votes</w:t>
            </w:r>
          </w:p>
        </w:tc>
        <w:tc>
          <w:tcPr>
            <w:tcW w:w="20" w:type="dxa"/>
            <w:vAlign w:val="bottom"/>
          </w:tcPr>
          <w:p>
            <w:pPr>
              <w:spacing w:after="0"/>
              <w:rPr>
                <w:sz w:val="15"/>
                <w:szCs w:val="15"/>
                <w:color w:val="auto"/>
              </w:rPr>
            </w:pPr>
          </w:p>
        </w:tc>
      </w:tr>
      <w:tr>
        <w:trPr>
          <w:trHeight w:val="175"/>
        </w:trPr>
        <w:tc>
          <w:tcPr>
            <w:tcW w:w="520" w:type="dxa"/>
            <w:vAlign w:val="bottom"/>
            <w:shd w:val="clear" w:color="auto" w:fill="EBFBFF"/>
          </w:tcPr>
          <w:p>
            <w:pPr>
              <w:spacing w:after="0"/>
              <w:rPr>
                <w:sz w:val="15"/>
                <w:szCs w:val="15"/>
                <w:color w:val="auto"/>
              </w:rPr>
            </w:pPr>
          </w:p>
        </w:tc>
        <w:tc>
          <w:tcPr>
            <w:tcW w:w="3140" w:type="dxa"/>
            <w:vAlign w:val="bottom"/>
            <w:shd w:val="clear" w:color="auto" w:fill="EBFBFF"/>
          </w:tcPr>
          <w:p>
            <w:pPr>
              <w:ind w:left="120"/>
              <w:spacing w:after="0"/>
              <w:rPr>
                <w:sz w:val="20"/>
                <w:szCs w:val="20"/>
                <w:color w:val="auto"/>
              </w:rPr>
            </w:pPr>
            <w:r>
              <w:rPr>
                <w:rFonts w:ascii="Arial" w:cs="Arial" w:eastAsia="Arial" w:hAnsi="Arial"/>
                <w:sz w:val="14"/>
                <w:szCs w:val="14"/>
                <w:color w:val="51555C"/>
              </w:rPr>
              <w:t>compensation of our named executive officers.</w:t>
            </w:r>
          </w:p>
        </w:tc>
        <w:tc>
          <w:tcPr>
            <w:tcW w:w="1410" w:type="dxa"/>
            <w:vAlign w:val="bottom"/>
            <w:shd w:val="clear" w:color="auto" w:fill="EBFBFF"/>
          </w:tcPr>
          <w:p>
            <w:pPr>
              <w:spacing w:after="0"/>
              <w:rPr>
                <w:sz w:val="15"/>
                <w:szCs w:val="15"/>
                <w:color w:val="auto"/>
              </w:rPr>
            </w:pPr>
          </w:p>
        </w:tc>
        <w:tc>
          <w:tcPr>
            <w:tcW w:w="2140" w:type="dxa"/>
            <w:vAlign w:val="bottom"/>
            <w:shd w:val="clear" w:color="auto" w:fill="EBFBFF"/>
          </w:tcPr>
          <w:p>
            <w:pPr>
              <w:ind w:left="10"/>
              <w:spacing w:after="0"/>
              <w:rPr>
                <w:sz w:val="20"/>
                <w:szCs w:val="20"/>
                <w:color w:val="auto"/>
              </w:rPr>
            </w:pPr>
            <w:r>
              <w:rPr>
                <w:rFonts w:ascii="Arial" w:cs="Arial" w:eastAsia="Arial" w:hAnsi="Arial"/>
                <w:sz w:val="14"/>
                <w:szCs w:val="14"/>
                <w:color w:val="51555C"/>
              </w:rPr>
              <w:t>represented by proxy and</w:t>
            </w:r>
          </w:p>
        </w:tc>
        <w:tc>
          <w:tcPr>
            <w:tcW w:w="2470" w:type="dxa"/>
            <w:vAlign w:val="bottom"/>
            <w:shd w:val="clear" w:color="auto" w:fill="EBFBFF"/>
          </w:tcPr>
          <w:p>
            <w:pPr>
              <w:ind w:left="10"/>
              <w:spacing w:after="0"/>
              <w:rPr>
                <w:sz w:val="20"/>
                <w:szCs w:val="20"/>
                <w:color w:val="auto"/>
              </w:rPr>
            </w:pPr>
            <w:r>
              <w:rPr>
                <w:rFonts w:ascii="Arial" w:cs="Arial" w:eastAsia="Arial" w:hAnsi="Arial"/>
                <w:sz w:val="14"/>
                <w:szCs w:val="14"/>
                <w:color w:val="51555C"/>
              </w:rPr>
              <w:t>to vote and therefore have the effect</w:t>
            </w:r>
          </w:p>
        </w:tc>
        <w:tc>
          <w:tcPr>
            <w:tcW w:w="15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present and therefore</w:t>
            </w:r>
          </w:p>
        </w:tc>
        <w:tc>
          <w:tcPr>
            <w:tcW w:w="20" w:type="dxa"/>
            <w:vAlign w:val="bottom"/>
          </w:tcPr>
          <w:p>
            <w:pPr>
              <w:spacing w:after="0"/>
              <w:rPr>
                <w:sz w:val="15"/>
                <w:szCs w:val="15"/>
                <w:color w:val="auto"/>
              </w:rPr>
            </w:pPr>
          </w:p>
        </w:tc>
      </w:tr>
      <w:tr>
        <w:trPr>
          <w:trHeight w:val="192"/>
        </w:trPr>
        <w:tc>
          <w:tcPr>
            <w:tcW w:w="520" w:type="dxa"/>
            <w:vAlign w:val="bottom"/>
            <w:tcBorders>
              <w:bottom w:val="single" w:sz="8" w:color="EBFBFF"/>
            </w:tcBorders>
            <w:shd w:val="clear" w:color="auto" w:fill="EBFBFF"/>
          </w:tcPr>
          <w:p>
            <w:pPr>
              <w:spacing w:after="0"/>
              <w:rPr>
                <w:sz w:val="16"/>
                <w:szCs w:val="16"/>
                <w:color w:val="auto"/>
              </w:rPr>
            </w:pPr>
          </w:p>
        </w:tc>
        <w:tc>
          <w:tcPr>
            <w:tcW w:w="3140" w:type="dxa"/>
            <w:vAlign w:val="bottom"/>
            <w:tcBorders>
              <w:bottom w:val="single" w:sz="8" w:color="EBFBFF"/>
            </w:tcBorders>
            <w:shd w:val="clear" w:color="auto" w:fill="EBFBFF"/>
          </w:tcPr>
          <w:p>
            <w:pPr>
              <w:spacing w:after="0"/>
              <w:rPr>
                <w:sz w:val="16"/>
                <w:szCs w:val="16"/>
                <w:color w:val="auto"/>
              </w:rPr>
            </w:pPr>
          </w:p>
        </w:tc>
        <w:tc>
          <w:tcPr>
            <w:tcW w:w="1410" w:type="dxa"/>
            <w:vAlign w:val="bottom"/>
            <w:tcBorders>
              <w:bottom w:val="single" w:sz="8" w:color="EBFBFF"/>
            </w:tcBorders>
            <w:shd w:val="clear" w:color="auto" w:fill="EBFBFF"/>
          </w:tcPr>
          <w:p>
            <w:pPr>
              <w:spacing w:after="0"/>
              <w:rPr>
                <w:sz w:val="16"/>
                <w:szCs w:val="16"/>
                <w:color w:val="auto"/>
              </w:rPr>
            </w:pPr>
          </w:p>
        </w:tc>
        <w:tc>
          <w:tcPr>
            <w:tcW w:w="2140" w:type="dxa"/>
            <w:vAlign w:val="bottom"/>
            <w:tcBorders>
              <w:bottom w:val="single" w:sz="8" w:color="EBFBFF"/>
            </w:tcBorders>
            <w:shd w:val="clear" w:color="auto" w:fill="EBFBFF"/>
          </w:tcPr>
          <w:p>
            <w:pPr>
              <w:ind w:left="10"/>
              <w:spacing w:after="0"/>
              <w:rPr>
                <w:sz w:val="20"/>
                <w:szCs w:val="20"/>
                <w:color w:val="auto"/>
              </w:rPr>
            </w:pPr>
            <w:r>
              <w:rPr>
                <w:rFonts w:ascii="Arial" w:cs="Arial" w:eastAsia="Arial" w:hAnsi="Arial"/>
                <w:sz w:val="14"/>
                <w:szCs w:val="14"/>
                <w:color w:val="51555C"/>
              </w:rPr>
              <w:t>entitled to vote on the proposal</w:t>
            </w:r>
          </w:p>
        </w:tc>
        <w:tc>
          <w:tcPr>
            <w:tcW w:w="2470" w:type="dxa"/>
            <w:vAlign w:val="bottom"/>
            <w:tcBorders>
              <w:bottom w:val="single" w:sz="8" w:color="EBFBFF"/>
            </w:tcBorders>
            <w:shd w:val="clear" w:color="auto" w:fill="EBFBFF"/>
          </w:tcPr>
          <w:p>
            <w:pPr>
              <w:ind w:left="10"/>
              <w:spacing w:after="0"/>
              <w:rPr>
                <w:sz w:val="20"/>
                <w:szCs w:val="20"/>
                <w:color w:val="auto"/>
              </w:rPr>
            </w:pPr>
            <w:r>
              <w:rPr>
                <w:rFonts w:ascii="Arial" w:cs="Arial" w:eastAsia="Arial" w:hAnsi="Arial"/>
                <w:sz w:val="14"/>
                <w:szCs w:val="14"/>
                <w:color w:val="51555C"/>
              </w:rPr>
              <w:t>of a vote against</w:t>
            </w:r>
          </w:p>
        </w:tc>
        <w:tc>
          <w:tcPr>
            <w:tcW w:w="15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no effect</w:t>
            </w:r>
          </w:p>
        </w:tc>
        <w:tc>
          <w:tcPr>
            <w:tcW w:w="20" w:type="dxa"/>
            <w:vAlign w:val="bottom"/>
          </w:tcPr>
          <w:p>
            <w:pPr>
              <w:spacing w:after="0"/>
              <w:rPr>
                <w:sz w:val="16"/>
                <w:szCs w:val="16"/>
                <w:color w:val="auto"/>
              </w:rPr>
            </w:pPr>
          </w:p>
        </w:tc>
      </w:tr>
      <w:tr>
        <w:trPr>
          <w:trHeight w:val="180"/>
        </w:trPr>
        <w:tc>
          <w:tcPr>
            <w:tcW w:w="520" w:type="dxa"/>
            <w:vAlign w:val="bottom"/>
          </w:tcPr>
          <w:p>
            <w:pPr>
              <w:ind w:left="20"/>
              <w:spacing w:after="0"/>
              <w:rPr>
                <w:sz w:val="20"/>
                <w:szCs w:val="20"/>
                <w:color w:val="auto"/>
              </w:rPr>
            </w:pPr>
            <w:r>
              <w:rPr>
                <w:rFonts w:ascii="Arial" w:cs="Arial" w:eastAsia="Arial" w:hAnsi="Arial"/>
                <w:sz w:val="14"/>
                <w:szCs w:val="14"/>
                <w:b w:val="1"/>
                <w:bCs w:val="1"/>
                <w:color w:val="51555C"/>
              </w:rPr>
              <w:t>No. 2</w:t>
            </w:r>
          </w:p>
        </w:tc>
        <w:tc>
          <w:tcPr>
            <w:tcW w:w="3140" w:type="dxa"/>
            <w:vAlign w:val="bottom"/>
          </w:tcPr>
          <w:p>
            <w:pPr>
              <w:ind w:left="120"/>
              <w:spacing w:after="0"/>
              <w:rPr>
                <w:sz w:val="20"/>
                <w:szCs w:val="20"/>
                <w:color w:val="auto"/>
              </w:rPr>
            </w:pPr>
            <w:r>
              <w:rPr>
                <w:rFonts w:ascii="Arial" w:cs="Arial" w:eastAsia="Arial" w:hAnsi="Arial"/>
                <w:sz w:val="14"/>
                <w:szCs w:val="14"/>
                <w:color w:val="51555C"/>
              </w:rPr>
              <w:t>Approval of the amendment and restatement</w:t>
            </w:r>
          </w:p>
        </w:tc>
        <w:tc>
          <w:tcPr>
            <w:tcW w:w="1410" w:type="dxa"/>
            <w:vAlign w:val="bottom"/>
          </w:tcPr>
          <w:p>
            <w:pPr>
              <w:ind w:left="20"/>
              <w:spacing w:after="0"/>
              <w:rPr>
                <w:sz w:val="20"/>
                <w:szCs w:val="20"/>
                <w:color w:val="auto"/>
              </w:rPr>
            </w:pPr>
            <w:r>
              <w:rPr>
                <w:rFonts w:ascii="Arial" w:cs="Arial" w:eastAsia="Arial" w:hAnsi="Arial"/>
                <w:sz w:val="14"/>
                <w:szCs w:val="14"/>
                <w:b w:val="1"/>
                <w:bCs w:val="1"/>
                <w:color w:val="51555C"/>
              </w:rPr>
              <w:t>FOR</w:t>
            </w:r>
          </w:p>
        </w:tc>
        <w:tc>
          <w:tcPr>
            <w:tcW w:w="2140" w:type="dxa"/>
            <w:vAlign w:val="bottom"/>
          </w:tcPr>
          <w:p>
            <w:pPr>
              <w:ind w:left="10"/>
              <w:spacing w:after="0"/>
              <w:rPr>
                <w:sz w:val="20"/>
                <w:szCs w:val="20"/>
                <w:color w:val="auto"/>
              </w:rPr>
            </w:pPr>
            <w:r>
              <w:rPr>
                <w:rFonts w:ascii="Arial" w:cs="Arial" w:eastAsia="Arial" w:hAnsi="Arial"/>
                <w:sz w:val="14"/>
                <w:szCs w:val="14"/>
                <w:color w:val="51555C"/>
              </w:rPr>
              <w:t>Majority of votes present or</w:t>
            </w:r>
          </w:p>
        </w:tc>
        <w:tc>
          <w:tcPr>
            <w:tcW w:w="4030" w:type="dxa"/>
            <w:vAlign w:val="bottom"/>
            <w:gridSpan w:val="2"/>
          </w:tcPr>
          <w:p>
            <w:pPr>
              <w:ind w:left="10"/>
              <w:spacing w:after="0"/>
              <w:rPr>
                <w:sz w:val="20"/>
                <w:szCs w:val="20"/>
                <w:color w:val="auto"/>
              </w:rPr>
            </w:pPr>
            <w:r>
              <w:rPr>
                <w:rFonts w:ascii="Arial" w:cs="Arial" w:eastAsia="Arial" w:hAnsi="Arial"/>
                <w:sz w:val="14"/>
                <w:szCs w:val="14"/>
                <w:color w:val="51555C"/>
              </w:rPr>
              <w:t>Counted as votes present and entitled Not counted as votes</w:t>
            </w:r>
          </w:p>
        </w:tc>
        <w:tc>
          <w:tcPr>
            <w:tcW w:w="20" w:type="dxa"/>
            <w:vAlign w:val="bottom"/>
          </w:tcPr>
          <w:p>
            <w:pPr>
              <w:spacing w:after="0"/>
              <w:rPr>
                <w:sz w:val="15"/>
                <w:szCs w:val="15"/>
                <w:color w:val="auto"/>
              </w:rPr>
            </w:pPr>
          </w:p>
        </w:tc>
      </w:tr>
      <w:tr>
        <w:trPr>
          <w:trHeight w:val="175"/>
        </w:trPr>
        <w:tc>
          <w:tcPr>
            <w:tcW w:w="520" w:type="dxa"/>
            <w:vAlign w:val="bottom"/>
          </w:tcPr>
          <w:p>
            <w:pPr>
              <w:spacing w:after="0"/>
              <w:rPr>
                <w:sz w:val="15"/>
                <w:szCs w:val="15"/>
                <w:color w:val="auto"/>
              </w:rPr>
            </w:pPr>
          </w:p>
        </w:tc>
        <w:tc>
          <w:tcPr>
            <w:tcW w:w="3140" w:type="dxa"/>
            <w:vAlign w:val="bottom"/>
          </w:tcPr>
          <w:p>
            <w:pPr>
              <w:ind w:left="120"/>
              <w:spacing w:after="0"/>
              <w:rPr>
                <w:sz w:val="20"/>
                <w:szCs w:val="20"/>
                <w:color w:val="auto"/>
              </w:rPr>
            </w:pPr>
            <w:r>
              <w:rPr>
                <w:rFonts w:ascii="Arial" w:cs="Arial" w:eastAsia="Arial" w:hAnsi="Arial"/>
                <w:sz w:val="14"/>
                <w:szCs w:val="14"/>
                <w:color w:val="51555C"/>
              </w:rPr>
              <w:t>of the Blackbaud, Inc. 2016 Equity and</w:t>
            </w:r>
          </w:p>
        </w:tc>
        <w:tc>
          <w:tcPr>
            <w:tcW w:w="1410" w:type="dxa"/>
            <w:vAlign w:val="bottom"/>
          </w:tcPr>
          <w:p>
            <w:pPr>
              <w:spacing w:after="0"/>
              <w:rPr>
                <w:sz w:val="15"/>
                <w:szCs w:val="15"/>
                <w:color w:val="auto"/>
              </w:rPr>
            </w:pPr>
          </w:p>
        </w:tc>
        <w:tc>
          <w:tcPr>
            <w:tcW w:w="2140" w:type="dxa"/>
            <w:vAlign w:val="bottom"/>
          </w:tcPr>
          <w:p>
            <w:pPr>
              <w:ind w:left="10"/>
              <w:spacing w:after="0"/>
              <w:rPr>
                <w:sz w:val="20"/>
                <w:szCs w:val="20"/>
                <w:color w:val="auto"/>
              </w:rPr>
            </w:pPr>
            <w:r>
              <w:rPr>
                <w:rFonts w:ascii="Arial" w:cs="Arial" w:eastAsia="Arial" w:hAnsi="Arial"/>
                <w:sz w:val="14"/>
                <w:szCs w:val="14"/>
                <w:color w:val="51555C"/>
              </w:rPr>
              <w:t>represented by proxy and</w:t>
            </w:r>
          </w:p>
        </w:tc>
        <w:tc>
          <w:tcPr>
            <w:tcW w:w="2470" w:type="dxa"/>
            <w:vAlign w:val="bottom"/>
          </w:tcPr>
          <w:p>
            <w:pPr>
              <w:ind w:left="10"/>
              <w:spacing w:after="0"/>
              <w:rPr>
                <w:sz w:val="20"/>
                <w:szCs w:val="20"/>
                <w:color w:val="auto"/>
              </w:rPr>
            </w:pPr>
            <w:r>
              <w:rPr>
                <w:rFonts w:ascii="Arial" w:cs="Arial" w:eastAsia="Arial" w:hAnsi="Arial"/>
                <w:sz w:val="14"/>
                <w:szCs w:val="14"/>
                <w:color w:val="51555C"/>
              </w:rPr>
              <w:t>to vote and therefore have the effect</w:t>
            </w:r>
          </w:p>
        </w:tc>
        <w:tc>
          <w:tcPr>
            <w:tcW w:w="1560" w:type="dxa"/>
            <w:vAlign w:val="bottom"/>
          </w:tcPr>
          <w:p>
            <w:pPr>
              <w:ind w:left="20"/>
              <w:spacing w:after="0"/>
              <w:rPr>
                <w:sz w:val="20"/>
                <w:szCs w:val="20"/>
                <w:color w:val="auto"/>
              </w:rPr>
            </w:pPr>
            <w:r>
              <w:rPr>
                <w:rFonts w:ascii="Arial" w:cs="Arial" w:eastAsia="Arial" w:hAnsi="Arial"/>
                <w:sz w:val="14"/>
                <w:szCs w:val="14"/>
                <w:color w:val="51555C"/>
              </w:rPr>
              <w:t>present and therefore</w:t>
            </w:r>
          </w:p>
        </w:tc>
        <w:tc>
          <w:tcPr>
            <w:tcW w:w="20" w:type="dxa"/>
            <w:vAlign w:val="bottom"/>
          </w:tcPr>
          <w:p>
            <w:pPr>
              <w:spacing w:after="0"/>
              <w:rPr>
                <w:sz w:val="15"/>
                <w:szCs w:val="15"/>
                <w:color w:val="auto"/>
              </w:rPr>
            </w:pPr>
          </w:p>
        </w:tc>
      </w:tr>
      <w:tr>
        <w:trPr>
          <w:trHeight w:val="190"/>
        </w:trPr>
        <w:tc>
          <w:tcPr>
            <w:tcW w:w="520" w:type="dxa"/>
            <w:vAlign w:val="bottom"/>
          </w:tcPr>
          <w:p>
            <w:pPr>
              <w:spacing w:after="0"/>
              <w:rPr>
                <w:sz w:val="16"/>
                <w:szCs w:val="16"/>
                <w:color w:val="auto"/>
              </w:rPr>
            </w:pPr>
          </w:p>
        </w:tc>
        <w:tc>
          <w:tcPr>
            <w:tcW w:w="3140" w:type="dxa"/>
            <w:vAlign w:val="bottom"/>
          </w:tcPr>
          <w:p>
            <w:pPr>
              <w:ind w:left="120"/>
              <w:spacing w:after="0"/>
              <w:rPr>
                <w:sz w:val="20"/>
                <w:szCs w:val="20"/>
                <w:color w:val="auto"/>
              </w:rPr>
            </w:pPr>
            <w:r>
              <w:rPr>
                <w:rFonts w:ascii="Arial" w:cs="Arial" w:eastAsia="Arial" w:hAnsi="Arial"/>
                <w:sz w:val="14"/>
                <w:szCs w:val="14"/>
                <w:color w:val="51555C"/>
              </w:rPr>
              <w:t>Incentive Compensation Plan.</w:t>
            </w:r>
          </w:p>
        </w:tc>
        <w:tc>
          <w:tcPr>
            <w:tcW w:w="1410" w:type="dxa"/>
            <w:vAlign w:val="bottom"/>
          </w:tcPr>
          <w:p>
            <w:pPr>
              <w:spacing w:after="0"/>
              <w:rPr>
                <w:sz w:val="16"/>
                <w:szCs w:val="16"/>
                <w:color w:val="auto"/>
              </w:rPr>
            </w:pPr>
          </w:p>
        </w:tc>
        <w:tc>
          <w:tcPr>
            <w:tcW w:w="2140" w:type="dxa"/>
            <w:vAlign w:val="bottom"/>
          </w:tcPr>
          <w:p>
            <w:pPr>
              <w:ind w:left="10"/>
              <w:spacing w:after="0"/>
              <w:rPr>
                <w:sz w:val="20"/>
                <w:szCs w:val="20"/>
                <w:color w:val="auto"/>
              </w:rPr>
            </w:pPr>
            <w:r>
              <w:rPr>
                <w:rFonts w:ascii="Arial" w:cs="Arial" w:eastAsia="Arial" w:hAnsi="Arial"/>
                <w:sz w:val="14"/>
                <w:szCs w:val="14"/>
                <w:color w:val="51555C"/>
              </w:rPr>
              <w:t>entitled to vote on the proposal</w:t>
            </w:r>
          </w:p>
        </w:tc>
        <w:tc>
          <w:tcPr>
            <w:tcW w:w="2470" w:type="dxa"/>
            <w:vAlign w:val="bottom"/>
          </w:tcPr>
          <w:p>
            <w:pPr>
              <w:ind w:left="10"/>
              <w:spacing w:after="0"/>
              <w:rPr>
                <w:sz w:val="20"/>
                <w:szCs w:val="20"/>
                <w:color w:val="auto"/>
              </w:rPr>
            </w:pPr>
            <w:r>
              <w:rPr>
                <w:rFonts w:ascii="Arial" w:cs="Arial" w:eastAsia="Arial" w:hAnsi="Arial"/>
                <w:sz w:val="14"/>
                <w:szCs w:val="14"/>
                <w:color w:val="51555C"/>
              </w:rPr>
              <w:t>of a vote against</w:t>
            </w:r>
          </w:p>
        </w:tc>
        <w:tc>
          <w:tcPr>
            <w:tcW w:w="1560" w:type="dxa"/>
            <w:vAlign w:val="bottom"/>
          </w:tcPr>
          <w:p>
            <w:pPr>
              <w:ind w:left="20"/>
              <w:spacing w:after="0"/>
              <w:rPr>
                <w:sz w:val="20"/>
                <w:szCs w:val="20"/>
                <w:color w:val="auto"/>
              </w:rPr>
            </w:pPr>
            <w:r>
              <w:rPr>
                <w:rFonts w:ascii="Arial" w:cs="Arial" w:eastAsia="Arial" w:hAnsi="Arial"/>
                <w:sz w:val="14"/>
                <w:szCs w:val="14"/>
                <w:color w:val="51555C"/>
              </w:rPr>
              <w:t>no effect</w:t>
            </w:r>
          </w:p>
        </w:tc>
        <w:tc>
          <w:tcPr>
            <w:tcW w:w="20" w:type="dxa"/>
            <w:vAlign w:val="bottom"/>
          </w:tcPr>
          <w:p>
            <w:pPr>
              <w:spacing w:after="0"/>
              <w:rPr>
                <w:sz w:val="16"/>
                <w:szCs w:val="16"/>
                <w:color w:val="auto"/>
              </w:rPr>
            </w:pPr>
          </w:p>
        </w:tc>
      </w:tr>
      <w:tr>
        <w:trPr>
          <w:trHeight w:val="22"/>
        </w:trPr>
        <w:tc>
          <w:tcPr>
            <w:tcW w:w="5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1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7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52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No. 3</w:t>
            </w:r>
          </w:p>
        </w:tc>
        <w:tc>
          <w:tcPr>
            <w:tcW w:w="3140" w:type="dxa"/>
            <w:vAlign w:val="bottom"/>
            <w:shd w:val="clear" w:color="auto" w:fill="EBFBFF"/>
          </w:tcPr>
          <w:p>
            <w:pPr>
              <w:ind w:left="120"/>
              <w:spacing w:after="0"/>
              <w:rPr>
                <w:sz w:val="20"/>
                <w:szCs w:val="20"/>
                <w:color w:val="auto"/>
              </w:rPr>
            </w:pPr>
            <w:r>
              <w:rPr>
                <w:rFonts w:ascii="Arial" w:cs="Arial" w:eastAsia="Arial" w:hAnsi="Arial"/>
                <w:sz w:val="14"/>
                <w:szCs w:val="14"/>
                <w:color w:val="51555C"/>
              </w:rPr>
              <w:t>Ratification of the appointment of Ernst &amp;</w:t>
            </w:r>
          </w:p>
        </w:tc>
        <w:tc>
          <w:tcPr>
            <w:tcW w:w="141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FOR</w:t>
            </w:r>
          </w:p>
        </w:tc>
        <w:tc>
          <w:tcPr>
            <w:tcW w:w="2140" w:type="dxa"/>
            <w:vAlign w:val="bottom"/>
            <w:shd w:val="clear" w:color="auto" w:fill="EBFBFF"/>
          </w:tcPr>
          <w:p>
            <w:pPr>
              <w:ind w:left="10"/>
              <w:spacing w:after="0"/>
              <w:rPr>
                <w:sz w:val="20"/>
                <w:szCs w:val="20"/>
                <w:color w:val="auto"/>
              </w:rPr>
            </w:pPr>
            <w:r>
              <w:rPr>
                <w:rFonts w:ascii="Arial" w:cs="Arial" w:eastAsia="Arial" w:hAnsi="Arial"/>
                <w:sz w:val="14"/>
                <w:szCs w:val="14"/>
                <w:color w:val="51555C"/>
              </w:rPr>
              <w:t>Majority of votes present or</w:t>
            </w:r>
          </w:p>
        </w:tc>
        <w:tc>
          <w:tcPr>
            <w:tcW w:w="4030" w:type="dxa"/>
            <w:vAlign w:val="bottom"/>
            <w:gridSpan w:val="2"/>
            <w:shd w:val="clear" w:color="auto" w:fill="EBFBFF"/>
          </w:tcPr>
          <w:p>
            <w:pPr>
              <w:ind w:left="10"/>
              <w:spacing w:after="0"/>
              <w:rPr>
                <w:sz w:val="20"/>
                <w:szCs w:val="20"/>
                <w:color w:val="auto"/>
              </w:rPr>
            </w:pPr>
            <w:r>
              <w:rPr>
                <w:rFonts w:ascii="Arial" w:cs="Arial" w:eastAsia="Arial" w:hAnsi="Arial"/>
                <w:sz w:val="14"/>
                <w:szCs w:val="14"/>
                <w:color w:val="51555C"/>
              </w:rPr>
              <w:t>Counted as votes present and entitled Not counted as votes</w:t>
            </w:r>
          </w:p>
        </w:tc>
        <w:tc>
          <w:tcPr>
            <w:tcW w:w="20" w:type="dxa"/>
            <w:vAlign w:val="bottom"/>
          </w:tcPr>
          <w:p>
            <w:pPr>
              <w:spacing w:after="0"/>
              <w:rPr>
                <w:sz w:val="15"/>
                <w:szCs w:val="15"/>
                <w:color w:val="auto"/>
              </w:rPr>
            </w:pPr>
          </w:p>
        </w:tc>
      </w:tr>
      <w:tr>
        <w:trPr>
          <w:trHeight w:val="176"/>
        </w:trPr>
        <w:tc>
          <w:tcPr>
            <w:tcW w:w="520" w:type="dxa"/>
            <w:vAlign w:val="bottom"/>
            <w:shd w:val="clear" w:color="auto" w:fill="EBFBFF"/>
          </w:tcPr>
          <w:p>
            <w:pPr>
              <w:spacing w:after="0"/>
              <w:rPr>
                <w:sz w:val="15"/>
                <w:szCs w:val="15"/>
                <w:color w:val="auto"/>
              </w:rPr>
            </w:pPr>
          </w:p>
        </w:tc>
        <w:tc>
          <w:tcPr>
            <w:tcW w:w="3140" w:type="dxa"/>
            <w:vAlign w:val="bottom"/>
            <w:shd w:val="clear" w:color="auto" w:fill="EBFBFF"/>
          </w:tcPr>
          <w:p>
            <w:pPr>
              <w:ind w:left="120"/>
              <w:spacing w:after="0"/>
              <w:rPr>
                <w:sz w:val="20"/>
                <w:szCs w:val="20"/>
                <w:color w:val="auto"/>
              </w:rPr>
            </w:pPr>
            <w:r>
              <w:rPr>
                <w:rFonts w:ascii="Arial" w:cs="Arial" w:eastAsia="Arial" w:hAnsi="Arial"/>
                <w:sz w:val="14"/>
                <w:szCs w:val="14"/>
                <w:color w:val="51555C"/>
              </w:rPr>
              <w:t>Young LLP as our independent registered</w:t>
            </w:r>
          </w:p>
        </w:tc>
        <w:tc>
          <w:tcPr>
            <w:tcW w:w="1410" w:type="dxa"/>
            <w:vAlign w:val="bottom"/>
            <w:shd w:val="clear" w:color="auto" w:fill="EBFBFF"/>
          </w:tcPr>
          <w:p>
            <w:pPr>
              <w:spacing w:after="0"/>
              <w:rPr>
                <w:sz w:val="15"/>
                <w:szCs w:val="15"/>
                <w:color w:val="auto"/>
              </w:rPr>
            </w:pPr>
          </w:p>
        </w:tc>
        <w:tc>
          <w:tcPr>
            <w:tcW w:w="2140" w:type="dxa"/>
            <w:vAlign w:val="bottom"/>
            <w:shd w:val="clear" w:color="auto" w:fill="EBFBFF"/>
          </w:tcPr>
          <w:p>
            <w:pPr>
              <w:ind w:left="10"/>
              <w:spacing w:after="0"/>
              <w:rPr>
                <w:sz w:val="20"/>
                <w:szCs w:val="20"/>
                <w:color w:val="auto"/>
              </w:rPr>
            </w:pPr>
            <w:r>
              <w:rPr>
                <w:rFonts w:ascii="Arial" w:cs="Arial" w:eastAsia="Arial" w:hAnsi="Arial"/>
                <w:sz w:val="14"/>
                <w:szCs w:val="14"/>
                <w:color w:val="51555C"/>
              </w:rPr>
              <w:t>represented by proxy and</w:t>
            </w:r>
          </w:p>
        </w:tc>
        <w:tc>
          <w:tcPr>
            <w:tcW w:w="2470" w:type="dxa"/>
            <w:vAlign w:val="bottom"/>
            <w:shd w:val="clear" w:color="auto" w:fill="EBFBFF"/>
          </w:tcPr>
          <w:p>
            <w:pPr>
              <w:ind w:left="10"/>
              <w:spacing w:after="0"/>
              <w:rPr>
                <w:sz w:val="20"/>
                <w:szCs w:val="20"/>
                <w:color w:val="auto"/>
              </w:rPr>
            </w:pPr>
            <w:r>
              <w:rPr>
                <w:rFonts w:ascii="Arial" w:cs="Arial" w:eastAsia="Arial" w:hAnsi="Arial"/>
                <w:sz w:val="14"/>
                <w:szCs w:val="14"/>
                <w:color w:val="51555C"/>
              </w:rPr>
              <w:t>to vote and therefore have the effect</w:t>
            </w:r>
          </w:p>
        </w:tc>
        <w:tc>
          <w:tcPr>
            <w:tcW w:w="15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present and therefore</w:t>
            </w:r>
          </w:p>
        </w:tc>
        <w:tc>
          <w:tcPr>
            <w:tcW w:w="20" w:type="dxa"/>
            <w:vAlign w:val="bottom"/>
          </w:tcPr>
          <w:p>
            <w:pPr>
              <w:spacing w:after="0"/>
              <w:rPr>
                <w:sz w:val="15"/>
                <w:szCs w:val="15"/>
                <w:color w:val="auto"/>
              </w:rPr>
            </w:pPr>
          </w:p>
        </w:tc>
      </w:tr>
      <w:tr>
        <w:trPr>
          <w:trHeight w:val="175"/>
        </w:trPr>
        <w:tc>
          <w:tcPr>
            <w:tcW w:w="520" w:type="dxa"/>
            <w:vAlign w:val="bottom"/>
            <w:shd w:val="clear" w:color="auto" w:fill="EBFBFF"/>
          </w:tcPr>
          <w:p>
            <w:pPr>
              <w:spacing w:after="0"/>
              <w:rPr>
                <w:sz w:val="15"/>
                <w:szCs w:val="15"/>
                <w:color w:val="auto"/>
              </w:rPr>
            </w:pPr>
          </w:p>
        </w:tc>
        <w:tc>
          <w:tcPr>
            <w:tcW w:w="3140" w:type="dxa"/>
            <w:vAlign w:val="bottom"/>
            <w:shd w:val="clear" w:color="auto" w:fill="EBFBFF"/>
          </w:tcPr>
          <w:p>
            <w:pPr>
              <w:ind w:left="120"/>
              <w:spacing w:after="0"/>
              <w:rPr>
                <w:sz w:val="20"/>
                <w:szCs w:val="20"/>
                <w:color w:val="auto"/>
              </w:rPr>
            </w:pPr>
            <w:r>
              <w:rPr>
                <w:rFonts w:ascii="Arial" w:cs="Arial" w:eastAsia="Arial" w:hAnsi="Arial"/>
                <w:sz w:val="14"/>
                <w:szCs w:val="14"/>
                <w:color w:val="51555C"/>
              </w:rPr>
              <w:t>public accounting firm for the fiscal year</w:t>
            </w:r>
          </w:p>
        </w:tc>
        <w:tc>
          <w:tcPr>
            <w:tcW w:w="1410" w:type="dxa"/>
            <w:vAlign w:val="bottom"/>
            <w:shd w:val="clear" w:color="auto" w:fill="EBFBFF"/>
          </w:tcPr>
          <w:p>
            <w:pPr>
              <w:spacing w:after="0"/>
              <w:rPr>
                <w:sz w:val="15"/>
                <w:szCs w:val="15"/>
                <w:color w:val="auto"/>
              </w:rPr>
            </w:pPr>
          </w:p>
        </w:tc>
        <w:tc>
          <w:tcPr>
            <w:tcW w:w="2140" w:type="dxa"/>
            <w:vAlign w:val="bottom"/>
            <w:shd w:val="clear" w:color="auto" w:fill="EBFBFF"/>
          </w:tcPr>
          <w:p>
            <w:pPr>
              <w:ind w:left="10"/>
              <w:spacing w:after="0"/>
              <w:rPr>
                <w:sz w:val="20"/>
                <w:szCs w:val="20"/>
                <w:color w:val="auto"/>
              </w:rPr>
            </w:pPr>
            <w:r>
              <w:rPr>
                <w:rFonts w:ascii="Arial" w:cs="Arial" w:eastAsia="Arial" w:hAnsi="Arial"/>
                <w:sz w:val="14"/>
                <w:szCs w:val="14"/>
                <w:color w:val="51555C"/>
              </w:rPr>
              <w:t>entitled to vote on the proposal</w:t>
            </w:r>
          </w:p>
        </w:tc>
        <w:tc>
          <w:tcPr>
            <w:tcW w:w="2470" w:type="dxa"/>
            <w:vAlign w:val="bottom"/>
            <w:shd w:val="clear" w:color="auto" w:fill="EBFBFF"/>
          </w:tcPr>
          <w:p>
            <w:pPr>
              <w:ind w:left="10"/>
              <w:spacing w:after="0"/>
              <w:rPr>
                <w:sz w:val="20"/>
                <w:szCs w:val="20"/>
                <w:color w:val="auto"/>
              </w:rPr>
            </w:pPr>
            <w:r>
              <w:rPr>
                <w:rFonts w:ascii="Arial" w:cs="Arial" w:eastAsia="Arial" w:hAnsi="Arial"/>
                <w:sz w:val="14"/>
                <w:szCs w:val="14"/>
                <w:color w:val="51555C"/>
              </w:rPr>
              <w:t>of a vote against</w:t>
            </w:r>
          </w:p>
        </w:tc>
        <w:tc>
          <w:tcPr>
            <w:tcW w:w="15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no effect</w:t>
            </w:r>
          </w:p>
        </w:tc>
        <w:tc>
          <w:tcPr>
            <w:tcW w:w="20" w:type="dxa"/>
            <w:vAlign w:val="bottom"/>
          </w:tcPr>
          <w:p>
            <w:pPr>
              <w:spacing w:after="0"/>
              <w:rPr>
                <w:sz w:val="15"/>
                <w:szCs w:val="15"/>
                <w:color w:val="auto"/>
              </w:rPr>
            </w:pPr>
          </w:p>
        </w:tc>
      </w:tr>
      <w:tr>
        <w:trPr>
          <w:trHeight w:val="192"/>
        </w:trPr>
        <w:tc>
          <w:tcPr>
            <w:tcW w:w="520" w:type="dxa"/>
            <w:vAlign w:val="bottom"/>
            <w:tcBorders>
              <w:bottom w:val="single" w:sz="8" w:color="EBFBFF"/>
            </w:tcBorders>
            <w:shd w:val="clear" w:color="auto" w:fill="EBFBFF"/>
          </w:tcPr>
          <w:p>
            <w:pPr>
              <w:spacing w:after="0"/>
              <w:rPr>
                <w:sz w:val="16"/>
                <w:szCs w:val="16"/>
                <w:color w:val="auto"/>
              </w:rPr>
            </w:pPr>
          </w:p>
        </w:tc>
        <w:tc>
          <w:tcPr>
            <w:tcW w:w="314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4"/>
                <w:szCs w:val="14"/>
                <w:color w:val="51555C"/>
              </w:rPr>
              <w:t>ending December 31, 2026.</w:t>
            </w:r>
          </w:p>
        </w:tc>
        <w:tc>
          <w:tcPr>
            <w:tcW w:w="1410" w:type="dxa"/>
            <w:vAlign w:val="bottom"/>
            <w:tcBorders>
              <w:bottom w:val="single" w:sz="8" w:color="EBFBFF"/>
            </w:tcBorders>
            <w:shd w:val="clear" w:color="auto" w:fill="EBFBFF"/>
          </w:tcPr>
          <w:p>
            <w:pPr>
              <w:spacing w:after="0"/>
              <w:rPr>
                <w:sz w:val="16"/>
                <w:szCs w:val="16"/>
                <w:color w:val="auto"/>
              </w:rPr>
            </w:pPr>
          </w:p>
        </w:tc>
        <w:tc>
          <w:tcPr>
            <w:tcW w:w="2140" w:type="dxa"/>
            <w:vAlign w:val="bottom"/>
            <w:tcBorders>
              <w:bottom w:val="single" w:sz="8" w:color="EBFBFF"/>
            </w:tcBorders>
            <w:shd w:val="clear" w:color="auto" w:fill="EBFBFF"/>
          </w:tcPr>
          <w:p>
            <w:pPr>
              <w:spacing w:after="0"/>
              <w:rPr>
                <w:sz w:val="16"/>
                <w:szCs w:val="16"/>
                <w:color w:val="auto"/>
              </w:rPr>
            </w:pPr>
          </w:p>
        </w:tc>
        <w:tc>
          <w:tcPr>
            <w:tcW w:w="2470" w:type="dxa"/>
            <w:vAlign w:val="bottom"/>
            <w:tcBorders>
              <w:bottom w:val="single" w:sz="8" w:color="EBFBFF"/>
            </w:tcBorders>
            <w:shd w:val="clear" w:color="auto" w:fill="EBFBFF"/>
          </w:tcPr>
          <w:p>
            <w:pPr>
              <w:spacing w:after="0"/>
              <w:rPr>
                <w:sz w:val="16"/>
                <w:szCs w:val="16"/>
                <w:color w:val="auto"/>
              </w:rPr>
            </w:pPr>
          </w:p>
        </w:tc>
        <w:tc>
          <w:tcPr>
            <w:tcW w:w="1560" w:type="dxa"/>
            <w:vAlign w:val="bottom"/>
            <w:tcBorders>
              <w:bottom w:val="single" w:sz="8" w:color="EBFBFF"/>
            </w:tcBorders>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20" w:type="dxa"/>
            <w:vAlign w:val="bottom"/>
            <w:shd w:val="clear" w:color="auto" w:fill="0CD973"/>
          </w:tcPr>
          <w:p>
            <w:pPr>
              <w:spacing w:after="0" w:line="20" w:lineRule="exact"/>
              <w:rPr>
                <w:sz w:val="1"/>
                <w:szCs w:val="1"/>
                <w:color w:val="auto"/>
              </w:rPr>
            </w:pPr>
          </w:p>
        </w:tc>
        <w:tc>
          <w:tcPr>
            <w:tcW w:w="3140" w:type="dxa"/>
            <w:vAlign w:val="bottom"/>
            <w:shd w:val="clear" w:color="auto" w:fill="0CD973"/>
          </w:tcPr>
          <w:p>
            <w:pPr>
              <w:spacing w:after="0" w:line="20" w:lineRule="exact"/>
              <w:rPr>
                <w:sz w:val="1"/>
                <w:szCs w:val="1"/>
                <w:color w:val="auto"/>
              </w:rPr>
            </w:pPr>
          </w:p>
        </w:tc>
        <w:tc>
          <w:tcPr>
            <w:tcW w:w="1410" w:type="dxa"/>
            <w:vAlign w:val="bottom"/>
            <w:shd w:val="clear" w:color="auto" w:fill="0CD973"/>
          </w:tcPr>
          <w:p>
            <w:pPr>
              <w:spacing w:after="0" w:line="20" w:lineRule="exact"/>
              <w:rPr>
                <w:sz w:val="1"/>
                <w:szCs w:val="1"/>
                <w:color w:val="auto"/>
              </w:rPr>
            </w:pPr>
          </w:p>
        </w:tc>
        <w:tc>
          <w:tcPr>
            <w:tcW w:w="2140" w:type="dxa"/>
            <w:vAlign w:val="bottom"/>
            <w:shd w:val="clear" w:color="auto" w:fill="0CD973"/>
          </w:tcPr>
          <w:p>
            <w:pPr>
              <w:spacing w:after="0" w:line="20" w:lineRule="exact"/>
              <w:rPr>
                <w:sz w:val="1"/>
                <w:szCs w:val="1"/>
                <w:color w:val="auto"/>
              </w:rPr>
            </w:pPr>
          </w:p>
        </w:tc>
        <w:tc>
          <w:tcPr>
            <w:tcW w:w="2470" w:type="dxa"/>
            <w:vAlign w:val="bottom"/>
            <w:shd w:val="clear" w:color="auto" w:fill="0CD973"/>
          </w:tcPr>
          <w:p>
            <w:pPr>
              <w:spacing w:after="0" w:line="20" w:lineRule="exact"/>
              <w:rPr>
                <w:sz w:val="1"/>
                <w:szCs w:val="1"/>
                <w:color w:val="auto"/>
              </w:rPr>
            </w:pPr>
          </w:p>
        </w:tc>
        <w:tc>
          <w:tcPr>
            <w:tcW w:w="156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8" w:lineRule="exact"/>
        <w:rPr>
          <w:sz w:val="20"/>
          <w:szCs w:val="20"/>
          <w:color w:val="auto"/>
        </w:rPr>
      </w:pPr>
    </w:p>
    <w:p>
      <w:pPr>
        <w:ind w:left="340" w:right="40" w:hanging="332"/>
        <w:spacing w:after="0" w:line="305" w:lineRule="auto"/>
        <w:tabs>
          <w:tab w:leader="none" w:pos="354" w:val="left"/>
        </w:tabs>
        <w:numPr>
          <w:ilvl w:val="0"/>
          <w:numId w:val="93"/>
        </w:numPr>
        <w:rPr>
          <w:rFonts w:ascii="Arial" w:cs="Arial" w:eastAsia="Arial" w:hAnsi="Arial"/>
          <w:sz w:val="14"/>
          <w:szCs w:val="14"/>
          <w:color w:val="51555C"/>
        </w:rPr>
      </w:pPr>
      <w:r>
        <w:rPr>
          <w:rFonts w:ascii="Arial" w:cs="Arial" w:eastAsia="Arial" w:hAnsi="Arial"/>
          <w:sz w:val="14"/>
          <w:szCs w:val="14"/>
          <w:color w:val="51555C"/>
        </w:rPr>
        <w:t>Votes cast electronically or by proxy at the meeting will be considered present. All stockholders of record of Blackbaud common stock as of the close of business on April 13, 2026, are entitled to vote at the meeting and any adjournments or postponements thereof.</w:t>
      </w:r>
    </w:p>
    <w:p>
      <w:pPr>
        <w:spacing w:after="0" w:line="9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51555C"/>
        </w:rPr>
        <w:t>We will also consider any other business that properly comes before the meeting. As of the record date, we are not aware of any other matters to be submitted for consideration at the meeting. If any other matters are properly brought before the meeting, the persons named in the Proxy Card or Voter Instruction Card as proxy will vote the shares they represent using their best judgment.</w:t>
      </w:r>
    </w:p>
    <w:p>
      <w:pPr>
        <w:spacing w:after="0" w:line="390" w:lineRule="exact"/>
        <w:rPr>
          <w:sz w:val="20"/>
          <w:szCs w:val="20"/>
          <w:color w:val="auto"/>
        </w:rPr>
      </w:pPr>
    </w:p>
    <w:p>
      <w:pPr>
        <w:ind w:left="560" w:hanging="534"/>
        <w:spacing w:after="0"/>
        <w:tabs>
          <w:tab w:leader="none" w:pos="560" w:val="left"/>
        </w:tabs>
        <w:numPr>
          <w:ilvl w:val="0"/>
          <w:numId w:val="94"/>
        </w:numPr>
        <w:rPr>
          <w:rFonts w:ascii="Arial" w:cs="Arial" w:eastAsia="Arial" w:hAnsi="Arial"/>
          <w:sz w:val="22"/>
          <w:szCs w:val="22"/>
          <w:b w:val="1"/>
          <w:bCs w:val="1"/>
          <w:color w:val="006880"/>
        </w:rPr>
      </w:pPr>
      <w:r>
        <w:rPr>
          <w:rFonts w:ascii="Arial" w:cs="Arial" w:eastAsia="Arial" w:hAnsi="Arial"/>
          <w:sz w:val="22"/>
          <w:szCs w:val="22"/>
          <w:b w:val="1"/>
          <w:bCs w:val="1"/>
          <w:color w:val="006880"/>
        </w:rPr>
        <w:t>How may I vote my shares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If you are a stockholder of record, you have the right to vote electronically during the 2026 Annual Meeting of Stockholders. You may cast your vote electronically during the meeting using the 16 -digit control number found on your Notice of Annual Meeting of Stockholders or proxy card. If you are a beneficial owner of shares held in street name, you are also invited to attend the meeting. Because a beneficial owner is not a stockholder of record, however, you may not vote these shares during the meeting unless you obtain a legal proxy from your broker, bank, nominee, or trustee that holds your shares, giving you the right to vote the shares at the meeting.</w:t>
      </w:r>
    </w:p>
    <w:p>
      <w:pPr>
        <w:spacing w:after="0" w:line="399" w:lineRule="exact"/>
        <w:rPr>
          <w:sz w:val="20"/>
          <w:szCs w:val="20"/>
          <w:color w:val="auto"/>
        </w:rPr>
      </w:pPr>
    </w:p>
    <w:p>
      <w:pPr>
        <w:ind w:left="560" w:hanging="534"/>
        <w:spacing w:after="0"/>
        <w:tabs>
          <w:tab w:leader="none" w:pos="560" w:val="left"/>
        </w:tabs>
        <w:numPr>
          <w:ilvl w:val="0"/>
          <w:numId w:val="95"/>
        </w:numPr>
        <w:rPr>
          <w:rFonts w:ascii="Arial" w:cs="Arial" w:eastAsia="Arial" w:hAnsi="Arial"/>
          <w:sz w:val="22"/>
          <w:szCs w:val="22"/>
          <w:b w:val="1"/>
          <w:bCs w:val="1"/>
          <w:color w:val="006880"/>
        </w:rPr>
      </w:pPr>
      <w:r>
        <w:rPr>
          <w:rFonts w:ascii="Arial" w:cs="Arial" w:eastAsia="Arial" w:hAnsi="Arial"/>
          <w:sz w:val="22"/>
          <w:szCs w:val="22"/>
          <w:b w:val="1"/>
          <w:bCs w:val="1"/>
          <w:color w:val="006880"/>
        </w:rPr>
        <w:t>How can I vote my shares without attending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51555C"/>
        </w:rPr>
        <w:t>If your common stock is held by a broker, bank or other nominee, they should send you instructions that you must follow in order to have your shares voted.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51555C"/>
        </w:rPr>
        <w:t>If you hold shares in your own name, you may vote by proxy in any one of the following ways:</w:t>
      </w:r>
    </w:p>
    <w:p>
      <w:pPr>
        <w:spacing w:after="0" w:line="171" w:lineRule="exact"/>
        <w:rPr>
          <w:sz w:val="20"/>
          <w:szCs w:val="20"/>
          <w:color w:val="auto"/>
        </w:rPr>
      </w:pPr>
    </w:p>
    <w:p>
      <w:pPr>
        <w:ind w:left="500" w:right="40" w:hanging="168"/>
        <w:spacing w:after="0" w:line="287" w:lineRule="auto"/>
        <w:tabs>
          <w:tab w:leader="none" w:pos="468" w:val="left"/>
        </w:tabs>
        <w:numPr>
          <w:ilvl w:val="0"/>
          <w:numId w:val="96"/>
        </w:numPr>
        <w:rPr>
          <w:rFonts w:ascii="Arial" w:cs="Arial" w:eastAsia="Arial" w:hAnsi="Arial"/>
          <w:sz w:val="18"/>
          <w:szCs w:val="18"/>
          <w:color w:val="51555C"/>
        </w:rPr>
      </w:pPr>
      <w:r>
        <w:rPr>
          <w:rFonts w:ascii="Arial" w:cs="Arial" w:eastAsia="Arial" w:hAnsi="Arial"/>
          <w:sz w:val="18"/>
          <w:szCs w:val="18"/>
          <w:color w:val="51555C"/>
        </w:rPr>
        <w:t xml:space="preserve">Via the Internet by accessing the proxy materials on the secured website </w:t>
      </w:r>
      <w:r>
        <w:rPr>
          <w:rFonts w:ascii="Arial" w:cs="Arial" w:eastAsia="Arial" w:hAnsi="Arial"/>
          <w:sz w:val="18"/>
          <w:szCs w:val="18"/>
          <w:b w:val="1"/>
          <w:bCs w:val="1"/>
          <w:color w:val="51555C"/>
        </w:rPr>
        <w:t>www.proxyvote.com</w:t>
      </w:r>
      <w:r>
        <w:rPr>
          <w:rFonts w:ascii="Arial" w:cs="Arial" w:eastAsia="Arial" w:hAnsi="Arial"/>
          <w:sz w:val="18"/>
          <w:szCs w:val="18"/>
          <w:color w:val="51555C"/>
        </w:rPr>
        <w:t xml:space="preserve"> and following the voting instructions on that website;</w:t>
      </w:r>
    </w:p>
    <w:p>
      <w:pPr>
        <w:spacing w:after="0" w:line="98" w:lineRule="exact"/>
        <w:rPr>
          <w:rFonts w:ascii="Arial" w:cs="Arial" w:eastAsia="Arial" w:hAnsi="Arial"/>
          <w:sz w:val="18"/>
          <w:szCs w:val="18"/>
          <w:color w:val="51555C"/>
        </w:rPr>
      </w:pPr>
    </w:p>
    <w:p>
      <w:pPr>
        <w:ind w:left="460" w:hanging="128"/>
        <w:spacing w:after="0"/>
        <w:tabs>
          <w:tab w:leader="none" w:pos="460" w:val="left"/>
        </w:tabs>
        <w:numPr>
          <w:ilvl w:val="0"/>
          <w:numId w:val="96"/>
        </w:numPr>
        <w:rPr>
          <w:rFonts w:ascii="Arial" w:cs="Arial" w:eastAsia="Arial" w:hAnsi="Arial"/>
          <w:sz w:val="18"/>
          <w:szCs w:val="18"/>
          <w:color w:val="51555C"/>
        </w:rPr>
      </w:pPr>
      <w:r>
        <w:rPr>
          <w:rFonts w:ascii="Arial" w:cs="Arial" w:eastAsia="Arial" w:hAnsi="Arial"/>
          <w:sz w:val="18"/>
          <w:szCs w:val="18"/>
          <w:color w:val="51555C"/>
        </w:rPr>
        <w:t xml:space="preserve">Via telephone by calling toll free </w:t>
      </w:r>
      <w:r>
        <w:rPr>
          <w:rFonts w:ascii="Arial" w:cs="Arial" w:eastAsia="Arial" w:hAnsi="Arial"/>
          <w:sz w:val="18"/>
          <w:szCs w:val="18"/>
          <w:b w:val="1"/>
          <w:bCs w:val="1"/>
          <w:color w:val="51555C"/>
        </w:rPr>
        <w:t>1-800-690-6903</w:t>
      </w:r>
      <w:r>
        <w:rPr>
          <w:rFonts w:ascii="Arial" w:cs="Arial" w:eastAsia="Arial" w:hAnsi="Arial"/>
          <w:sz w:val="18"/>
          <w:szCs w:val="18"/>
          <w:color w:val="51555C"/>
        </w:rPr>
        <w:t xml:space="preserve"> and following the recorded instructions; or</w:t>
      </w:r>
    </w:p>
    <w:p>
      <w:pPr>
        <w:spacing w:after="0" w:line="171" w:lineRule="exact"/>
        <w:rPr>
          <w:rFonts w:ascii="Arial" w:cs="Arial" w:eastAsia="Arial" w:hAnsi="Arial"/>
          <w:sz w:val="18"/>
          <w:szCs w:val="18"/>
          <w:color w:val="51555C"/>
        </w:rPr>
      </w:pPr>
    </w:p>
    <w:p>
      <w:pPr>
        <w:jc w:val="both"/>
        <w:ind w:left="500" w:right="20" w:hanging="168"/>
        <w:spacing w:after="0" w:line="268" w:lineRule="auto"/>
        <w:tabs>
          <w:tab w:leader="none" w:pos="468" w:val="left"/>
        </w:tabs>
        <w:numPr>
          <w:ilvl w:val="0"/>
          <w:numId w:val="96"/>
        </w:numPr>
        <w:rPr>
          <w:rFonts w:ascii="Arial" w:cs="Arial" w:eastAsia="Arial" w:hAnsi="Arial"/>
          <w:sz w:val="18"/>
          <w:szCs w:val="18"/>
          <w:color w:val="51555C"/>
        </w:rPr>
      </w:pPr>
      <w:r>
        <w:rPr>
          <w:rFonts w:ascii="Arial" w:cs="Arial" w:eastAsia="Arial" w:hAnsi="Arial"/>
          <w:sz w:val="18"/>
          <w:szCs w:val="18"/>
          <w:color w:val="51555C"/>
        </w:rPr>
        <w:t>By requesting that printed copies of the proxy materials be mailed to you pursuant to the instructions provided in the Notice of Internet Availability of Proxy Materials and completing, dating, signing and returning the Proxy Card that you receive in response to your request.</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The Internet and telephone voting procedures are designed to authenticate stockholders’ identities by use of a control number to allow stockholders to vote their shares and to confirm that stockholders’ instructions have been properly recorded. Voting via the Internet or telephone must be completed by 11:59 p.m. Eastern Time on June 9, 2026. Of course, you can always attend the virtual meeting and vote your shares electronically. If you submit or return a Proxy Card without giving specific voting instructions, your shares will be voted as recommended by the Board of Directors, as permitted by law.</w:t>
      </w:r>
    </w:p>
    <w:p>
      <w:pPr>
        <w:spacing w:after="0" w:line="349"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82</w:t>
      </w:r>
      <w:r>
        <w:rPr>
          <w:sz w:val="20"/>
          <w:szCs w:val="20"/>
          <w:color w:val="auto"/>
        </w:rPr>
        <w:tab/>
      </w:r>
      <w:r>
        <w:rPr>
          <w:sz w:val="1"/>
          <w:szCs w:val="1"/>
          <w:color w:val="auto"/>
        </w:rPr>
        <w:drawing>
          <wp:inline distT="0" distB="0" distL="0" distR="0">
            <wp:extent cx="702945" cy="111125"/>
            <wp:effectExtent l="0" t="0" r="0" b="0"/>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84" w:name="page85"/>
    <w:bookmarkEnd w:id="84"/>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8200"/>
        <w:spacing w:after="0"/>
        <w:rPr>
          <w:sz w:val="20"/>
          <w:szCs w:val="20"/>
          <w:color w:val="auto"/>
        </w:rPr>
      </w:pPr>
      <w:r>
        <w:rPr>
          <w:rFonts w:ascii="Arial" w:cs="Arial" w:eastAsia="Arial" w:hAnsi="Arial"/>
          <w:sz w:val="18"/>
          <w:szCs w:val="18"/>
          <w:b w:val="1"/>
          <w:bCs w:val="1"/>
          <w:color w:val="51555C"/>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60" w:hanging="534"/>
        <w:spacing w:after="0"/>
        <w:tabs>
          <w:tab w:leader="none" w:pos="560" w:val="left"/>
        </w:tabs>
        <w:numPr>
          <w:ilvl w:val="0"/>
          <w:numId w:val="97"/>
        </w:numPr>
        <w:rPr>
          <w:rFonts w:ascii="Arial" w:cs="Arial" w:eastAsia="Arial" w:hAnsi="Arial"/>
          <w:sz w:val="22"/>
          <w:szCs w:val="22"/>
          <w:b w:val="1"/>
          <w:bCs w:val="1"/>
          <w:color w:val="006880"/>
        </w:rPr>
      </w:pPr>
      <w:r>
        <w:rPr>
          <w:rFonts w:ascii="Arial" w:cs="Arial" w:eastAsia="Arial" w:hAnsi="Arial"/>
          <w:sz w:val="22"/>
          <w:szCs w:val="22"/>
          <w:b w:val="1"/>
          <w:bCs w:val="1"/>
          <w:color w:val="006880"/>
        </w:rPr>
        <w:t>How can I change my vote after submitting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51555C"/>
        </w:rPr>
        <w:t>If you are a stockholder of record, you can revoke your proxy before your shares are voted at the meeting by:</w:t>
      </w:r>
    </w:p>
    <w:p>
      <w:pPr>
        <w:spacing w:after="0" w:line="63" w:lineRule="exact"/>
        <w:rPr>
          <w:sz w:val="20"/>
          <w:szCs w:val="20"/>
          <w:color w:val="auto"/>
        </w:rPr>
      </w:pPr>
    </w:p>
    <w:p>
      <w:pPr>
        <w:ind w:left="500" w:hanging="168"/>
        <w:spacing w:after="0" w:line="281" w:lineRule="auto"/>
        <w:tabs>
          <w:tab w:leader="none" w:pos="468" w:val="left"/>
        </w:tabs>
        <w:numPr>
          <w:ilvl w:val="0"/>
          <w:numId w:val="98"/>
        </w:numPr>
        <w:rPr>
          <w:rFonts w:ascii="Arial" w:cs="Arial" w:eastAsia="Arial" w:hAnsi="Arial"/>
          <w:sz w:val="18"/>
          <w:szCs w:val="18"/>
          <w:color w:val="51555C"/>
        </w:rPr>
      </w:pPr>
      <w:r>
        <w:rPr>
          <w:rFonts w:ascii="Arial" w:cs="Arial" w:eastAsia="Arial" w:hAnsi="Arial"/>
          <w:sz w:val="18"/>
          <w:szCs w:val="18"/>
          <w:color w:val="51555C"/>
        </w:rPr>
        <w:t>Filing a written notice of revocation bearing a later date than the proxy with our Corporate Secretary at 65 Fairchild Street, Charleston, South Carolina 29492 at or before the taking of the vote at the meeting;</w:t>
      </w:r>
    </w:p>
    <w:p>
      <w:pPr>
        <w:spacing w:after="0" w:line="1" w:lineRule="exact"/>
        <w:rPr>
          <w:rFonts w:ascii="Arial" w:cs="Arial" w:eastAsia="Arial" w:hAnsi="Arial"/>
          <w:sz w:val="18"/>
          <w:szCs w:val="18"/>
          <w:color w:val="51555C"/>
        </w:rPr>
      </w:pPr>
    </w:p>
    <w:p>
      <w:pPr>
        <w:ind w:left="500" w:hanging="168"/>
        <w:spacing w:after="0" w:line="281" w:lineRule="auto"/>
        <w:tabs>
          <w:tab w:leader="none" w:pos="468" w:val="left"/>
        </w:tabs>
        <w:numPr>
          <w:ilvl w:val="0"/>
          <w:numId w:val="98"/>
        </w:numPr>
        <w:rPr>
          <w:rFonts w:ascii="Arial" w:cs="Arial" w:eastAsia="Arial" w:hAnsi="Arial"/>
          <w:sz w:val="18"/>
          <w:szCs w:val="18"/>
          <w:color w:val="51555C"/>
        </w:rPr>
      </w:pPr>
      <w:r>
        <w:rPr>
          <w:rFonts w:ascii="Arial" w:cs="Arial" w:eastAsia="Arial" w:hAnsi="Arial"/>
          <w:sz w:val="18"/>
          <w:szCs w:val="18"/>
          <w:color w:val="51555C"/>
        </w:rPr>
        <w:t>Duly executing a later-dated proxy relating to the same shares and delivering it to our Corporate Secretary at 65 Fairchild Street, Charleston, South Carolina 29492 at or before the taking of the vote at the meeting;</w:t>
      </w:r>
    </w:p>
    <w:p>
      <w:pPr>
        <w:spacing w:after="0" w:line="1" w:lineRule="exact"/>
        <w:rPr>
          <w:rFonts w:ascii="Arial" w:cs="Arial" w:eastAsia="Arial" w:hAnsi="Arial"/>
          <w:sz w:val="18"/>
          <w:szCs w:val="18"/>
          <w:color w:val="51555C"/>
        </w:rPr>
      </w:pPr>
    </w:p>
    <w:p>
      <w:pPr>
        <w:ind w:left="500" w:hanging="168"/>
        <w:spacing w:after="0" w:line="281" w:lineRule="auto"/>
        <w:tabs>
          <w:tab w:leader="none" w:pos="468" w:val="left"/>
        </w:tabs>
        <w:numPr>
          <w:ilvl w:val="0"/>
          <w:numId w:val="98"/>
        </w:numPr>
        <w:rPr>
          <w:rFonts w:ascii="Arial" w:cs="Arial" w:eastAsia="Arial" w:hAnsi="Arial"/>
          <w:sz w:val="18"/>
          <w:szCs w:val="18"/>
          <w:color w:val="51555C"/>
        </w:rPr>
      </w:pPr>
      <w:r>
        <w:rPr>
          <w:rFonts w:ascii="Arial" w:cs="Arial" w:eastAsia="Arial" w:hAnsi="Arial"/>
          <w:sz w:val="18"/>
          <w:szCs w:val="18"/>
          <w:color w:val="51555C"/>
        </w:rPr>
        <w:t>Attending the virtual meeting and voting electronically (although attendance at the meeting will not in and of itself constitute a revocation of a proxy); or</w:t>
      </w:r>
    </w:p>
    <w:p>
      <w:pPr>
        <w:spacing w:after="0" w:line="1" w:lineRule="exact"/>
        <w:rPr>
          <w:rFonts w:ascii="Arial" w:cs="Arial" w:eastAsia="Arial" w:hAnsi="Arial"/>
          <w:sz w:val="18"/>
          <w:szCs w:val="18"/>
          <w:color w:val="51555C"/>
        </w:rPr>
      </w:pPr>
    </w:p>
    <w:p>
      <w:pPr>
        <w:ind w:left="500" w:right="20" w:hanging="168"/>
        <w:spacing w:after="0" w:line="287" w:lineRule="auto"/>
        <w:tabs>
          <w:tab w:leader="none" w:pos="468" w:val="left"/>
        </w:tabs>
        <w:numPr>
          <w:ilvl w:val="0"/>
          <w:numId w:val="98"/>
        </w:numPr>
        <w:rPr>
          <w:rFonts w:ascii="Arial" w:cs="Arial" w:eastAsia="Arial" w:hAnsi="Arial"/>
          <w:sz w:val="18"/>
          <w:szCs w:val="18"/>
          <w:color w:val="51555C"/>
        </w:rPr>
      </w:pPr>
      <w:r>
        <w:rPr>
          <w:rFonts w:ascii="Arial" w:cs="Arial" w:eastAsia="Arial" w:hAnsi="Arial"/>
          <w:sz w:val="18"/>
          <w:szCs w:val="18"/>
          <w:color w:val="51555C"/>
        </w:rPr>
        <w:t>If you voted by telephone or via the Internet, voting again by the same means prior to 11:59 p.m. Eastern Time on June 9, 2026 (your latest telephone or Internet vote, as applicable, will be counted and all earlier votes will be superseded).</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If you are a beneficial owner of shares held in street name, you may submit new voting instructions by contacting your bank, broker, nominee or trustee. You may also vote during the meeting if you obtain a legal proxy from them.</w:t>
      </w:r>
    </w:p>
    <w:p>
      <w:pPr>
        <w:spacing w:after="0" w:line="373" w:lineRule="exact"/>
        <w:rPr>
          <w:sz w:val="20"/>
          <w:szCs w:val="20"/>
          <w:color w:val="auto"/>
        </w:rPr>
      </w:pPr>
    </w:p>
    <w:p>
      <w:pPr>
        <w:ind w:left="560" w:hanging="534"/>
        <w:spacing w:after="0"/>
        <w:tabs>
          <w:tab w:leader="none" w:pos="560" w:val="left"/>
        </w:tabs>
        <w:numPr>
          <w:ilvl w:val="0"/>
          <w:numId w:val="99"/>
        </w:numPr>
        <w:rPr>
          <w:rFonts w:ascii="Arial" w:cs="Arial" w:eastAsia="Arial" w:hAnsi="Arial"/>
          <w:sz w:val="22"/>
          <w:szCs w:val="22"/>
          <w:b w:val="1"/>
          <w:bCs w:val="1"/>
          <w:color w:val="006880"/>
        </w:rPr>
      </w:pPr>
      <w:r>
        <w:rPr>
          <w:rFonts w:ascii="Arial" w:cs="Arial" w:eastAsia="Arial" w:hAnsi="Arial"/>
          <w:sz w:val="22"/>
          <w:szCs w:val="22"/>
          <w:b w:val="1"/>
          <w:bCs w:val="1"/>
          <w:color w:val="006880"/>
        </w:rPr>
        <w:t>Where can I find the voting results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We will announce the preliminary voting results at the 2026 Annual Meeting of Stockholders. We will publish the final results in a Current Report on Form 8-K filed with the SEC within four business days of the meeting.</w:t>
      </w:r>
    </w:p>
    <w:p>
      <w:pPr>
        <w:spacing w:after="0" w:line="373" w:lineRule="exact"/>
        <w:rPr>
          <w:sz w:val="20"/>
          <w:szCs w:val="20"/>
          <w:color w:val="auto"/>
        </w:rPr>
      </w:pPr>
    </w:p>
    <w:p>
      <w:pPr>
        <w:ind w:left="560" w:hanging="534"/>
        <w:spacing w:after="0"/>
        <w:tabs>
          <w:tab w:leader="none" w:pos="560" w:val="left"/>
        </w:tabs>
        <w:numPr>
          <w:ilvl w:val="0"/>
          <w:numId w:val="100"/>
        </w:numPr>
        <w:rPr>
          <w:rFonts w:ascii="Arial" w:cs="Arial" w:eastAsia="Arial" w:hAnsi="Arial"/>
          <w:sz w:val="22"/>
          <w:szCs w:val="22"/>
          <w:b w:val="1"/>
          <w:bCs w:val="1"/>
          <w:color w:val="006880"/>
        </w:rPr>
      </w:pPr>
      <w:r>
        <w:rPr>
          <w:rFonts w:ascii="Arial" w:cs="Arial" w:eastAsia="Arial" w:hAnsi="Arial"/>
          <w:sz w:val="22"/>
          <w:szCs w:val="22"/>
          <w:b w:val="1"/>
          <w:bCs w:val="1"/>
          <w:color w:val="006880"/>
        </w:rPr>
        <w:t>For how long can I access the proxy materials on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 xml:space="preserve">The Notice of Annual Meeting, Proxy Statement, 2025 Annual Report to Stockholders and Annual Report on Form 10-K for the fiscal year ended December 31, 2025 are also available, free of charge, in PDF and HTML format at </w:t>
      </w:r>
      <w:r>
        <w:rPr>
          <w:rFonts w:ascii="Arial" w:cs="Arial" w:eastAsia="Arial" w:hAnsi="Arial"/>
          <w:sz w:val="18"/>
          <w:szCs w:val="18"/>
          <w:b w:val="1"/>
          <w:bCs w:val="1"/>
          <w:u w:val="single" w:color="auto"/>
          <w:color w:val="51555C"/>
        </w:rPr>
        <w:t>https://proxy.blackbaud.com</w:t>
      </w:r>
      <w:r>
        <w:rPr>
          <w:rFonts w:ascii="Arial" w:cs="Arial" w:eastAsia="Arial" w:hAnsi="Arial"/>
          <w:sz w:val="18"/>
          <w:szCs w:val="18"/>
          <w:color w:val="51555C"/>
        </w:rPr>
        <w:t xml:space="preserve"> and will remain posted on this website at least until the conclusion of the meeting.</w:t>
      </w:r>
    </w:p>
    <w:p>
      <w:pPr>
        <w:spacing w:after="0" w:line="390" w:lineRule="exact"/>
        <w:rPr>
          <w:sz w:val="20"/>
          <w:szCs w:val="20"/>
          <w:color w:val="auto"/>
        </w:rPr>
      </w:pPr>
    </w:p>
    <w:p>
      <w:pPr>
        <w:ind w:left="560" w:hanging="534"/>
        <w:spacing w:after="0"/>
        <w:tabs>
          <w:tab w:leader="none" w:pos="560" w:val="left"/>
        </w:tabs>
        <w:numPr>
          <w:ilvl w:val="0"/>
          <w:numId w:val="101"/>
        </w:numPr>
        <w:rPr>
          <w:rFonts w:ascii="Arial" w:cs="Arial" w:eastAsia="Arial" w:hAnsi="Arial"/>
          <w:sz w:val="22"/>
          <w:szCs w:val="22"/>
          <w:b w:val="1"/>
          <w:bCs w:val="1"/>
          <w:color w:val="006880"/>
        </w:rPr>
      </w:pPr>
      <w:r>
        <w:rPr>
          <w:rFonts w:ascii="Arial" w:cs="Arial" w:eastAsia="Arial" w:hAnsi="Arial"/>
          <w:sz w:val="22"/>
          <w:szCs w:val="22"/>
          <w:b w:val="1"/>
          <w:bCs w:val="1"/>
          <w:color w:val="006880"/>
        </w:rPr>
        <w:t>How are proxies solicited and what is the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We bear the expense of soliciting proxies. Our directors, executive officers or employees may also solicit proxies personally or by telephone, e-mail, facsimile or other means of communication. We do not intend to pay additional compensation for doing so. We might reimburse banks, brokerage firms and other custodians, nominees and fiduciaries representing beneficial owners of our common stock, for their expenses in forwarding soliciting materials to those beneficial owners.</w:t>
      </w:r>
    </w:p>
    <w:p>
      <w:pPr>
        <w:spacing w:after="0" w:line="215"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STOCKHOLDER PROPOSALS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Stockholders may present proposals for action at meetings of stockholders only if they comply with the proxy rules established by the SEC, applicable Delaware law and our Bylaws, a copy of which is listed as Exhibit 3.1 to our Current Report on Form 8-K filed with the SEC on December 19, 2025. No stockholder proposals are to be considered at our 2026 Annual Meeting of Stockholders.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Under SEC Rule 14a-8, in order for a stockholder proposal to be included in our proxy solicitation materials for our 2027 Annual Meeting of Stockholders, it must be delivered to our Corporate Secretary at our principal executive offices by December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212090</wp:posOffset>
            </wp:positionV>
            <wp:extent cx="702945" cy="11112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83</w:t>
            </w:r>
          </w:p>
        </w:tc>
      </w:tr>
      <w:tr>
        <w:trPr>
          <w:trHeight w:val="271"/>
        </w:trPr>
        <w:tc>
          <w:tcPr>
            <w:tcW w:w="1020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85" w:name="page86"/>
    <w:bookmarkEnd w:id="85"/>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ADDITIONAL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Our Bylaws require that we be given advance written notice for stockholders to submit nominations for directors, solicitations in support of director nominees other than the Company's nominees and proposals of business that stockholders wish to submit for consideration at our 2027 Annual Meeting of Stockholders other than those intended to be included in next year’s Proxy Statement under Rule 14a-8 of the Exchange Act. To be properly brought before the 2027 Annual Meeting of Stockholders, written notice consistent with our Bylaws must be received by our Corporate Secretary at the principal executive office of the Company not earlier than the close of business on the 120th day, and not later than the close of business on the 90th day prior to the first anniversary of the date on which the Company’s Proxy Statement was released to stockholders in connection with the preceding year’s annual meeting of stockholders. As a result, any notice given by or on behalf of a stockholder pursuant to these provisions of our Bylaws (and not pursuant to SEC Rule 14a-8) must be received no later than the close of business on January 21, 2027, nor earlier than December 22, 2026. However, if the date of the 2027 Annual Meeting of Stockholders is more than 30 days prior to or more than 70 days after such anniversary date, or if no annual meeting of stockholders was held in the preceding year, notice by the stockholder to be timely must be received not earlier than the close of business on the 120th day prior to such annual meeting and not later than the close of business on the later of the 90th day prior to such annual meeting and the 10th day following the day on which public disclosure (as defined in our Bylaws) of the date of such meeting is first made by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51555C"/>
        </w:rPr>
        <w:t>All matters submitted must comply with the applicable requirements or conditions established by the SEC and our Bylaws.</w:t>
      </w:r>
    </w:p>
    <w:p>
      <w:pPr>
        <w:spacing w:after="0" w:line="264"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DELIVERY OF DOCUMENTS TO STOCKHOLDERS SHARING AN ADDRESS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The SEC has adopted rules that permit companies to deliver a single Notice of Internet Availability or a single copy of proxy materials to multiple stockholders sharing an address unless a company has received contrary instructions from one or more of the stockholders at that address. Upon written or oral request, we will promptly deliver a separate Notice of Internet Availability or separate copy of proxy materials to one or more stockholders at a shared address to which a single Notice of Internet Availability or a single copy of proxy materials was delivered. Stockholders may request a separate Notice of Internet Availability or separate copy of proxy materials by contacting our Corporate Secretary either by calling 1-800-443-9441 or by mailing a request to 65 Fairchild Street, Charleston, South Carolina 29492. Stockholders at a shared address who receive multiple Notices of Internet Availability or multiple copies of proxy materials may request to receive a single Notice of Internet Availability or a single copy of proxy materials in the future in the same manner as described above.</w:t>
      </w:r>
    </w:p>
    <w:p>
      <w:pPr>
        <w:spacing w:after="0" w:line="223"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ANNUAL REPORT ON FORM 10-K</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 xml:space="preserve">Our Annual Report on Form 10-K for the fiscal year ended December 31, 2025, as filed with the SEC on February 18, 2026, is accessible free of charge on our website at </w:t>
      </w:r>
      <w:r>
        <w:rPr>
          <w:rFonts w:ascii="Arial" w:cs="Arial" w:eastAsia="Arial" w:hAnsi="Arial"/>
          <w:sz w:val="18"/>
          <w:szCs w:val="18"/>
          <w:b w:val="1"/>
          <w:bCs w:val="1"/>
          <w:u w:val="single" w:color="auto"/>
          <w:color w:val="51555C"/>
        </w:rPr>
        <w:t>https://proxy.blackbaud.com</w:t>
      </w:r>
      <w:r>
        <w:rPr>
          <w:rFonts w:ascii="Arial" w:cs="Arial" w:eastAsia="Arial" w:hAnsi="Arial"/>
          <w:sz w:val="18"/>
          <w:szCs w:val="18"/>
          <w:color w:val="51555C"/>
        </w:rPr>
        <w:t xml:space="preserve">. It contains audited financial statements covering our fiscal years ended December 31, 2025, 2024 and 2023. </w:t>
      </w:r>
      <w:r>
        <w:rPr>
          <w:rFonts w:ascii="Arial" w:cs="Arial" w:eastAsia="Arial" w:hAnsi="Arial"/>
          <w:sz w:val="18"/>
          <w:szCs w:val="18"/>
          <w:b w:val="1"/>
          <w:bCs w:val="1"/>
          <w:color w:val="51555C"/>
        </w:rPr>
        <w:t>You can request a copy of our Annual Report on Form 10-K free of charge by calling 1-866-900-</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51555C"/>
        </w:rPr>
        <w:t xml:space="preserve">BLKB or sending an e-mail to our Director, Investor Relations at </w:t>
      </w:r>
      <w:r>
        <w:rPr>
          <w:rFonts w:ascii="Arial" w:cs="Arial" w:eastAsia="Arial" w:hAnsi="Arial"/>
          <w:sz w:val="18"/>
          <w:szCs w:val="18"/>
          <w:b w:val="1"/>
          <w:bCs w:val="1"/>
          <w:u w:val="single" w:color="auto"/>
          <w:color w:val="51555C"/>
        </w:rPr>
        <w:t>IR@blackbaud.com</w:t>
      </w:r>
      <w:r>
        <w:rPr>
          <w:rFonts w:ascii="Arial" w:cs="Arial" w:eastAsia="Arial" w:hAnsi="Arial"/>
          <w:sz w:val="18"/>
          <w:szCs w:val="18"/>
          <w:b w:val="1"/>
          <w:bCs w:val="1"/>
          <w:color w:val="51555C"/>
        </w:rPr>
        <w:t>. Please include your contact information with the request.</w:t>
      </w:r>
    </w:p>
    <w:p>
      <w:pPr>
        <w:spacing w:after="0" w:line="194"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OTHER MATTERS</w:t>
      </w:r>
    </w:p>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The Board knows of no other matters to be submitted at the 2026 Annual Meeting of Stockholders. If any other matters properly come before the Annual Meeting, it is the intention of the persons named in the enclosed form of proxy to vote the shares they represent as the Board recommends.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51555C"/>
        </w:rPr>
        <w:t>THE BOARD OF DIRECTORS</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51555C"/>
        </w:rPr>
        <w:t>April 21, 2026</w:t>
      </w:r>
    </w:p>
    <w:p>
      <w:pPr>
        <w:spacing w:after="0" w:line="382"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84</w:t>
      </w:r>
      <w:r>
        <w:rPr>
          <w:sz w:val="20"/>
          <w:szCs w:val="20"/>
          <w:color w:val="auto"/>
        </w:rPr>
        <w:tab/>
      </w:r>
      <w:r>
        <w:rPr>
          <w:sz w:val="1"/>
          <w:szCs w:val="1"/>
          <w:color w:val="auto"/>
        </w:rPr>
        <w:drawing>
          <wp:inline distT="0" distB="0" distL="0" distR="0">
            <wp:extent cx="702945" cy="111760"/>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02945" cy="111760"/>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86" w:name="page87"/>
    <w:bookmarkEnd w:id="86"/>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sz w:val="1"/>
          <w:szCs w:val="1"/>
          <w:color w:val="auto"/>
        </w:rPr>
        <w:drawing>
          <wp:inline distT="0" distB="0" distL="0" distR="0">
            <wp:extent cx="257175" cy="257175"/>
            <wp:effectExtent l="0" t="0" r="0" b="0"/>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Arial" w:cs="Arial" w:eastAsia="Arial" w:hAnsi="Arial"/>
          <w:sz w:val="40"/>
          <w:szCs w:val="40"/>
          <w:b w:val="1"/>
          <w:bCs w:val="1"/>
          <w:color w:val="50535A"/>
        </w:rPr>
        <w:t xml:space="preserve"> APPENDICES</w:t>
      </w:r>
    </w:p>
    <w:p>
      <w:pPr>
        <w:spacing w:after="0" w:line="360" w:lineRule="exact"/>
        <w:rPr>
          <w:sz w:val="20"/>
          <w:szCs w:val="20"/>
          <w:color w:val="auto"/>
        </w:rPr>
      </w:pPr>
    </w:p>
    <w:p>
      <w:pPr>
        <w:ind w:right="1400"/>
        <w:spacing w:after="0" w:line="288" w:lineRule="auto"/>
        <w:rPr>
          <w:sz w:val="20"/>
          <w:szCs w:val="20"/>
          <w:color w:val="auto"/>
        </w:rPr>
      </w:pPr>
      <w:r>
        <w:rPr>
          <w:rFonts w:ascii="Arial" w:cs="Arial" w:eastAsia="Arial" w:hAnsi="Arial"/>
          <w:sz w:val="29"/>
          <w:szCs w:val="29"/>
          <w:b w:val="1"/>
          <w:bCs w:val="1"/>
          <w:color w:val="004054"/>
        </w:rPr>
        <w:t>APPENDIX A—RECONCILIATIONS OF GAAP TO NON-GAAP FINANCIAL MEASURES</w:t>
      </w:r>
    </w:p>
    <w:p>
      <w:pPr>
        <w:spacing w:after="0" w:line="6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51555C"/>
        </w:rPr>
        <w:t>The operating results analyzed below are presented on a non-GAAP basis. We use non-GAAP financial measures internally in analyzing our operational performance. Accordingly, we believe these non-GAAP measures are useful to investors, as a supplement to GAAP measures, in evaluating our ongoing operational performance. While we believe these non-GAAP measures provide useful supplemental information, non-GAAP financial measures should not be considered in isolation from, or as a substitute for, financial information prepared in accordance with GAAP. In addition, these non-GAAP financial measures may not be completely comparable to similarly titled measures of other companies due to potential differences in the exact method of calculation between companies.</w:t>
      </w:r>
    </w:p>
    <w:p>
      <w:pPr>
        <w:spacing w:after="0" w:line="12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51555C"/>
        </w:rPr>
        <w:t>The non-GAAP financial measures discussed below exclude the impact of certain transactions because we believe they are not directly related to our operating performance in any particular period, but are for our long-term benefit over multiple periods. We believe that these non-GAAP financial measures reflect our ongoing business in a manner that allows for meaningful period-to-period comparisons and analysis of trends in our business.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00" w:type="dxa"/>
            <w:vAlign w:val="bottom"/>
            <w:tcBorders>
              <w:top w:val="single" w:sz="8" w:color="004054"/>
              <w:bottom w:val="single" w:sz="8" w:color="004054"/>
              <w:right w:val="single" w:sz="8" w:color="006880"/>
            </w:tcBorders>
            <w:shd w:val="clear" w:color="auto" w:fill="004054"/>
          </w:tcPr>
          <w:p>
            <w:pPr>
              <w:spacing w:after="0"/>
              <w:rPr>
                <w:sz w:val="20"/>
                <w:szCs w:val="20"/>
                <w:color w:val="auto"/>
              </w:rPr>
            </w:pPr>
          </w:p>
        </w:tc>
        <w:tc>
          <w:tcPr>
            <w:tcW w:w="420" w:type="dxa"/>
            <w:vAlign w:val="bottom"/>
            <w:tcBorders>
              <w:top w:val="single" w:sz="8" w:color="006880"/>
              <w:bottom w:val="single" w:sz="8" w:color="004054"/>
            </w:tcBorders>
            <w:shd w:val="clear" w:color="auto" w:fill="006880"/>
          </w:tcPr>
          <w:p>
            <w:pPr>
              <w:spacing w:after="0"/>
              <w:rPr>
                <w:sz w:val="20"/>
                <w:szCs w:val="20"/>
                <w:color w:val="auto"/>
              </w:rPr>
            </w:pPr>
          </w:p>
        </w:tc>
        <w:tc>
          <w:tcPr>
            <w:tcW w:w="2720" w:type="dxa"/>
            <w:vAlign w:val="bottom"/>
            <w:tcBorders>
              <w:top w:val="single" w:sz="8" w:color="006880"/>
              <w:bottom w:val="single" w:sz="8" w:color="004054"/>
            </w:tcBorders>
            <w:gridSpan w:val="3"/>
            <w:shd w:val="clear" w:color="auto" w:fill="006880"/>
          </w:tcPr>
          <w:p>
            <w:pPr>
              <w:jc w:val="right"/>
              <w:spacing w:after="0"/>
              <w:rPr>
                <w:sz w:val="20"/>
                <w:szCs w:val="20"/>
                <w:color w:val="auto"/>
              </w:rPr>
            </w:pPr>
            <w:r>
              <w:rPr>
                <w:rFonts w:ascii="Arial" w:cs="Arial" w:eastAsia="Arial" w:hAnsi="Arial"/>
                <w:sz w:val="14"/>
                <w:szCs w:val="14"/>
                <w:b w:val="1"/>
                <w:bCs w:val="1"/>
                <w:color w:val="FFFFFF"/>
              </w:rPr>
              <w:t>Years ended December 31,</w:t>
            </w:r>
          </w:p>
        </w:tc>
        <w:tc>
          <w:tcPr>
            <w:tcW w:w="20" w:type="dxa"/>
            <w:vAlign w:val="bottom"/>
            <w:tcBorders>
              <w:top w:val="single" w:sz="8" w:color="006880"/>
              <w:bottom w:val="single" w:sz="8" w:color="006880"/>
            </w:tcBorders>
            <w:shd w:val="clear" w:color="auto" w:fill="006880"/>
          </w:tcPr>
          <w:p>
            <w:pPr>
              <w:spacing w:after="0"/>
              <w:rPr>
                <w:sz w:val="20"/>
                <w:szCs w:val="20"/>
                <w:color w:val="auto"/>
              </w:rPr>
            </w:pPr>
          </w:p>
        </w:tc>
      </w:tr>
      <w:tr>
        <w:trPr>
          <w:trHeight w:val="223"/>
        </w:trPr>
        <w:tc>
          <w:tcPr>
            <w:tcW w:w="8100" w:type="dxa"/>
            <w:vAlign w:val="bottom"/>
            <w:tcBorders>
              <w:bottom w:val="single" w:sz="8" w:color="004054"/>
              <w:right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20" w:type="dxa"/>
            <w:vAlign w:val="bottom"/>
            <w:tcBorders>
              <w:bottom w:val="single" w:sz="8" w:color="004054"/>
            </w:tcBorders>
            <w:shd w:val="clear" w:color="auto" w:fill="004054"/>
          </w:tcPr>
          <w:p>
            <w:pPr>
              <w:spacing w:after="0"/>
              <w:rPr>
                <w:sz w:val="19"/>
                <w:szCs w:val="19"/>
                <w:color w:val="auto"/>
              </w:rPr>
            </w:pPr>
          </w:p>
        </w:tc>
        <w:tc>
          <w:tcPr>
            <w:tcW w:w="11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440" w:type="dxa"/>
            <w:vAlign w:val="bottom"/>
            <w:tcBorders>
              <w:bottom w:val="single" w:sz="8" w:color="004054"/>
            </w:tcBorders>
            <w:shd w:val="clear" w:color="auto" w:fill="004054"/>
          </w:tcPr>
          <w:p>
            <w:pPr>
              <w:spacing w:after="0"/>
              <w:rPr>
                <w:sz w:val="19"/>
                <w:szCs w:val="19"/>
                <w:color w:val="auto"/>
              </w:rPr>
            </w:pPr>
          </w:p>
        </w:tc>
        <w:tc>
          <w:tcPr>
            <w:tcW w:w="11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20" w:type="dxa"/>
            <w:vAlign w:val="bottom"/>
            <w:tcBorders>
              <w:bottom w:val="single" w:sz="8" w:color="004054"/>
            </w:tcBorders>
            <w:shd w:val="clear" w:color="auto" w:fill="004054"/>
          </w:tcPr>
          <w:p>
            <w:pPr>
              <w:spacing w:after="0"/>
              <w:rPr>
                <w:sz w:val="19"/>
                <w:szCs w:val="19"/>
                <w:color w:val="auto"/>
              </w:rPr>
            </w:pPr>
          </w:p>
        </w:tc>
      </w:tr>
      <w:tr>
        <w:trPr>
          <w:trHeight w:val="318"/>
        </w:trPr>
        <w:tc>
          <w:tcPr>
            <w:tcW w:w="8100" w:type="dxa"/>
            <w:vAlign w:val="bottom"/>
            <w:tcBorders>
              <w:right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GAAP Revenue</w:t>
            </w:r>
          </w:p>
        </w:tc>
        <w:tc>
          <w:tcPr>
            <w:tcW w:w="420" w:type="dxa"/>
            <w:vAlign w:val="bottom"/>
            <w:tcBorders>
              <w:bottom w:val="single" w:sz="8" w:color="51555C"/>
            </w:tcBorders>
            <w:shd w:val="clear" w:color="auto" w:fill="EBFBFF"/>
          </w:tcPr>
          <w:p>
            <w:pPr>
              <w:jc w:val="right"/>
              <w:ind w:right="230"/>
              <w:spacing w:after="0"/>
              <w:rPr>
                <w:sz w:val="20"/>
                <w:szCs w:val="20"/>
                <w:color w:val="auto"/>
              </w:rPr>
            </w:pPr>
            <w:r>
              <w:rPr>
                <w:rFonts w:ascii="Arial" w:cs="Arial" w:eastAsia="Arial" w:hAnsi="Arial"/>
                <w:sz w:val="18"/>
                <w:szCs w:val="18"/>
                <w:color w:val="51555C"/>
                <w:w w:val="79"/>
              </w:rPr>
              <w:t>$</w:t>
            </w:r>
          </w:p>
        </w:tc>
        <w:tc>
          <w:tcPr>
            <w:tcW w:w="1140" w:type="dxa"/>
            <w:vAlign w:val="bottom"/>
            <w:tcBorders>
              <w:bottom w:val="single" w:sz="8" w:color="51555C"/>
            </w:tcBorders>
            <w:shd w:val="clear" w:color="auto" w:fill="EBFBFF"/>
          </w:tcPr>
          <w:p>
            <w:pPr>
              <w:jc w:val="right"/>
              <w:ind w:right="153"/>
              <w:spacing w:after="0"/>
              <w:rPr>
                <w:sz w:val="20"/>
                <w:szCs w:val="20"/>
                <w:color w:val="auto"/>
              </w:rPr>
            </w:pPr>
            <w:r>
              <w:rPr>
                <w:rFonts w:ascii="Arial" w:cs="Arial" w:eastAsia="Arial" w:hAnsi="Arial"/>
                <w:sz w:val="18"/>
                <w:szCs w:val="18"/>
                <w:color w:val="51555C"/>
              </w:rPr>
              <w:t>1,128.4</w:t>
            </w:r>
          </w:p>
        </w:tc>
        <w:tc>
          <w:tcPr>
            <w:tcW w:w="440" w:type="dxa"/>
            <w:vAlign w:val="bottom"/>
            <w:tcBorders>
              <w:bottom w:val="single" w:sz="8" w:color="51555C"/>
            </w:tcBorders>
            <w:shd w:val="clear" w:color="auto" w:fill="EBFBFF"/>
          </w:tcPr>
          <w:p>
            <w:pPr>
              <w:jc w:val="right"/>
              <w:ind w:right="230"/>
              <w:spacing w:after="0"/>
              <w:rPr>
                <w:sz w:val="20"/>
                <w:szCs w:val="20"/>
                <w:color w:val="auto"/>
              </w:rPr>
            </w:pPr>
            <w:r>
              <w:rPr>
                <w:rFonts w:ascii="Arial" w:cs="Arial" w:eastAsia="Arial" w:hAnsi="Arial"/>
                <w:sz w:val="18"/>
                <w:szCs w:val="18"/>
                <w:color w:val="51555C"/>
                <w:w w:val="99"/>
              </w:rPr>
              <w:t>$</w:t>
            </w:r>
          </w:p>
        </w:tc>
        <w:tc>
          <w:tcPr>
            <w:tcW w:w="1140" w:type="dxa"/>
            <w:vAlign w:val="bottom"/>
            <w:tcBorders>
              <w:bottom w:val="single" w:sz="8" w:color="51555C"/>
            </w:tcBorders>
            <w:shd w:val="clear" w:color="auto" w:fill="EBFBFF"/>
          </w:tcPr>
          <w:p>
            <w:pPr>
              <w:jc w:val="right"/>
              <w:ind w:right="151"/>
              <w:spacing w:after="0"/>
              <w:rPr>
                <w:sz w:val="20"/>
                <w:szCs w:val="20"/>
                <w:color w:val="auto"/>
              </w:rPr>
            </w:pPr>
            <w:r>
              <w:rPr>
                <w:rFonts w:ascii="Arial" w:cs="Arial" w:eastAsia="Arial" w:hAnsi="Arial"/>
                <w:sz w:val="18"/>
                <w:szCs w:val="18"/>
                <w:color w:val="51555C"/>
              </w:rPr>
              <w:t>1,154.6</w:t>
            </w:r>
          </w:p>
        </w:tc>
        <w:tc>
          <w:tcPr>
            <w:tcW w:w="20" w:type="dxa"/>
            <w:vAlign w:val="bottom"/>
          </w:tcPr>
          <w:p>
            <w:pPr>
              <w:spacing w:after="0"/>
              <w:rPr>
                <w:sz w:val="24"/>
                <w:szCs w:val="24"/>
                <w:color w:val="auto"/>
              </w:rPr>
            </w:pPr>
          </w:p>
        </w:tc>
      </w:tr>
      <w:tr>
        <w:trPr>
          <w:trHeight w:val="94"/>
        </w:trPr>
        <w:tc>
          <w:tcPr>
            <w:tcW w:w="8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324"/>
        </w:trPr>
        <w:tc>
          <w:tcPr>
            <w:tcW w:w="8100" w:type="dxa"/>
            <w:vAlign w:val="bottom"/>
            <w:tcBorders>
              <w:right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GAAP income (loss) from operations</w:t>
            </w:r>
          </w:p>
        </w:tc>
        <w:tc>
          <w:tcPr>
            <w:tcW w:w="420" w:type="dxa"/>
            <w:vAlign w:val="bottom"/>
            <w:shd w:val="clear" w:color="auto" w:fill="EBFBFF"/>
          </w:tcPr>
          <w:p>
            <w:pPr>
              <w:jc w:val="right"/>
              <w:ind w:right="230"/>
              <w:spacing w:after="0"/>
              <w:rPr>
                <w:sz w:val="20"/>
                <w:szCs w:val="20"/>
                <w:color w:val="auto"/>
              </w:rPr>
            </w:pPr>
            <w:r>
              <w:rPr>
                <w:rFonts w:ascii="Arial" w:cs="Arial" w:eastAsia="Arial" w:hAnsi="Arial"/>
                <w:sz w:val="18"/>
                <w:szCs w:val="18"/>
                <w:color w:val="51555C"/>
                <w:w w:val="79"/>
              </w:rPr>
              <w:t>$</w:t>
            </w:r>
          </w:p>
        </w:tc>
        <w:tc>
          <w:tcPr>
            <w:tcW w:w="1140" w:type="dxa"/>
            <w:vAlign w:val="bottom"/>
            <w:shd w:val="clear" w:color="auto" w:fill="EBFBFF"/>
          </w:tcPr>
          <w:p>
            <w:pPr>
              <w:jc w:val="right"/>
              <w:ind w:right="153"/>
              <w:spacing w:after="0"/>
              <w:rPr>
                <w:sz w:val="20"/>
                <w:szCs w:val="20"/>
                <w:color w:val="auto"/>
              </w:rPr>
            </w:pPr>
            <w:r>
              <w:rPr>
                <w:rFonts w:ascii="Arial" w:cs="Arial" w:eastAsia="Arial" w:hAnsi="Arial"/>
                <w:sz w:val="18"/>
                <w:szCs w:val="18"/>
                <w:color w:val="51555C"/>
              </w:rPr>
              <w:t>190.8</w:t>
            </w:r>
          </w:p>
        </w:tc>
        <w:tc>
          <w:tcPr>
            <w:tcW w:w="440" w:type="dxa"/>
            <w:vAlign w:val="bottom"/>
            <w:shd w:val="clear" w:color="auto" w:fill="EBFBFF"/>
          </w:tcPr>
          <w:p>
            <w:pPr>
              <w:jc w:val="right"/>
              <w:ind w:right="230"/>
              <w:spacing w:after="0"/>
              <w:rPr>
                <w:sz w:val="20"/>
                <w:szCs w:val="20"/>
                <w:color w:val="auto"/>
              </w:rPr>
            </w:pPr>
            <w:r>
              <w:rPr>
                <w:rFonts w:ascii="Arial" w:cs="Arial" w:eastAsia="Arial" w:hAnsi="Arial"/>
                <w:sz w:val="18"/>
                <w:szCs w:val="18"/>
                <w:color w:val="51555C"/>
                <w:w w:val="99"/>
              </w:rPr>
              <w:t>$</w:t>
            </w:r>
          </w:p>
        </w:tc>
        <w:tc>
          <w:tcPr>
            <w:tcW w:w="1140" w:type="dxa"/>
            <w:vAlign w:val="bottom"/>
            <w:shd w:val="clear" w:color="auto" w:fill="EBFBFF"/>
          </w:tcPr>
          <w:p>
            <w:pPr>
              <w:jc w:val="right"/>
              <w:ind w:right="91"/>
              <w:spacing w:after="0"/>
              <w:rPr>
                <w:sz w:val="20"/>
                <w:szCs w:val="20"/>
                <w:color w:val="auto"/>
              </w:rPr>
            </w:pPr>
            <w:r>
              <w:rPr>
                <w:rFonts w:ascii="Arial" w:cs="Arial" w:eastAsia="Arial" w:hAnsi="Arial"/>
                <w:sz w:val="18"/>
                <w:szCs w:val="18"/>
                <w:color w:val="51555C"/>
              </w:rPr>
              <w:t>(271.4)</w:t>
            </w:r>
          </w:p>
        </w:tc>
        <w:tc>
          <w:tcPr>
            <w:tcW w:w="20" w:type="dxa"/>
            <w:vAlign w:val="bottom"/>
          </w:tcPr>
          <w:p>
            <w:pPr>
              <w:spacing w:after="0"/>
              <w:rPr>
                <w:sz w:val="24"/>
                <w:szCs w:val="24"/>
                <w:color w:val="auto"/>
              </w:rPr>
            </w:pPr>
          </w:p>
        </w:tc>
      </w:tr>
      <w:tr>
        <w:trPr>
          <w:trHeight w:val="317"/>
        </w:trPr>
        <w:tc>
          <w:tcPr>
            <w:tcW w:w="8100" w:type="dxa"/>
            <w:vAlign w:val="bottom"/>
          </w:tcPr>
          <w:p>
            <w:pPr>
              <w:ind w:left="260"/>
              <w:spacing w:after="0"/>
              <w:rPr>
                <w:sz w:val="20"/>
                <w:szCs w:val="20"/>
                <w:color w:val="auto"/>
              </w:rPr>
            </w:pPr>
            <w:r>
              <w:rPr>
                <w:rFonts w:ascii="Arial" w:cs="Arial" w:eastAsia="Arial" w:hAnsi="Arial"/>
                <w:sz w:val="18"/>
                <w:szCs w:val="18"/>
                <w:b w:val="1"/>
                <w:bCs w:val="1"/>
                <w:color w:val="51555C"/>
              </w:rPr>
              <w:t>GAAP operating margin</w:t>
            </w:r>
          </w:p>
        </w:tc>
        <w:tc>
          <w:tcPr>
            <w:tcW w:w="4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51555C"/>
              </w:rPr>
              <w:t>16.9 %</w:t>
            </w: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51555C"/>
              </w:rPr>
              <w:t>(23.5)%</w:t>
            </w:r>
          </w:p>
        </w:tc>
        <w:tc>
          <w:tcPr>
            <w:tcW w:w="20" w:type="dxa"/>
            <w:vAlign w:val="bottom"/>
          </w:tcPr>
          <w:p>
            <w:pPr>
              <w:spacing w:after="0"/>
              <w:rPr>
                <w:sz w:val="24"/>
                <w:szCs w:val="24"/>
                <w:color w:val="auto"/>
              </w:rPr>
            </w:pPr>
          </w:p>
        </w:tc>
      </w:tr>
      <w:tr>
        <w:trPr>
          <w:trHeight w:val="331"/>
        </w:trPr>
        <w:tc>
          <w:tcPr>
            <w:tcW w:w="8100" w:type="dxa"/>
            <w:vAlign w:val="bottom"/>
            <w:tcBorders>
              <w:right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Non-GAAP adjustments:</w:t>
            </w:r>
          </w:p>
        </w:tc>
        <w:tc>
          <w:tcPr>
            <w:tcW w:w="420" w:type="dxa"/>
            <w:vAlign w:val="bottom"/>
            <w:shd w:val="clear" w:color="auto" w:fill="EBFBFF"/>
          </w:tcPr>
          <w:p>
            <w:pPr>
              <w:spacing w:after="0"/>
              <w:rPr>
                <w:sz w:val="24"/>
                <w:szCs w:val="24"/>
                <w:color w:val="auto"/>
              </w:rPr>
            </w:pPr>
          </w:p>
        </w:tc>
        <w:tc>
          <w:tcPr>
            <w:tcW w:w="1140" w:type="dxa"/>
            <w:vAlign w:val="bottom"/>
            <w:shd w:val="clear" w:color="auto" w:fill="EBFBFF"/>
          </w:tcPr>
          <w:p>
            <w:pPr>
              <w:spacing w:after="0"/>
              <w:rPr>
                <w:sz w:val="24"/>
                <w:szCs w:val="24"/>
                <w:color w:val="auto"/>
              </w:rPr>
            </w:pPr>
          </w:p>
        </w:tc>
        <w:tc>
          <w:tcPr>
            <w:tcW w:w="440" w:type="dxa"/>
            <w:vAlign w:val="bottom"/>
            <w:shd w:val="clear" w:color="auto" w:fill="EBFBFF"/>
          </w:tcPr>
          <w:p>
            <w:pPr>
              <w:spacing w:after="0"/>
              <w:rPr>
                <w:sz w:val="24"/>
                <w:szCs w:val="24"/>
                <w:color w:val="auto"/>
              </w:rPr>
            </w:pPr>
          </w:p>
        </w:tc>
        <w:tc>
          <w:tcPr>
            <w:tcW w:w="114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8100" w:type="dxa"/>
            <w:vAlign w:val="bottom"/>
          </w:tcPr>
          <w:p>
            <w:pPr>
              <w:ind w:left="260"/>
              <w:spacing w:after="0"/>
              <w:rPr>
                <w:sz w:val="20"/>
                <w:szCs w:val="20"/>
                <w:color w:val="auto"/>
              </w:rPr>
            </w:pPr>
            <w:r>
              <w:rPr>
                <w:rFonts w:ascii="Arial" w:cs="Arial" w:eastAsia="Arial" w:hAnsi="Arial"/>
                <w:sz w:val="18"/>
                <w:szCs w:val="18"/>
                <w:color w:val="51555C"/>
              </w:rPr>
              <w:t>Add: Stock-based compensation expense</w:t>
            </w:r>
          </w:p>
        </w:tc>
        <w:tc>
          <w:tcPr>
            <w:tcW w:w="420" w:type="dxa"/>
            <w:vAlign w:val="bottom"/>
          </w:tcPr>
          <w:p>
            <w:pPr>
              <w:jc w:val="right"/>
              <w:ind w:right="230"/>
              <w:spacing w:after="0"/>
              <w:rPr>
                <w:sz w:val="20"/>
                <w:szCs w:val="20"/>
                <w:color w:val="auto"/>
              </w:rPr>
            </w:pPr>
            <w:r>
              <w:rPr>
                <w:rFonts w:ascii="Arial" w:cs="Arial" w:eastAsia="Arial" w:hAnsi="Arial"/>
                <w:sz w:val="18"/>
                <w:szCs w:val="18"/>
                <w:color w:val="51555C"/>
                <w:w w:val="79"/>
              </w:rPr>
              <w:t>$</w:t>
            </w:r>
          </w:p>
        </w:tc>
        <w:tc>
          <w:tcPr>
            <w:tcW w:w="1140" w:type="dxa"/>
            <w:vAlign w:val="bottom"/>
          </w:tcPr>
          <w:p>
            <w:pPr>
              <w:jc w:val="right"/>
              <w:ind w:right="153"/>
              <w:spacing w:after="0"/>
              <w:rPr>
                <w:sz w:val="20"/>
                <w:szCs w:val="20"/>
                <w:color w:val="auto"/>
              </w:rPr>
            </w:pPr>
            <w:r>
              <w:rPr>
                <w:rFonts w:ascii="Arial" w:cs="Arial" w:eastAsia="Arial" w:hAnsi="Arial"/>
                <w:sz w:val="18"/>
                <w:szCs w:val="18"/>
                <w:color w:val="51555C"/>
              </w:rPr>
              <w:t>92.9</w:t>
            </w:r>
          </w:p>
        </w:tc>
        <w:tc>
          <w:tcPr>
            <w:tcW w:w="440" w:type="dxa"/>
            <w:vAlign w:val="bottom"/>
          </w:tcPr>
          <w:p>
            <w:pPr>
              <w:jc w:val="right"/>
              <w:ind w:right="230"/>
              <w:spacing w:after="0"/>
              <w:rPr>
                <w:sz w:val="20"/>
                <w:szCs w:val="20"/>
                <w:color w:val="auto"/>
              </w:rPr>
            </w:pPr>
            <w:r>
              <w:rPr>
                <w:rFonts w:ascii="Arial" w:cs="Arial" w:eastAsia="Arial" w:hAnsi="Arial"/>
                <w:sz w:val="18"/>
                <w:szCs w:val="18"/>
                <w:color w:val="51555C"/>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51555C"/>
              </w:rPr>
              <w:t>105.0</w:t>
            </w:r>
          </w:p>
        </w:tc>
        <w:tc>
          <w:tcPr>
            <w:tcW w:w="20" w:type="dxa"/>
            <w:vAlign w:val="bottom"/>
          </w:tcPr>
          <w:p>
            <w:pPr>
              <w:spacing w:after="0"/>
              <w:rPr>
                <w:sz w:val="24"/>
                <w:szCs w:val="24"/>
                <w:color w:val="auto"/>
              </w:rPr>
            </w:pPr>
          </w:p>
        </w:tc>
      </w:tr>
      <w:tr>
        <w:trPr>
          <w:trHeight w:val="23"/>
        </w:trPr>
        <w:tc>
          <w:tcPr>
            <w:tcW w:w="8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8100" w:type="dxa"/>
            <w:vAlign w:val="bottom"/>
            <w:tcBorders>
              <w:bottom w:val="single" w:sz="8" w:color="EBFBFF"/>
              <w:right w:val="single" w:sz="8" w:color="EBFBFF"/>
            </w:tcBorders>
            <w:shd w:val="clear" w:color="auto" w:fill="EBFBFF"/>
          </w:tcPr>
          <w:p>
            <w:pPr>
              <w:ind w:left="260"/>
              <w:spacing w:after="0"/>
              <w:rPr>
                <w:sz w:val="20"/>
                <w:szCs w:val="20"/>
                <w:color w:val="auto"/>
              </w:rPr>
            </w:pPr>
            <w:r>
              <w:rPr>
                <w:rFonts w:ascii="Arial" w:cs="Arial" w:eastAsia="Arial" w:hAnsi="Arial"/>
                <w:sz w:val="18"/>
                <w:szCs w:val="18"/>
                <w:color w:val="51555C"/>
              </w:rPr>
              <w:t>Add: Amortization of intangibles from business combinations</w:t>
            </w:r>
          </w:p>
        </w:tc>
        <w:tc>
          <w:tcPr>
            <w:tcW w:w="420" w:type="dxa"/>
            <w:vAlign w:val="bottom"/>
            <w:tcBorders>
              <w:bottom w:val="single" w:sz="8" w:color="EBFBFF"/>
            </w:tcBorders>
            <w:shd w:val="clear" w:color="auto" w:fill="EBFBFF"/>
          </w:tcPr>
          <w:p>
            <w:pPr>
              <w:spacing w:after="0"/>
              <w:rPr>
                <w:sz w:val="24"/>
                <w:szCs w:val="24"/>
                <w:color w:val="auto"/>
              </w:rPr>
            </w:pPr>
          </w:p>
        </w:tc>
        <w:tc>
          <w:tcPr>
            <w:tcW w:w="1140" w:type="dxa"/>
            <w:vAlign w:val="bottom"/>
            <w:tcBorders>
              <w:bottom w:val="single" w:sz="8" w:color="EBFBFF"/>
            </w:tcBorders>
            <w:shd w:val="clear" w:color="auto" w:fill="EBFBFF"/>
          </w:tcPr>
          <w:p>
            <w:pPr>
              <w:jc w:val="right"/>
              <w:ind w:right="153"/>
              <w:spacing w:after="0"/>
              <w:rPr>
                <w:sz w:val="20"/>
                <w:szCs w:val="20"/>
                <w:color w:val="auto"/>
              </w:rPr>
            </w:pPr>
            <w:r>
              <w:rPr>
                <w:rFonts w:ascii="Arial" w:cs="Arial" w:eastAsia="Arial" w:hAnsi="Arial"/>
                <w:sz w:val="18"/>
                <w:szCs w:val="18"/>
                <w:color w:val="51555C"/>
              </w:rPr>
              <w:t>29.9</w:t>
            </w:r>
          </w:p>
        </w:tc>
        <w:tc>
          <w:tcPr>
            <w:tcW w:w="440" w:type="dxa"/>
            <w:vAlign w:val="bottom"/>
            <w:tcBorders>
              <w:bottom w:val="single" w:sz="8" w:color="EBFBFF"/>
            </w:tcBorders>
            <w:shd w:val="clear" w:color="auto" w:fill="EBFBFF"/>
          </w:tcPr>
          <w:p>
            <w:pPr>
              <w:spacing w:after="0"/>
              <w:rPr>
                <w:sz w:val="24"/>
                <w:szCs w:val="24"/>
                <w:color w:val="auto"/>
              </w:rPr>
            </w:pPr>
          </w:p>
        </w:tc>
        <w:tc>
          <w:tcPr>
            <w:tcW w:w="1140" w:type="dxa"/>
            <w:vAlign w:val="bottom"/>
            <w:tcBorders>
              <w:bottom w:val="single" w:sz="8" w:color="EBFBFF"/>
            </w:tcBorders>
            <w:shd w:val="clear" w:color="auto" w:fill="EBFBFF"/>
          </w:tcPr>
          <w:p>
            <w:pPr>
              <w:jc w:val="right"/>
              <w:ind w:right="151"/>
              <w:spacing w:after="0"/>
              <w:rPr>
                <w:sz w:val="20"/>
                <w:szCs w:val="20"/>
                <w:color w:val="auto"/>
              </w:rPr>
            </w:pPr>
            <w:r>
              <w:rPr>
                <w:rFonts w:ascii="Arial" w:cs="Arial" w:eastAsia="Arial" w:hAnsi="Arial"/>
                <w:sz w:val="18"/>
                <w:szCs w:val="18"/>
                <w:color w:val="51555C"/>
              </w:rPr>
              <w:t>60.5</w:t>
            </w:r>
          </w:p>
        </w:tc>
        <w:tc>
          <w:tcPr>
            <w:tcW w:w="20" w:type="dxa"/>
            <w:vAlign w:val="bottom"/>
          </w:tcPr>
          <w:p>
            <w:pPr>
              <w:spacing w:after="0"/>
              <w:rPr>
                <w:sz w:val="24"/>
                <w:szCs w:val="24"/>
                <w:color w:val="auto"/>
              </w:rPr>
            </w:pPr>
          </w:p>
        </w:tc>
      </w:tr>
      <w:tr>
        <w:trPr>
          <w:trHeight w:val="301"/>
        </w:trPr>
        <w:tc>
          <w:tcPr>
            <w:tcW w:w="8100" w:type="dxa"/>
            <w:vAlign w:val="bottom"/>
          </w:tcPr>
          <w:p>
            <w:pPr>
              <w:ind w:left="260"/>
              <w:spacing w:after="0"/>
              <w:rPr>
                <w:sz w:val="20"/>
                <w:szCs w:val="20"/>
                <w:color w:val="auto"/>
              </w:rPr>
            </w:pPr>
            <w:r>
              <w:rPr>
                <w:rFonts w:ascii="Arial" w:cs="Arial" w:eastAsia="Arial" w:hAnsi="Arial"/>
                <w:sz w:val="18"/>
                <w:szCs w:val="18"/>
                <w:color w:val="51555C"/>
              </w:rPr>
              <w:t>Add: Employee severance</w:t>
            </w:r>
          </w:p>
        </w:tc>
        <w:tc>
          <w:tcPr>
            <w:tcW w:w="420" w:type="dxa"/>
            <w:vAlign w:val="bottom"/>
          </w:tcPr>
          <w:p>
            <w:pPr>
              <w:spacing w:after="0"/>
              <w:rPr>
                <w:sz w:val="24"/>
                <w:szCs w:val="24"/>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51555C"/>
              </w:rPr>
              <w:t>1.9</w:t>
            </w:r>
          </w:p>
        </w:tc>
        <w:tc>
          <w:tcPr>
            <w:tcW w:w="44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4"/>
                <w:szCs w:val="24"/>
                <w:color w:val="auto"/>
              </w:rPr>
            </w:pPr>
          </w:p>
        </w:tc>
      </w:tr>
      <w:tr>
        <w:trPr>
          <w:trHeight w:val="23"/>
        </w:trPr>
        <w:tc>
          <w:tcPr>
            <w:tcW w:w="8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8100" w:type="dxa"/>
            <w:vAlign w:val="bottom"/>
            <w:tcBorders>
              <w:right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Add: Acquisition and disposition-related costs</w:t>
            </w:r>
            <w:r>
              <w:rPr>
                <w:rFonts w:ascii="Arial" w:cs="Arial" w:eastAsia="Arial" w:hAnsi="Arial"/>
                <w:sz w:val="23"/>
                <w:szCs w:val="23"/>
                <w:color w:val="51555C"/>
                <w:vertAlign w:val="superscript"/>
              </w:rPr>
              <w:t>(1)</w:t>
            </w:r>
          </w:p>
        </w:tc>
        <w:tc>
          <w:tcPr>
            <w:tcW w:w="420" w:type="dxa"/>
            <w:vAlign w:val="bottom"/>
            <w:shd w:val="clear" w:color="auto" w:fill="EBFBFF"/>
          </w:tcPr>
          <w:p>
            <w:pPr>
              <w:spacing w:after="0"/>
              <w:rPr>
                <w:sz w:val="24"/>
                <w:szCs w:val="24"/>
                <w:color w:val="auto"/>
              </w:rPr>
            </w:pPr>
          </w:p>
        </w:tc>
        <w:tc>
          <w:tcPr>
            <w:tcW w:w="1140" w:type="dxa"/>
            <w:vAlign w:val="bottom"/>
            <w:shd w:val="clear" w:color="auto" w:fill="EBFBFF"/>
          </w:tcPr>
          <w:p>
            <w:pPr>
              <w:jc w:val="right"/>
              <w:ind w:right="153"/>
              <w:spacing w:after="0"/>
              <w:rPr>
                <w:sz w:val="20"/>
                <w:szCs w:val="20"/>
                <w:color w:val="auto"/>
              </w:rPr>
            </w:pPr>
            <w:r>
              <w:rPr>
                <w:rFonts w:ascii="Arial" w:cs="Arial" w:eastAsia="Arial" w:hAnsi="Arial"/>
                <w:sz w:val="18"/>
                <w:szCs w:val="18"/>
                <w:color w:val="51555C"/>
              </w:rPr>
              <w:t>25.9</w:t>
            </w:r>
          </w:p>
        </w:tc>
        <w:tc>
          <w:tcPr>
            <w:tcW w:w="440" w:type="dxa"/>
            <w:vAlign w:val="bottom"/>
            <w:shd w:val="clear" w:color="auto" w:fill="EBFBFF"/>
          </w:tcPr>
          <w:p>
            <w:pPr>
              <w:spacing w:after="0"/>
              <w:rPr>
                <w:sz w:val="24"/>
                <w:szCs w:val="24"/>
                <w:color w:val="auto"/>
              </w:rPr>
            </w:pPr>
          </w:p>
        </w:tc>
        <w:tc>
          <w:tcPr>
            <w:tcW w:w="1140" w:type="dxa"/>
            <w:vAlign w:val="bottom"/>
            <w:shd w:val="clear" w:color="auto" w:fill="EBFBFF"/>
          </w:tcPr>
          <w:p>
            <w:pPr>
              <w:jc w:val="right"/>
              <w:ind w:right="151"/>
              <w:spacing w:after="0"/>
              <w:rPr>
                <w:sz w:val="20"/>
                <w:szCs w:val="20"/>
                <w:color w:val="auto"/>
              </w:rPr>
            </w:pPr>
            <w:r>
              <w:rPr>
                <w:rFonts w:ascii="Arial" w:cs="Arial" w:eastAsia="Arial" w:hAnsi="Arial"/>
                <w:sz w:val="18"/>
                <w:szCs w:val="18"/>
                <w:color w:val="51555C"/>
              </w:rPr>
              <w:t>6.1</w:t>
            </w:r>
          </w:p>
        </w:tc>
        <w:tc>
          <w:tcPr>
            <w:tcW w:w="20" w:type="dxa"/>
            <w:vAlign w:val="bottom"/>
          </w:tcPr>
          <w:p>
            <w:pPr>
              <w:spacing w:after="0"/>
              <w:rPr>
                <w:sz w:val="24"/>
                <w:szCs w:val="24"/>
                <w:color w:val="auto"/>
              </w:rPr>
            </w:pPr>
          </w:p>
        </w:tc>
      </w:tr>
      <w:tr>
        <w:trPr>
          <w:trHeight w:val="324"/>
        </w:trPr>
        <w:tc>
          <w:tcPr>
            <w:tcW w:w="8100" w:type="dxa"/>
            <w:vAlign w:val="bottom"/>
          </w:tcPr>
          <w:p>
            <w:pPr>
              <w:ind w:left="140"/>
              <w:spacing w:after="0"/>
              <w:rPr>
                <w:sz w:val="20"/>
                <w:szCs w:val="20"/>
                <w:color w:val="auto"/>
              </w:rPr>
            </w:pPr>
            <w:r>
              <w:rPr>
                <w:rFonts w:ascii="Arial" w:cs="Arial" w:eastAsia="Arial" w:hAnsi="Arial"/>
                <w:sz w:val="18"/>
                <w:szCs w:val="18"/>
                <w:color w:val="51555C"/>
              </w:rPr>
              <w:t>Add: Security Incident-related costs</w:t>
            </w:r>
            <w:r>
              <w:rPr>
                <w:rFonts w:ascii="Arial" w:cs="Arial" w:eastAsia="Arial" w:hAnsi="Arial"/>
                <w:sz w:val="23"/>
                <w:szCs w:val="23"/>
                <w:color w:val="51555C"/>
                <w:vertAlign w:val="superscript"/>
              </w:rPr>
              <w:t>(2)</w:t>
            </w:r>
          </w:p>
        </w:tc>
        <w:tc>
          <w:tcPr>
            <w:tcW w:w="420" w:type="dxa"/>
            <w:vAlign w:val="bottom"/>
          </w:tcPr>
          <w:p>
            <w:pPr>
              <w:spacing w:after="0"/>
              <w:rPr>
                <w:sz w:val="24"/>
                <w:szCs w:val="24"/>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51555C"/>
              </w:rPr>
              <w:t>3.1</w:t>
            </w:r>
          </w:p>
        </w:tc>
        <w:tc>
          <w:tcPr>
            <w:tcW w:w="44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51555C"/>
              </w:rPr>
              <w:t>13.7</w:t>
            </w:r>
          </w:p>
        </w:tc>
        <w:tc>
          <w:tcPr>
            <w:tcW w:w="20" w:type="dxa"/>
            <w:vAlign w:val="bottom"/>
          </w:tcPr>
          <w:p>
            <w:pPr>
              <w:spacing w:after="0"/>
              <w:rPr>
                <w:sz w:val="24"/>
                <w:szCs w:val="24"/>
                <w:color w:val="auto"/>
              </w:rPr>
            </w:pPr>
          </w:p>
        </w:tc>
      </w:tr>
      <w:tr>
        <w:trPr>
          <w:trHeight w:val="324"/>
        </w:trPr>
        <w:tc>
          <w:tcPr>
            <w:tcW w:w="8100" w:type="dxa"/>
            <w:vAlign w:val="bottom"/>
            <w:tcBorders>
              <w:bottom w:val="single" w:sz="8" w:color="EBFBFF"/>
              <w:right w:val="single" w:sz="8" w:color="EBFBFF"/>
            </w:tcBorders>
            <w:shd w:val="clear" w:color="auto" w:fill="EBFBFF"/>
          </w:tcPr>
          <w:p>
            <w:pPr>
              <w:ind w:left="260"/>
              <w:spacing w:after="0"/>
              <w:rPr>
                <w:sz w:val="20"/>
                <w:szCs w:val="20"/>
                <w:color w:val="auto"/>
              </w:rPr>
            </w:pPr>
            <w:r>
              <w:rPr>
                <w:rFonts w:ascii="Arial" w:cs="Arial" w:eastAsia="Arial" w:hAnsi="Arial"/>
                <w:sz w:val="18"/>
                <w:szCs w:val="18"/>
                <w:color w:val="51555C"/>
              </w:rPr>
              <w:t>Add: EVERFI impairment and disposition charges</w:t>
            </w:r>
          </w:p>
        </w:tc>
        <w:tc>
          <w:tcPr>
            <w:tcW w:w="420" w:type="dxa"/>
            <w:vAlign w:val="bottom"/>
            <w:tcBorders>
              <w:bottom w:val="single" w:sz="8" w:color="EBFBFF"/>
            </w:tcBorders>
            <w:shd w:val="clear" w:color="auto" w:fill="EBFBFF"/>
          </w:tcPr>
          <w:p>
            <w:pPr>
              <w:spacing w:after="0"/>
              <w:rPr>
                <w:sz w:val="24"/>
                <w:szCs w:val="24"/>
                <w:color w:val="auto"/>
              </w:rPr>
            </w:pPr>
          </w:p>
        </w:tc>
        <w:tc>
          <w:tcPr>
            <w:tcW w:w="1140" w:type="dxa"/>
            <w:vAlign w:val="bottom"/>
            <w:tcBorders>
              <w:bottom w:val="single" w:sz="8" w:color="EBFBFF"/>
            </w:tcBorders>
            <w:shd w:val="clear" w:color="auto" w:fill="EBFBFF"/>
          </w:tcPr>
          <w:p>
            <w:pPr>
              <w:jc w:val="right"/>
              <w:ind w:right="153"/>
              <w:spacing w:after="0"/>
              <w:rPr>
                <w:sz w:val="20"/>
                <w:szCs w:val="20"/>
                <w:color w:val="auto"/>
              </w:rPr>
            </w:pPr>
            <w:r>
              <w:rPr>
                <w:rFonts w:ascii="Arial" w:cs="Arial" w:eastAsia="Arial" w:hAnsi="Arial"/>
                <w:sz w:val="18"/>
                <w:szCs w:val="18"/>
                <w:color w:val="51555C"/>
              </w:rPr>
              <w:t>—</w:t>
            </w:r>
          </w:p>
        </w:tc>
        <w:tc>
          <w:tcPr>
            <w:tcW w:w="440" w:type="dxa"/>
            <w:vAlign w:val="bottom"/>
            <w:tcBorders>
              <w:bottom w:val="single" w:sz="8" w:color="EBFBFF"/>
            </w:tcBorders>
            <w:shd w:val="clear" w:color="auto" w:fill="EBFBFF"/>
          </w:tcPr>
          <w:p>
            <w:pPr>
              <w:spacing w:after="0"/>
              <w:rPr>
                <w:sz w:val="24"/>
                <w:szCs w:val="24"/>
                <w:color w:val="auto"/>
              </w:rPr>
            </w:pPr>
          </w:p>
        </w:tc>
        <w:tc>
          <w:tcPr>
            <w:tcW w:w="1140" w:type="dxa"/>
            <w:vAlign w:val="bottom"/>
            <w:tcBorders>
              <w:bottom w:val="single" w:sz="8" w:color="EBFBFF"/>
            </w:tcBorders>
            <w:shd w:val="clear" w:color="auto" w:fill="EBFBFF"/>
          </w:tcPr>
          <w:p>
            <w:pPr>
              <w:jc w:val="right"/>
              <w:ind w:right="151"/>
              <w:spacing w:after="0"/>
              <w:rPr>
                <w:sz w:val="20"/>
                <w:szCs w:val="20"/>
                <w:color w:val="auto"/>
              </w:rPr>
            </w:pPr>
            <w:r>
              <w:rPr>
                <w:rFonts w:ascii="Arial" w:cs="Arial" w:eastAsia="Arial" w:hAnsi="Arial"/>
                <w:sz w:val="18"/>
                <w:szCs w:val="18"/>
                <w:color w:val="51555C"/>
              </w:rPr>
              <w:t>405.4</w:t>
            </w:r>
          </w:p>
        </w:tc>
        <w:tc>
          <w:tcPr>
            <w:tcW w:w="20" w:type="dxa"/>
            <w:vAlign w:val="bottom"/>
          </w:tcPr>
          <w:p>
            <w:pPr>
              <w:spacing w:after="0"/>
              <w:rPr>
                <w:sz w:val="24"/>
                <w:szCs w:val="24"/>
                <w:color w:val="auto"/>
              </w:rPr>
            </w:pPr>
          </w:p>
        </w:tc>
      </w:tr>
      <w:tr>
        <w:trPr>
          <w:trHeight w:val="318"/>
        </w:trPr>
        <w:tc>
          <w:tcPr>
            <w:tcW w:w="8100" w:type="dxa"/>
            <w:vAlign w:val="bottom"/>
            <w:tcBorders>
              <w:bottom w:val="single" w:sz="8" w:color="EBFBFF"/>
            </w:tcBorders>
          </w:tcPr>
          <w:p>
            <w:pPr>
              <w:ind w:left="360"/>
              <w:spacing w:after="0"/>
              <w:rPr>
                <w:sz w:val="20"/>
                <w:szCs w:val="20"/>
                <w:color w:val="auto"/>
              </w:rPr>
            </w:pPr>
            <w:r>
              <w:rPr>
                <w:rFonts w:ascii="Arial" w:cs="Arial" w:eastAsia="Arial" w:hAnsi="Arial"/>
                <w:sz w:val="18"/>
                <w:szCs w:val="18"/>
                <w:color w:val="51555C"/>
              </w:rPr>
              <w:t>Subtotal</w:t>
            </w:r>
            <w:r>
              <w:rPr>
                <w:rFonts w:ascii="Arial" w:cs="Arial" w:eastAsia="Arial" w:hAnsi="Arial"/>
                <w:sz w:val="23"/>
                <w:szCs w:val="23"/>
                <w:color w:val="51555C"/>
                <w:vertAlign w:val="superscript"/>
              </w:rPr>
              <w:t>(2)</w:t>
            </w:r>
          </w:p>
        </w:tc>
        <w:tc>
          <w:tcPr>
            <w:tcW w:w="420" w:type="dxa"/>
            <w:vAlign w:val="bottom"/>
            <w:tcBorders>
              <w:top w:val="single" w:sz="8" w:color="51555C"/>
              <w:bottom w:val="single" w:sz="8" w:color="51555C"/>
            </w:tcBorders>
          </w:tcPr>
          <w:p>
            <w:pPr>
              <w:spacing w:after="0"/>
              <w:rPr>
                <w:sz w:val="24"/>
                <w:szCs w:val="24"/>
                <w:color w:val="auto"/>
              </w:rPr>
            </w:pPr>
          </w:p>
        </w:tc>
        <w:tc>
          <w:tcPr>
            <w:tcW w:w="1140" w:type="dxa"/>
            <w:vAlign w:val="bottom"/>
            <w:tcBorders>
              <w:top w:val="single" w:sz="8" w:color="51555C"/>
              <w:bottom w:val="single" w:sz="8" w:color="51555C"/>
            </w:tcBorders>
          </w:tcPr>
          <w:p>
            <w:pPr>
              <w:jc w:val="right"/>
              <w:ind w:right="153"/>
              <w:spacing w:after="0"/>
              <w:rPr>
                <w:sz w:val="20"/>
                <w:szCs w:val="20"/>
                <w:color w:val="auto"/>
              </w:rPr>
            </w:pPr>
            <w:r>
              <w:rPr>
                <w:rFonts w:ascii="Arial" w:cs="Arial" w:eastAsia="Arial" w:hAnsi="Arial"/>
                <w:sz w:val="18"/>
                <w:szCs w:val="18"/>
                <w:color w:val="51555C"/>
              </w:rPr>
              <w:t>153.7</w:t>
            </w:r>
          </w:p>
        </w:tc>
        <w:tc>
          <w:tcPr>
            <w:tcW w:w="440" w:type="dxa"/>
            <w:vAlign w:val="bottom"/>
            <w:tcBorders>
              <w:top w:val="single" w:sz="8" w:color="51555C"/>
              <w:bottom w:val="single" w:sz="8" w:color="51555C"/>
            </w:tcBorders>
          </w:tcPr>
          <w:p>
            <w:pPr>
              <w:spacing w:after="0"/>
              <w:rPr>
                <w:sz w:val="24"/>
                <w:szCs w:val="24"/>
                <w:color w:val="auto"/>
              </w:rPr>
            </w:pPr>
          </w:p>
        </w:tc>
        <w:tc>
          <w:tcPr>
            <w:tcW w:w="1140" w:type="dxa"/>
            <w:vAlign w:val="bottom"/>
            <w:tcBorders>
              <w:top w:val="single" w:sz="8" w:color="51555C"/>
              <w:bottom w:val="single" w:sz="8" w:color="51555C"/>
            </w:tcBorders>
          </w:tcPr>
          <w:p>
            <w:pPr>
              <w:jc w:val="right"/>
              <w:ind w:right="151"/>
              <w:spacing w:after="0"/>
              <w:rPr>
                <w:sz w:val="20"/>
                <w:szCs w:val="20"/>
                <w:color w:val="auto"/>
              </w:rPr>
            </w:pPr>
            <w:r>
              <w:rPr>
                <w:rFonts w:ascii="Arial" w:cs="Arial" w:eastAsia="Arial" w:hAnsi="Arial"/>
                <w:sz w:val="18"/>
                <w:szCs w:val="18"/>
                <w:color w:val="51555C"/>
              </w:rPr>
              <w:t>590.6</w:t>
            </w:r>
          </w:p>
        </w:tc>
        <w:tc>
          <w:tcPr>
            <w:tcW w:w="20" w:type="dxa"/>
            <w:vAlign w:val="bottom"/>
          </w:tcPr>
          <w:p>
            <w:pPr>
              <w:spacing w:after="0"/>
              <w:rPr>
                <w:sz w:val="24"/>
                <w:szCs w:val="24"/>
                <w:color w:val="auto"/>
              </w:rPr>
            </w:pPr>
          </w:p>
        </w:tc>
      </w:tr>
      <w:tr>
        <w:trPr>
          <w:trHeight w:val="318"/>
        </w:trPr>
        <w:tc>
          <w:tcPr>
            <w:tcW w:w="8100" w:type="dxa"/>
            <w:vAlign w:val="bottom"/>
            <w:tcBorders>
              <w:right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Non-GAAP income from operations</w:t>
            </w:r>
            <w:r>
              <w:rPr>
                <w:rFonts w:ascii="Arial" w:cs="Arial" w:eastAsia="Arial" w:hAnsi="Arial"/>
                <w:sz w:val="23"/>
                <w:szCs w:val="23"/>
                <w:b w:val="1"/>
                <w:bCs w:val="1"/>
                <w:color w:val="51555C"/>
                <w:vertAlign w:val="superscript"/>
              </w:rPr>
              <w:t>(3)</w:t>
            </w:r>
          </w:p>
        </w:tc>
        <w:tc>
          <w:tcPr>
            <w:tcW w:w="420" w:type="dxa"/>
            <w:vAlign w:val="bottom"/>
            <w:shd w:val="clear" w:color="auto" w:fill="EBFBFF"/>
          </w:tcPr>
          <w:p>
            <w:pPr>
              <w:jc w:val="right"/>
              <w:ind w:right="230"/>
              <w:spacing w:after="0"/>
              <w:rPr>
                <w:sz w:val="20"/>
                <w:szCs w:val="20"/>
                <w:color w:val="auto"/>
              </w:rPr>
            </w:pPr>
            <w:r>
              <w:rPr>
                <w:rFonts w:ascii="Arial" w:cs="Arial" w:eastAsia="Arial" w:hAnsi="Arial"/>
                <w:sz w:val="18"/>
                <w:szCs w:val="18"/>
                <w:color w:val="51555C"/>
                <w:w w:val="79"/>
              </w:rPr>
              <w:t>$</w:t>
            </w:r>
          </w:p>
        </w:tc>
        <w:tc>
          <w:tcPr>
            <w:tcW w:w="1140" w:type="dxa"/>
            <w:vAlign w:val="bottom"/>
            <w:shd w:val="clear" w:color="auto" w:fill="EBFBFF"/>
          </w:tcPr>
          <w:p>
            <w:pPr>
              <w:jc w:val="right"/>
              <w:ind w:right="153"/>
              <w:spacing w:after="0"/>
              <w:rPr>
                <w:sz w:val="20"/>
                <w:szCs w:val="20"/>
                <w:color w:val="auto"/>
              </w:rPr>
            </w:pPr>
            <w:r>
              <w:rPr>
                <w:rFonts w:ascii="Arial" w:cs="Arial" w:eastAsia="Arial" w:hAnsi="Arial"/>
                <w:sz w:val="18"/>
                <w:szCs w:val="18"/>
                <w:color w:val="51555C"/>
              </w:rPr>
              <w:t>344.4</w:t>
            </w:r>
          </w:p>
        </w:tc>
        <w:tc>
          <w:tcPr>
            <w:tcW w:w="440" w:type="dxa"/>
            <w:vAlign w:val="bottom"/>
            <w:shd w:val="clear" w:color="auto" w:fill="EBFBFF"/>
          </w:tcPr>
          <w:p>
            <w:pPr>
              <w:jc w:val="right"/>
              <w:ind w:right="230"/>
              <w:spacing w:after="0"/>
              <w:rPr>
                <w:sz w:val="20"/>
                <w:szCs w:val="20"/>
                <w:color w:val="auto"/>
              </w:rPr>
            </w:pPr>
            <w:r>
              <w:rPr>
                <w:rFonts w:ascii="Arial" w:cs="Arial" w:eastAsia="Arial" w:hAnsi="Arial"/>
                <w:sz w:val="18"/>
                <w:szCs w:val="18"/>
                <w:color w:val="51555C"/>
                <w:w w:val="99"/>
              </w:rPr>
              <w:t>$</w:t>
            </w:r>
          </w:p>
        </w:tc>
        <w:tc>
          <w:tcPr>
            <w:tcW w:w="1140" w:type="dxa"/>
            <w:vAlign w:val="bottom"/>
            <w:shd w:val="clear" w:color="auto" w:fill="EBFBFF"/>
          </w:tcPr>
          <w:p>
            <w:pPr>
              <w:jc w:val="right"/>
              <w:ind w:right="151"/>
              <w:spacing w:after="0"/>
              <w:rPr>
                <w:sz w:val="20"/>
                <w:szCs w:val="20"/>
                <w:color w:val="auto"/>
              </w:rPr>
            </w:pPr>
            <w:r>
              <w:rPr>
                <w:rFonts w:ascii="Arial" w:cs="Arial" w:eastAsia="Arial" w:hAnsi="Arial"/>
                <w:sz w:val="18"/>
                <w:szCs w:val="18"/>
                <w:color w:val="51555C"/>
              </w:rPr>
              <w:t>319.2</w:t>
            </w:r>
          </w:p>
        </w:tc>
        <w:tc>
          <w:tcPr>
            <w:tcW w:w="20" w:type="dxa"/>
            <w:vAlign w:val="bottom"/>
          </w:tcPr>
          <w:p>
            <w:pPr>
              <w:spacing w:after="0"/>
              <w:rPr>
                <w:sz w:val="24"/>
                <w:szCs w:val="24"/>
                <w:color w:val="auto"/>
              </w:rPr>
            </w:pPr>
          </w:p>
        </w:tc>
      </w:tr>
      <w:tr>
        <w:trPr>
          <w:trHeight w:val="318"/>
        </w:trPr>
        <w:tc>
          <w:tcPr>
            <w:tcW w:w="8100" w:type="dxa"/>
            <w:vAlign w:val="bottom"/>
            <w:tcBorders>
              <w:bottom w:val="single" w:sz="8" w:color="0CD973"/>
            </w:tcBorders>
          </w:tcPr>
          <w:p>
            <w:pPr>
              <w:ind w:left="260"/>
              <w:spacing w:after="0"/>
              <w:rPr>
                <w:sz w:val="20"/>
                <w:szCs w:val="20"/>
                <w:color w:val="auto"/>
              </w:rPr>
            </w:pPr>
            <w:r>
              <w:rPr>
                <w:rFonts w:ascii="Arial" w:cs="Arial" w:eastAsia="Arial" w:hAnsi="Arial"/>
                <w:sz w:val="18"/>
                <w:szCs w:val="18"/>
                <w:b w:val="1"/>
                <w:bCs w:val="1"/>
                <w:color w:val="51555C"/>
              </w:rPr>
              <w:t>Non-GAAP operating margin</w:t>
            </w:r>
          </w:p>
        </w:tc>
        <w:tc>
          <w:tcPr>
            <w:tcW w:w="420" w:type="dxa"/>
            <w:vAlign w:val="bottom"/>
            <w:tcBorders>
              <w:bottom w:val="single" w:sz="8" w:color="0CD973"/>
            </w:tcBorders>
          </w:tcPr>
          <w:p>
            <w:pPr>
              <w:spacing w:after="0"/>
              <w:rPr>
                <w:sz w:val="24"/>
                <w:szCs w:val="24"/>
                <w:color w:val="auto"/>
              </w:rPr>
            </w:pPr>
          </w:p>
        </w:tc>
        <w:tc>
          <w:tcPr>
            <w:tcW w:w="1140" w:type="dxa"/>
            <w:vAlign w:val="bottom"/>
            <w:tcBorders>
              <w:bottom w:val="single" w:sz="8" w:color="0CD973"/>
            </w:tcBorders>
          </w:tcPr>
          <w:p>
            <w:pPr>
              <w:jc w:val="right"/>
              <w:spacing w:after="0"/>
              <w:rPr>
                <w:sz w:val="20"/>
                <w:szCs w:val="20"/>
                <w:color w:val="auto"/>
              </w:rPr>
            </w:pPr>
            <w:r>
              <w:rPr>
                <w:rFonts w:ascii="Arial" w:cs="Arial" w:eastAsia="Arial" w:hAnsi="Arial"/>
                <w:sz w:val="18"/>
                <w:szCs w:val="18"/>
                <w:color w:val="51555C"/>
              </w:rPr>
              <w:t>30.5 %</w:t>
            </w:r>
          </w:p>
        </w:tc>
        <w:tc>
          <w:tcPr>
            <w:tcW w:w="440" w:type="dxa"/>
            <w:vAlign w:val="bottom"/>
            <w:tcBorders>
              <w:bottom w:val="single" w:sz="8" w:color="0CD973"/>
            </w:tcBorders>
          </w:tcPr>
          <w:p>
            <w:pPr>
              <w:spacing w:after="0"/>
              <w:rPr>
                <w:sz w:val="24"/>
                <w:szCs w:val="24"/>
                <w:color w:val="auto"/>
              </w:rPr>
            </w:pPr>
          </w:p>
        </w:tc>
        <w:tc>
          <w:tcPr>
            <w:tcW w:w="1140" w:type="dxa"/>
            <w:vAlign w:val="bottom"/>
            <w:tcBorders>
              <w:bottom w:val="single" w:sz="8" w:color="0CD973"/>
            </w:tcBorders>
          </w:tcPr>
          <w:p>
            <w:pPr>
              <w:jc w:val="right"/>
              <w:spacing w:after="0"/>
              <w:rPr>
                <w:sz w:val="20"/>
                <w:szCs w:val="20"/>
                <w:color w:val="auto"/>
              </w:rPr>
            </w:pPr>
            <w:r>
              <w:rPr>
                <w:rFonts w:ascii="Arial" w:cs="Arial" w:eastAsia="Arial" w:hAnsi="Arial"/>
                <w:sz w:val="18"/>
                <w:szCs w:val="18"/>
                <w:color w:val="51555C"/>
              </w:rPr>
              <w:t>27.6 %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-2931160</wp:posOffset>
            </wp:positionV>
            <wp:extent cx="201422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65" w:lineRule="exact"/>
        <w:rPr>
          <w:sz w:val="20"/>
          <w:szCs w:val="20"/>
          <w:color w:val="auto"/>
        </w:rPr>
      </w:pPr>
    </w:p>
    <w:p>
      <w:pPr>
        <w:jc w:val="both"/>
        <w:ind w:left="340" w:right="20" w:hanging="332"/>
        <w:spacing w:after="0" w:line="261" w:lineRule="auto"/>
        <w:tabs>
          <w:tab w:leader="none" w:pos="354" w:val="left"/>
        </w:tabs>
        <w:numPr>
          <w:ilvl w:val="0"/>
          <w:numId w:val="102"/>
        </w:numPr>
        <w:rPr>
          <w:rFonts w:ascii="Arial" w:cs="Arial" w:eastAsia="Arial" w:hAnsi="Arial"/>
          <w:sz w:val="14"/>
          <w:szCs w:val="14"/>
          <w:color w:val="51555C"/>
        </w:rPr>
      </w:pPr>
      <w:r>
        <w:rPr>
          <w:rFonts w:ascii="Arial" w:cs="Arial" w:eastAsia="Arial" w:hAnsi="Arial"/>
          <w:sz w:val="14"/>
          <w:szCs w:val="14"/>
          <w:color w:val="51555C"/>
        </w:rPr>
        <w:t>Includes charges of $24.3 million incurred during the twelve months ended December 31, 2025 related to the release from our lease for office space in Washington, DC (which was acquired as part of our acquisition of EVERFI in December 2021) and noncash impairment charges incurred during the twelve months ended December 31, 2024 related to the sublease of our Washington, DC office location prior to the EVERFI disposition.</w:t>
      </w:r>
    </w:p>
    <w:p>
      <w:pPr>
        <w:spacing w:after="0" w:line="1" w:lineRule="exact"/>
        <w:rPr>
          <w:rFonts w:ascii="Arial" w:cs="Arial" w:eastAsia="Arial" w:hAnsi="Arial"/>
          <w:sz w:val="14"/>
          <w:szCs w:val="14"/>
          <w:color w:val="51555C"/>
        </w:rPr>
      </w:pPr>
    </w:p>
    <w:p>
      <w:pPr>
        <w:jc w:val="both"/>
        <w:ind w:left="340" w:right="20" w:hanging="332"/>
        <w:spacing w:after="0" w:line="257" w:lineRule="auto"/>
        <w:tabs>
          <w:tab w:leader="none" w:pos="354" w:val="left"/>
        </w:tabs>
        <w:numPr>
          <w:ilvl w:val="0"/>
          <w:numId w:val="102"/>
        </w:numPr>
        <w:rPr>
          <w:rFonts w:ascii="Arial" w:cs="Arial" w:eastAsia="Arial" w:hAnsi="Arial"/>
          <w:sz w:val="14"/>
          <w:szCs w:val="14"/>
          <w:color w:val="51555C"/>
        </w:rPr>
      </w:pPr>
      <w:r>
        <w:rPr>
          <w:rFonts w:ascii="Arial" w:cs="Arial" w:eastAsia="Arial" w:hAnsi="Arial"/>
          <w:sz w:val="14"/>
          <w:szCs w:val="14"/>
          <w:color w:val="51555C"/>
        </w:rPr>
        <w:t>Includes Security Incident-related costs incurred during the twelve months ended December 31, 2025 and 2024 of $3.1 million and $13.7 million, respectively, which included approximately $1.1 million and $6.8 million, respectively, in recorded accruals for loss contingencies. Recorded expenses consisted primarily of payments to third-party service providers and consultants, including legal fees, as well as settlements of customer claims, negotiated settlements and accruals for certain loss contingencies. Not included in this adjustment were costs associated with enhancements to our cybersecurity program. As of December 31, 2025, we do not have any recorded liabilities for loss contingencies related to the Security Incident.</w:t>
      </w:r>
    </w:p>
    <w:p>
      <w:pPr>
        <w:spacing w:after="0" w:line="2" w:lineRule="exact"/>
        <w:rPr>
          <w:rFonts w:ascii="Arial" w:cs="Arial" w:eastAsia="Arial" w:hAnsi="Arial"/>
          <w:sz w:val="14"/>
          <w:szCs w:val="14"/>
          <w:color w:val="51555C"/>
        </w:rPr>
      </w:pPr>
    </w:p>
    <w:p>
      <w:pPr>
        <w:ind w:left="340" w:hanging="332"/>
        <w:spacing w:after="0"/>
        <w:tabs>
          <w:tab w:leader="none" w:pos="340" w:val="left"/>
        </w:tabs>
        <w:numPr>
          <w:ilvl w:val="0"/>
          <w:numId w:val="102"/>
        </w:numPr>
        <w:rPr>
          <w:rFonts w:ascii="Arial" w:cs="Arial" w:eastAsia="Arial" w:hAnsi="Arial"/>
          <w:sz w:val="14"/>
          <w:szCs w:val="14"/>
          <w:color w:val="51555C"/>
        </w:rPr>
      </w:pPr>
      <w:r>
        <w:rPr>
          <w:rFonts w:ascii="Arial" w:cs="Arial" w:eastAsia="Arial" w:hAnsi="Arial"/>
          <w:sz w:val="14"/>
          <w:szCs w:val="14"/>
          <w:color w:val="51555C"/>
        </w:rPr>
        <w:t>The individual amounts for each year may not sum to subtotal or non-GAAP income from operations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1009015</wp:posOffset>
            </wp:positionV>
            <wp:extent cx="702945" cy="11112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85</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bookmarkStart w:id="87" w:name="page88"/>
    <w:bookmarkEnd w:id="87"/>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8"/>
          <w:szCs w:val="18"/>
          <w:b w:val="1"/>
          <w:bCs w:val="1"/>
          <w:color w:val="51555C"/>
        </w:rPr>
        <w:t>APPENDICES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51555C"/>
        </w:rPr>
        <w:t>Non-GAAP organic revenue growth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1319" w:lineRule="exact"/>
        <w:rPr>
          <w:sz w:val="20"/>
          <w:szCs w:val="20"/>
          <w:color w:val="auto"/>
        </w:rPr>
      </w:pPr>
    </w:p>
    <w:p>
      <w:pPr>
        <w:sectPr>
          <w:pgSz w:w="11900" w:h="16838" w:orient="portrait"/>
          <w:cols w:equalWidth="0" w:num="2">
            <w:col w:w="9440" w:space="720"/>
            <w:col w:w="1080"/>
          </w:cols>
          <w:pgMar w:left="320" w:top="338" w:right="339" w:bottom="1440" w:gutter="0" w:footer="0" w:header="0"/>
        </w:sectPr>
      </w:pPr>
    </w:p>
    <w:p>
      <w:pPr>
        <w:jc w:val="both"/>
        <w:spacing w:after="0" w:line="254" w:lineRule="auto"/>
        <w:rPr>
          <w:sz w:val="20"/>
          <w:szCs w:val="20"/>
          <w:color w:val="auto"/>
        </w:rPr>
      </w:pPr>
      <w:r>
        <w:rPr>
          <w:rFonts w:ascii="Arial" w:cs="Arial" w:eastAsia="Arial" w:hAnsi="Arial"/>
          <w:sz w:val="18"/>
          <w:szCs w:val="18"/>
          <w:color w:val="51555C"/>
        </w:rPr>
        <w:t>In addition, we use non-GAAP organic revenue growth, non-GAAP organic revenue growth on a constant currency basis, non-GAAP organic recurring revenue growth and non-GAAP organic recurring revenue growth on a constant currency basis in analyzing our operating performance. We believe that these non-GAAP measures are useful to investors, as a supplement to GAAP measures, for evaluating the periodic growth of our business on a consistent basis. Each of these measures of non-GAAP organic revenue growth excludes incremental acquisition-related revenue attributable to companies, if any, acquired in the current fiscal year. For companies, if any, acquired in the immediately preceding fiscal year, each of these non-GAAP organic revenue growth measures reflects presentation of full year incremental non-GAAP revenue derived from such companies as if they were combined throughout the prior period. In addition, each of these non -GAAP organic revenue growth measures excludes prior period revenue associated with divested businesses. The exclusion of the prior period revenue is to present the results of the divested businesses within the results of the combined company for the same period of time in both the prior and current periods. We believe this presentation provides a more comparable representation of our current business’ organic revenue growth and revenue run-rate.</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6580" w:type="dxa"/>
            <w:vAlign w:val="bottom"/>
            <w:tcBorders>
              <w:top w:val="single" w:sz="8" w:color="004054"/>
              <w:bottom w:val="single" w:sz="8" w:color="004054"/>
              <w:right w:val="single" w:sz="8" w:color="006880"/>
            </w:tcBorders>
            <w:shd w:val="clear" w:color="auto" w:fill="004054"/>
          </w:tcPr>
          <w:p>
            <w:pPr>
              <w:spacing w:after="0"/>
              <w:rPr>
                <w:sz w:val="20"/>
                <w:szCs w:val="20"/>
                <w:color w:val="auto"/>
              </w:rPr>
            </w:pPr>
          </w:p>
        </w:tc>
        <w:tc>
          <w:tcPr>
            <w:tcW w:w="460" w:type="dxa"/>
            <w:vAlign w:val="bottom"/>
            <w:tcBorders>
              <w:top w:val="single" w:sz="8" w:color="006880"/>
              <w:bottom w:val="single" w:sz="8" w:color="004054"/>
            </w:tcBorders>
            <w:shd w:val="clear" w:color="auto" w:fill="006880"/>
          </w:tcPr>
          <w:p>
            <w:pPr>
              <w:spacing w:after="0"/>
              <w:rPr>
                <w:sz w:val="20"/>
                <w:szCs w:val="20"/>
                <w:color w:val="auto"/>
              </w:rPr>
            </w:pPr>
          </w:p>
        </w:tc>
        <w:tc>
          <w:tcPr>
            <w:tcW w:w="2540" w:type="dxa"/>
            <w:vAlign w:val="bottom"/>
            <w:tcBorders>
              <w:top w:val="single" w:sz="8" w:color="006880"/>
              <w:bottom w:val="single" w:sz="8" w:color="004054"/>
              <w:right w:val="single" w:sz="8" w:color="006880"/>
            </w:tcBorders>
            <w:gridSpan w:val="3"/>
            <w:shd w:val="clear" w:color="auto" w:fill="006880"/>
          </w:tcPr>
          <w:p>
            <w:pPr>
              <w:jc w:val="right"/>
              <w:spacing w:after="0"/>
              <w:rPr>
                <w:sz w:val="20"/>
                <w:szCs w:val="20"/>
                <w:color w:val="auto"/>
              </w:rPr>
            </w:pPr>
            <w:r>
              <w:rPr>
                <w:rFonts w:ascii="Arial" w:cs="Arial" w:eastAsia="Arial" w:hAnsi="Arial"/>
                <w:sz w:val="14"/>
                <w:szCs w:val="14"/>
                <w:b w:val="1"/>
                <w:bCs w:val="1"/>
                <w:color w:val="FFFFFF"/>
              </w:rPr>
              <w:t>Years ended December 31,</w:t>
            </w:r>
          </w:p>
        </w:tc>
        <w:tc>
          <w:tcPr>
            <w:tcW w:w="1620" w:type="dxa"/>
            <w:vAlign w:val="bottom"/>
            <w:tcBorders>
              <w:top w:val="single" w:sz="8" w:color="004054"/>
              <w:bottom w:val="single" w:sz="8" w:color="004054"/>
            </w:tcBorders>
            <w:shd w:val="clear" w:color="auto" w:fill="004054"/>
          </w:tcPr>
          <w:p>
            <w:pPr>
              <w:spacing w:after="0"/>
              <w:rPr>
                <w:sz w:val="20"/>
                <w:szCs w:val="20"/>
                <w:color w:val="auto"/>
              </w:rPr>
            </w:pPr>
          </w:p>
        </w:tc>
        <w:tc>
          <w:tcPr>
            <w:tcW w:w="20" w:type="dxa"/>
            <w:vAlign w:val="bottom"/>
            <w:tcBorders>
              <w:top w:val="single" w:sz="8" w:color="004054"/>
              <w:bottom w:val="single" w:sz="8" w:color="004054"/>
            </w:tcBorders>
            <w:shd w:val="clear" w:color="auto" w:fill="004054"/>
          </w:tcPr>
          <w:p>
            <w:pPr>
              <w:spacing w:after="0"/>
              <w:rPr>
                <w:sz w:val="20"/>
                <w:szCs w:val="20"/>
                <w:color w:val="auto"/>
              </w:rPr>
            </w:pPr>
          </w:p>
        </w:tc>
      </w:tr>
      <w:tr>
        <w:trPr>
          <w:trHeight w:val="223"/>
        </w:trPr>
        <w:tc>
          <w:tcPr>
            <w:tcW w:w="6580" w:type="dxa"/>
            <w:vAlign w:val="bottom"/>
            <w:tcBorders>
              <w:bottom w:val="single" w:sz="8" w:color="004054"/>
              <w:right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60" w:type="dxa"/>
            <w:vAlign w:val="bottom"/>
            <w:tcBorders>
              <w:bottom w:val="single" w:sz="8" w:color="004054"/>
            </w:tcBorders>
            <w:shd w:val="clear" w:color="auto" w:fill="004054"/>
          </w:tcPr>
          <w:p>
            <w:pPr>
              <w:spacing w:after="0"/>
              <w:rPr>
                <w:sz w:val="19"/>
                <w:szCs w:val="19"/>
                <w:color w:val="auto"/>
              </w:rPr>
            </w:pPr>
          </w:p>
        </w:tc>
        <w:tc>
          <w:tcPr>
            <w:tcW w:w="10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480" w:type="dxa"/>
            <w:vAlign w:val="bottom"/>
            <w:tcBorders>
              <w:bottom w:val="single" w:sz="8" w:color="004054"/>
            </w:tcBorders>
            <w:shd w:val="clear" w:color="auto" w:fill="004054"/>
          </w:tcPr>
          <w:p>
            <w:pPr>
              <w:spacing w:after="0"/>
              <w:rPr>
                <w:sz w:val="19"/>
                <w:szCs w:val="19"/>
                <w:color w:val="auto"/>
              </w:rPr>
            </w:pPr>
          </w:p>
        </w:tc>
        <w:tc>
          <w:tcPr>
            <w:tcW w:w="1040" w:type="dxa"/>
            <w:vAlign w:val="bottom"/>
            <w:tcBorders>
              <w:bottom w:val="single" w:sz="8" w:color="004054"/>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16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Growth</w:t>
            </w:r>
          </w:p>
        </w:tc>
        <w:tc>
          <w:tcPr>
            <w:tcW w:w="20" w:type="dxa"/>
            <w:vAlign w:val="bottom"/>
            <w:tcBorders>
              <w:bottom w:val="single" w:sz="8" w:color="004054"/>
            </w:tcBorders>
            <w:shd w:val="clear" w:color="auto" w:fill="004054"/>
          </w:tcPr>
          <w:p>
            <w:pPr>
              <w:spacing w:after="0"/>
              <w:rPr>
                <w:sz w:val="19"/>
                <w:szCs w:val="19"/>
                <w:color w:val="auto"/>
              </w:rPr>
            </w:pPr>
          </w:p>
        </w:tc>
      </w:tr>
      <w:tr>
        <w:trPr>
          <w:trHeight w:val="324"/>
        </w:trPr>
        <w:tc>
          <w:tcPr>
            <w:tcW w:w="6580" w:type="dxa"/>
            <w:vAlign w:val="bottom"/>
            <w:tcBorders>
              <w:right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GAAP revenue</w:t>
            </w:r>
          </w:p>
        </w:tc>
        <w:tc>
          <w:tcPr>
            <w:tcW w:w="460" w:type="dxa"/>
            <w:vAlign w:val="bottom"/>
            <w:shd w:val="clear" w:color="auto" w:fill="EBFBFF"/>
          </w:tcPr>
          <w:p>
            <w:pPr>
              <w:jc w:val="right"/>
              <w:ind w:right="270"/>
              <w:spacing w:after="0"/>
              <w:rPr>
                <w:sz w:val="20"/>
                <w:szCs w:val="20"/>
                <w:color w:val="auto"/>
              </w:rPr>
            </w:pPr>
            <w:r>
              <w:rPr>
                <w:rFonts w:ascii="Arial" w:cs="Arial" w:eastAsia="Arial" w:hAnsi="Arial"/>
                <w:sz w:val="18"/>
                <w:szCs w:val="18"/>
                <w:color w:val="51555C"/>
                <w:w w:val="79"/>
              </w:rPr>
              <w:t>$</w:t>
            </w:r>
          </w:p>
        </w:tc>
        <w:tc>
          <w:tcPr>
            <w:tcW w:w="102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1,128.4</w:t>
            </w:r>
          </w:p>
        </w:tc>
        <w:tc>
          <w:tcPr>
            <w:tcW w:w="480" w:type="dxa"/>
            <w:vAlign w:val="bottom"/>
            <w:shd w:val="clear" w:color="auto" w:fill="EBFBFF"/>
          </w:tcPr>
          <w:p>
            <w:pPr>
              <w:jc w:val="right"/>
              <w:ind w:right="270"/>
              <w:spacing w:after="0"/>
              <w:rPr>
                <w:sz w:val="20"/>
                <w:szCs w:val="20"/>
                <w:color w:val="auto"/>
              </w:rPr>
            </w:pPr>
            <w:r>
              <w:rPr>
                <w:rFonts w:ascii="Arial" w:cs="Arial" w:eastAsia="Arial" w:hAnsi="Arial"/>
                <w:sz w:val="18"/>
                <w:szCs w:val="18"/>
                <w:color w:val="51555C"/>
                <w:w w:val="99"/>
              </w:rPr>
              <w:t>$</w:t>
            </w:r>
          </w:p>
        </w:tc>
        <w:tc>
          <w:tcPr>
            <w:tcW w:w="1040" w:type="dxa"/>
            <w:vAlign w:val="bottom"/>
            <w:tcBorders>
              <w:right w:val="single" w:sz="8" w:color="EBFBFF"/>
            </w:tcBorders>
            <w:shd w:val="clear" w:color="auto" w:fill="EBFBFF"/>
          </w:tcPr>
          <w:p>
            <w:pPr>
              <w:jc w:val="right"/>
              <w:ind w:right="12"/>
              <w:spacing w:after="0"/>
              <w:rPr>
                <w:sz w:val="20"/>
                <w:szCs w:val="20"/>
                <w:color w:val="auto"/>
              </w:rPr>
            </w:pPr>
            <w:r>
              <w:rPr>
                <w:rFonts w:ascii="Arial" w:cs="Arial" w:eastAsia="Arial" w:hAnsi="Arial"/>
                <w:sz w:val="18"/>
                <w:szCs w:val="18"/>
                <w:color w:val="51555C"/>
              </w:rPr>
              <w:t>1,154.6</w:t>
            </w:r>
          </w:p>
        </w:tc>
        <w:tc>
          <w:tcPr>
            <w:tcW w:w="1620" w:type="dxa"/>
            <w:vAlign w:val="bottom"/>
            <w:shd w:val="clear" w:color="auto" w:fill="EBFBFF"/>
          </w:tcPr>
          <w:p>
            <w:pPr>
              <w:jc w:val="right"/>
              <w:spacing w:after="0"/>
              <w:rPr>
                <w:sz w:val="20"/>
                <w:szCs w:val="20"/>
                <w:color w:val="auto"/>
              </w:rPr>
            </w:pPr>
            <w:r>
              <w:rPr>
                <w:rFonts w:ascii="Arial" w:cs="Arial" w:eastAsia="Arial" w:hAnsi="Arial"/>
                <w:sz w:val="18"/>
                <w:szCs w:val="18"/>
                <w:b w:val="1"/>
                <w:bCs w:val="1"/>
                <w:color w:val="51555C"/>
              </w:rPr>
              <w:t>(2.3)%</w:t>
            </w:r>
          </w:p>
        </w:tc>
        <w:tc>
          <w:tcPr>
            <w:tcW w:w="20" w:type="dxa"/>
            <w:vAlign w:val="bottom"/>
          </w:tcPr>
          <w:p>
            <w:pPr>
              <w:spacing w:after="0"/>
              <w:rPr>
                <w:sz w:val="24"/>
                <w:szCs w:val="24"/>
                <w:color w:val="auto"/>
              </w:rPr>
            </w:pPr>
          </w:p>
        </w:tc>
      </w:tr>
      <w:tr>
        <w:trPr>
          <w:trHeight w:val="324"/>
        </w:trPr>
        <w:tc>
          <w:tcPr>
            <w:tcW w:w="6580" w:type="dxa"/>
            <w:vAlign w:val="bottom"/>
            <w:tcBorders>
              <w:bottom w:val="single" w:sz="8" w:color="EBFBFF"/>
            </w:tcBorders>
          </w:tcPr>
          <w:p>
            <w:pPr>
              <w:ind w:left="140"/>
              <w:spacing w:after="0"/>
              <w:rPr>
                <w:sz w:val="20"/>
                <w:szCs w:val="20"/>
                <w:color w:val="auto"/>
              </w:rPr>
            </w:pPr>
            <w:r>
              <w:rPr>
                <w:rFonts w:ascii="Arial" w:cs="Arial" w:eastAsia="Arial" w:hAnsi="Arial"/>
                <w:sz w:val="18"/>
                <w:szCs w:val="18"/>
                <w:color w:val="51555C"/>
              </w:rPr>
              <w:t>Less: Non-GAAP revenue from divested businesses</w:t>
            </w:r>
            <w:r>
              <w:rPr>
                <w:rFonts w:ascii="Arial" w:cs="Arial" w:eastAsia="Arial" w:hAnsi="Arial"/>
                <w:sz w:val="23"/>
                <w:szCs w:val="23"/>
                <w:color w:val="51555C"/>
                <w:vertAlign w:val="superscript"/>
              </w:rPr>
              <w:t>(1)</w:t>
            </w:r>
          </w:p>
        </w:tc>
        <w:tc>
          <w:tcPr>
            <w:tcW w:w="460" w:type="dxa"/>
            <w:vAlign w:val="bottom"/>
            <w:tcBorders>
              <w:bottom w:val="single" w:sz="8" w:color="51555C"/>
            </w:tcBorders>
          </w:tcPr>
          <w:p>
            <w:pPr>
              <w:spacing w:after="0"/>
              <w:rPr>
                <w:sz w:val="24"/>
                <w:szCs w:val="24"/>
                <w:color w:val="auto"/>
              </w:rPr>
            </w:pPr>
          </w:p>
        </w:tc>
        <w:tc>
          <w:tcPr>
            <w:tcW w:w="1020" w:type="dxa"/>
            <w:vAlign w:val="bottom"/>
            <w:tcBorders>
              <w:bottom w:val="single" w:sz="8" w:color="51555C"/>
            </w:tcBorders>
          </w:tcPr>
          <w:p>
            <w:pPr>
              <w:jc w:val="right"/>
              <w:spacing w:after="0"/>
              <w:rPr>
                <w:sz w:val="20"/>
                <w:szCs w:val="20"/>
                <w:color w:val="auto"/>
              </w:rPr>
            </w:pPr>
            <w:r>
              <w:rPr>
                <w:rFonts w:ascii="Arial" w:cs="Arial" w:eastAsia="Arial" w:hAnsi="Arial"/>
                <w:sz w:val="18"/>
                <w:szCs w:val="18"/>
                <w:color w:val="51555C"/>
              </w:rPr>
              <w:t>—</w:t>
            </w:r>
          </w:p>
        </w:tc>
        <w:tc>
          <w:tcPr>
            <w:tcW w:w="480" w:type="dxa"/>
            <w:vAlign w:val="bottom"/>
            <w:tcBorders>
              <w:bottom w:val="single" w:sz="8" w:color="51555C"/>
            </w:tcBorders>
          </w:tcPr>
          <w:p>
            <w:pPr>
              <w:spacing w:after="0"/>
              <w:rPr>
                <w:sz w:val="24"/>
                <w:szCs w:val="24"/>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8"/>
                <w:szCs w:val="18"/>
                <w:color w:val="51555C"/>
              </w:rPr>
              <w:t>(85.6)</w:t>
            </w:r>
          </w:p>
        </w:tc>
        <w:tc>
          <w:tcPr>
            <w:tcW w:w="1620" w:type="dxa"/>
            <w:vAlign w:val="bottom"/>
            <w:tcBorders>
              <w:bottom w:val="single" w:sz="8" w:color="EBFBFF"/>
            </w:tcBorders>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6580" w:type="dxa"/>
            <w:vAlign w:val="bottom"/>
            <w:tcBorders>
              <w:right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Non-GAAP organic revenue</w:t>
            </w:r>
            <w:r>
              <w:rPr>
                <w:rFonts w:ascii="Arial" w:cs="Arial" w:eastAsia="Arial" w:hAnsi="Arial"/>
                <w:sz w:val="23"/>
                <w:szCs w:val="23"/>
                <w:b w:val="1"/>
                <w:bCs w:val="1"/>
                <w:color w:val="51555C"/>
                <w:vertAlign w:val="superscript"/>
              </w:rPr>
              <w:t>(2)</w:t>
            </w:r>
          </w:p>
        </w:tc>
        <w:tc>
          <w:tcPr>
            <w:tcW w:w="460" w:type="dxa"/>
            <w:vAlign w:val="bottom"/>
            <w:tcBorders>
              <w:bottom w:val="single" w:sz="8" w:color="51555C"/>
            </w:tcBorders>
            <w:shd w:val="clear" w:color="auto" w:fill="EBFBFF"/>
          </w:tcPr>
          <w:p>
            <w:pPr>
              <w:jc w:val="right"/>
              <w:ind w:right="270"/>
              <w:spacing w:after="0"/>
              <w:rPr>
                <w:sz w:val="20"/>
                <w:szCs w:val="20"/>
                <w:color w:val="auto"/>
              </w:rPr>
            </w:pPr>
            <w:r>
              <w:rPr>
                <w:rFonts w:ascii="Arial" w:cs="Arial" w:eastAsia="Arial" w:hAnsi="Arial"/>
                <w:sz w:val="18"/>
                <w:szCs w:val="18"/>
                <w:color w:val="51555C"/>
                <w:w w:val="79"/>
              </w:rPr>
              <w:t>$</w:t>
            </w:r>
          </w:p>
        </w:tc>
        <w:tc>
          <w:tcPr>
            <w:tcW w:w="10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8"/>
                <w:szCs w:val="18"/>
                <w:color w:val="51555C"/>
              </w:rPr>
              <w:t>1,128.4</w:t>
            </w:r>
          </w:p>
        </w:tc>
        <w:tc>
          <w:tcPr>
            <w:tcW w:w="480" w:type="dxa"/>
            <w:vAlign w:val="bottom"/>
            <w:tcBorders>
              <w:bottom w:val="single" w:sz="8" w:color="51555C"/>
            </w:tcBorders>
            <w:shd w:val="clear" w:color="auto" w:fill="EBFBFF"/>
          </w:tcPr>
          <w:p>
            <w:pPr>
              <w:jc w:val="right"/>
              <w:ind w:right="270"/>
              <w:spacing w:after="0"/>
              <w:rPr>
                <w:sz w:val="20"/>
                <w:szCs w:val="20"/>
                <w:color w:val="auto"/>
              </w:rPr>
            </w:pPr>
            <w:r>
              <w:rPr>
                <w:rFonts w:ascii="Arial" w:cs="Arial" w:eastAsia="Arial" w:hAnsi="Arial"/>
                <w:sz w:val="18"/>
                <w:szCs w:val="18"/>
                <w:color w:val="51555C"/>
                <w:w w:val="99"/>
              </w:rPr>
              <w:t>$</w:t>
            </w:r>
          </w:p>
        </w:tc>
        <w:tc>
          <w:tcPr>
            <w:tcW w:w="1040" w:type="dxa"/>
            <w:vAlign w:val="bottom"/>
            <w:tcBorders>
              <w:bottom w:val="single" w:sz="8" w:color="51555C"/>
              <w:right w:val="single" w:sz="8" w:color="EBFBFF"/>
            </w:tcBorders>
            <w:shd w:val="clear" w:color="auto" w:fill="EBFBFF"/>
          </w:tcPr>
          <w:p>
            <w:pPr>
              <w:jc w:val="right"/>
              <w:ind w:right="12"/>
              <w:spacing w:after="0"/>
              <w:rPr>
                <w:sz w:val="20"/>
                <w:szCs w:val="20"/>
                <w:color w:val="auto"/>
              </w:rPr>
            </w:pPr>
            <w:r>
              <w:rPr>
                <w:rFonts w:ascii="Arial" w:cs="Arial" w:eastAsia="Arial" w:hAnsi="Arial"/>
                <w:sz w:val="18"/>
                <w:szCs w:val="18"/>
                <w:color w:val="51555C"/>
              </w:rPr>
              <w:t>1,069.1</w:t>
            </w:r>
          </w:p>
        </w:tc>
        <w:tc>
          <w:tcPr>
            <w:tcW w:w="1620" w:type="dxa"/>
            <w:vAlign w:val="bottom"/>
            <w:shd w:val="clear" w:color="auto" w:fill="EBFBFF"/>
          </w:tcPr>
          <w:p>
            <w:pPr>
              <w:jc w:val="right"/>
              <w:spacing w:after="0"/>
              <w:rPr>
                <w:sz w:val="20"/>
                <w:szCs w:val="20"/>
                <w:color w:val="auto"/>
              </w:rPr>
            </w:pPr>
            <w:r>
              <w:rPr>
                <w:rFonts w:ascii="Arial" w:cs="Arial" w:eastAsia="Arial" w:hAnsi="Arial"/>
                <w:sz w:val="18"/>
                <w:szCs w:val="18"/>
                <w:b w:val="1"/>
                <w:bCs w:val="1"/>
                <w:color w:val="51555C"/>
              </w:rPr>
              <w:t>5.5 %</w:t>
            </w:r>
          </w:p>
        </w:tc>
        <w:tc>
          <w:tcPr>
            <w:tcW w:w="20" w:type="dxa"/>
            <w:vAlign w:val="bottom"/>
          </w:tcPr>
          <w:p>
            <w:pPr>
              <w:spacing w:after="0"/>
              <w:rPr>
                <w:sz w:val="24"/>
                <w:szCs w:val="24"/>
                <w:color w:val="auto"/>
              </w:rPr>
            </w:pPr>
          </w:p>
        </w:tc>
      </w:tr>
      <w:tr>
        <w:trPr>
          <w:trHeight w:val="318"/>
        </w:trPr>
        <w:tc>
          <w:tcPr>
            <w:tcW w:w="6580" w:type="dxa"/>
            <w:vAlign w:val="bottom"/>
            <w:tcBorders>
              <w:bottom w:val="single" w:sz="8" w:color="EBFBFF"/>
            </w:tcBorders>
          </w:tcPr>
          <w:p>
            <w:pPr>
              <w:ind w:left="20"/>
              <w:spacing w:after="0"/>
              <w:rPr>
                <w:sz w:val="20"/>
                <w:szCs w:val="20"/>
                <w:color w:val="auto"/>
              </w:rPr>
            </w:pPr>
            <w:r>
              <w:rPr>
                <w:rFonts w:ascii="Arial" w:cs="Arial" w:eastAsia="Arial" w:hAnsi="Arial"/>
                <w:sz w:val="18"/>
                <w:szCs w:val="18"/>
                <w:color w:val="51555C"/>
              </w:rPr>
              <w:t>Foreign currency impact on Non-GAAP organic revenue</w:t>
            </w:r>
            <w:r>
              <w:rPr>
                <w:rFonts w:ascii="Arial" w:cs="Arial" w:eastAsia="Arial" w:hAnsi="Arial"/>
                <w:sz w:val="23"/>
                <w:szCs w:val="23"/>
                <w:color w:val="51555C"/>
                <w:vertAlign w:val="superscript"/>
              </w:rPr>
              <w:t>(3)</w:t>
            </w:r>
          </w:p>
        </w:tc>
        <w:tc>
          <w:tcPr>
            <w:tcW w:w="460" w:type="dxa"/>
            <w:vAlign w:val="bottom"/>
            <w:tcBorders>
              <w:bottom w:val="single" w:sz="8" w:color="51555C"/>
            </w:tcBorders>
          </w:tcPr>
          <w:p>
            <w:pPr>
              <w:spacing w:after="0"/>
              <w:rPr>
                <w:sz w:val="24"/>
                <w:szCs w:val="24"/>
                <w:color w:val="auto"/>
              </w:rPr>
            </w:pPr>
          </w:p>
        </w:tc>
        <w:tc>
          <w:tcPr>
            <w:tcW w:w="1020" w:type="dxa"/>
            <w:vAlign w:val="bottom"/>
            <w:tcBorders>
              <w:bottom w:val="single" w:sz="8" w:color="51555C"/>
            </w:tcBorders>
          </w:tcPr>
          <w:p>
            <w:pPr>
              <w:jc w:val="right"/>
              <w:spacing w:after="0"/>
              <w:rPr>
                <w:sz w:val="20"/>
                <w:szCs w:val="20"/>
                <w:color w:val="auto"/>
              </w:rPr>
            </w:pPr>
            <w:r>
              <w:rPr>
                <w:rFonts w:ascii="Arial" w:cs="Arial" w:eastAsia="Arial" w:hAnsi="Arial"/>
                <w:sz w:val="18"/>
                <w:szCs w:val="18"/>
                <w:color w:val="51555C"/>
              </w:rPr>
              <w:t>(3.5)</w:t>
            </w:r>
          </w:p>
        </w:tc>
        <w:tc>
          <w:tcPr>
            <w:tcW w:w="480" w:type="dxa"/>
            <w:vAlign w:val="bottom"/>
            <w:tcBorders>
              <w:bottom w:val="single" w:sz="8" w:color="51555C"/>
            </w:tcBorders>
          </w:tcPr>
          <w:p>
            <w:pPr>
              <w:spacing w:after="0"/>
              <w:rPr>
                <w:sz w:val="24"/>
                <w:szCs w:val="24"/>
                <w:color w:val="auto"/>
              </w:rPr>
            </w:pPr>
          </w:p>
        </w:tc>
        <w:tc>
          <w:tcPr>
            <w:tcW w:w="1040" w:type="dxa"/>
            <w:vAlign w:val="bottom"/>
            <w:tcBorders>
              <w:bottom w:val="single" w:sz="8" w:color="51555C"/>
            </w:tcBorders>
          </w:tcPr>
          <w:p>
            <w:pPr>
              <w:jc w:val="right"/>
              <w:ind w:right="12"/>
              <w:spacing w:after="0"/>
              <w:rPr>
                <w:sz w:val="20"/>
                <w:szCs w:val="20"/>
                <w:color w:val="auto"/>
              </w:rPr>
            </w:pPr>
            <w:r>
              <w:rPr>
                <w:rFonts w:ascii="Arial" w:cs="Arial" w:eastAsia="Arial" w:hAnsi="Arial"/>
                <w:sz w:val="18"/>
                <w:szCs w:val="18"/>
                <w:color w:val="51555C"/>
              </w:rPr>
              <w:t>—</w:t>
            </w:r>
          </w:p>
        </w:tc>
        <w:tc>
          <w:tcPr>
            <w:tcW w:w="1620" w:type="dxa"/>
            <w:vAlign w:val="bottom"/>
            <w:tcBorders>
              <w:bottom w:val="single" w:sz="8" w:color="EBFBFF"/>
            </w:tcBorders>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6580" w:type="dxa"/>
            <w:vAlign w:val="bottom"/>
            <w:tcBorders>
              <w:right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Non-GAAP organic revenue on constant currency basis</w:t>
            </w:r>
            <w:r>
              <w:rPr>
                <w:rFonts w:ascii="Arial" w:cs="Arial" w:eastAsia="Arial" w:hAnsi="Arial"/>
                <w:sz w:val="23"/>
                <w:szCs w:val="23"/>
                <w:b w:val="1"/>
                <w:bCs w:val="1"/>
                <w:color w:val="51555C"/>
                <w:vertAlign w:val="superscript"/>
              </w:rPr>
              <w:t>(3)</w:t>
            </w:r>
          </w:p>
        </w:tc>
        <w:tc>
          <w:tcPr>
            <w:tcW w:w="460" w:type="dxa"/>
            <w:vAlign w:val="bottom"/>
            <w:shd w:val="clear" w:color="auto" w:fill="EBFBFF"/>
          </w:tcPr>
          <w:p>
            <w:pPr>
              <w:jc w:val="right"/>
              <w:ind w:right="270"/>
              <w:spacing w:after="0"/>
              <w:rPr>
                <w:sz w:val="20"/>
                <w:szCs w:val="20"/>
                <w:color w:val="auto"/>
              </w:rPr>
            </w:pPr>
            <w:r>
              <w:rPr>
                <w:rFonts w:ascii="Arial" w:cs="Arial" w:eastAsia="Arial" w:hAnsi="Arial"/>
                <w:sz w:val="18"/>
                <w:szCs w:val="18"/>
                <w:color w:val="51555C"/>
                <w:w w:val="79"/>
              </w:rPr>
              <w:t>$</w:t>
            </w:r>
          </w:p>
        </w:tc>
        <w:tc>
          <w:tcPr>
            <w:tcW w:w="102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1,124.8</w:t>
            </w:r>
          </w:p>
        </w:tc>
        <w:tc>
          <w:tcPr>
            <w:tcW w:w="480" w:type="dxa"/>
            <w:vAlign w:val="bottom"/>
            <w:shd w:val="clear" w:color="auto" w:fill="EBFBFF"/>
          </w:tcPr>
          <w:p>
            <w:pPr>
              <w:jc w:val="right"/>
              <w:ind w:right="270"/>
              <w:spacing w:after="0"/>
              <w:rPr>
                <w:sz w:val="20"/>
                <w:szCs w:val="20"/>
                <w:color w:val="auto"/>
              </w:rPr>
            </w:pPr>
            <w:r>
              <w:rPr>
                <w:rFonts w:ascii="Arial" w:cs="Arial" w:eastAsia="Arial" w:hAnsi="Arial"/>
                <w:sz w:val="18"/>
                <w:szCs w:val="18"/>
                <w:color w:val="51555C"/>
                <w:w w:val="99"/>
              </w:rPr>
              <w:t>$</w:t>
            </w:r>
          </w:p>
        </w:tc>
        <w:tc>
          <w:tcPr>
            <w:tcW w:w="1040" w:type="dxa"/>
            <w:vAlign w:val="bottom"/>
            <w:tcBorders>
              <w:right w:val="single" w:sz="8" w:color="EBFBFF"/>
            </w:tcBorders>
            <w:shd w:val="clear" w:color="auto" w:fill="EBFBFF"/>
          </w:tcPr>
          <w:p>
            <w:pPr>
              <w:jc w:val="right"/>
              <w:ind w:right="12"/>
              <w:spacing w:after="0"/>
              <w:rPr>
                <w:sz w:val="20"/>
                <w:szCs w:val="20"/>
                <w:color w:val="auto"/>
              </w:rPr>
            </w:pPr>
            <w:r>
              <w:rPr>
                <w:rFonts w:ascii="Arial" w:cs="Arial" w:eastAsia="Arial" w:hAnsi="Arial"/>
                <w:sz w:val="18"/>
                <w:szCs w:val="18"/>
                <w:color w:val="51555C"/>
              </w:rPr>
              <w:t>1,069.1</w:t>
            </w:r>
          </w:p>
        </w:tc>
        <w:tc>
          <w:tcPr>
            <w:tcW w:w="1620" w:type="dxa"/>
            <w:vAlign w:val="bottom"/>
            <w:shd w:val="clear" w:color="auto" w:fill="EBFBFF"/>
          </w:tcPr>
          <w:p>
            <w:pPr>
              <w:jc w:val="right"/>
              <w:spacing w:after="0"/>
              <w:rPr>
                <w:sz w:val="20"/>
                <w:szCs w:val="20"/>
                <w:color w:val="auto"/>
              </w:rPr>
            </w:pPr>
            <w:r>
              <w:rPr>
                <w:rFonts w:ascii="Arial" w:cs="Arial" w:eastAsia="Arial" w:hAnsi="Arial"/>
                <w:sz w:val="18"/>
                <w:szCs w:val="18"/>
                <w:b w:val="1"/>
                <w:bCs w:val="1"/>
                <w:color w:val="51555C"/>
              </w:rPr>
              <w:t>5.2 %</w:t>
            </w:r>
          </w:p>
        </w:tc>
        <w:tc>
          <w:tcPr>
            <w:tcW w:w="20" w:type="dxa"/>
            <w:vAlign w:val="bottom"/>
          </w:tcPr>
          <w:p>
            <w:pPr>
              <w:spacing w:after="0"/>
              <w:rPr>
                <w:sz w:val="24"/>
                <w:szCs w:val="24"/>
                <w:color w:val="auto"/>
              </w:rPr>
            </w:pPr>
          </w:p>
        </w:tc>
      </w:tr>
      <w:tr>
        <w:trPr>
          <w:trHeight w:val="162"/>
        </w:trPr>
        <w:tc>
          <w:tcPr>
            <w:tcW w:w="6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24"/>
        </w:trPr>
        <w:tc>
          <w:tcPr>
            <w:tcW w:w="6580" w:type="dxa"/>
            <w:vAlign w:val="bottom"/>
            <w:tcBorders>
              <w:right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GAAP recurring revenue</w:t>
            </w:r>
          </w:p>
        </w:tc>
        <w:tc>
          <w:tcPr>
            <w:tcW w:w="460" w:type="dxa"/>
            <w:vAlign w:val="bottom"/>
            <w:shd w:val="clear" w:color="auto" w:fill="EBFBFF"/>
          </w:tcPr>
          <w:p>
            <w:pPr>
              <w:jc w:val="right"/>
              <w:ind w:right="270"/>
              <w:spacing w:after="0"/>
              <w:rPr>
                <w:sz w:val="20"/>
                <w:szCs w:val="20"/>
                <w:color w:val="auto"/>
              </w:rPr>
            </w:pPr>
            <w:r>
              <w:rPr>
                <w:rFonts w:ascii="Arial" w:cs="Arial" w:eastAsia="Arial" w:hAnsi="Arial"/>
                <w:sz w:val="18"/>
                <w:szCs w:val="18"/>
                <w:color w:val="51555C"/>
                <w:w w:val="79"/>
              </w:rPr>
              <w:t>$</w:t>
            </w:r>
          </w:p>
        </w:tc>
        <w:tc>
          <w:tcPr>
            <w:tcW w:w="102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1,106.2</w:t>
            </w:r>
          </w:p>
        </w:tc>
        <w:tc>
          <w:tcPr>
            <w:tcW w:w="480" w:type="dxa"/>
            <w:vAlign w:val="bottom"/>
            <w:shd w:val="clear" w:color="auto" w:fill="EBFBFF"/>
          </w:tcPr>
          <w:p>
            <w:pPr>
              <w:jc w:val="right"/>
              <w:ind w:right="270"/>
              <w:spacing w:after="0"/>
              <w:rPr>
                <w:sz w:val="20"/>
                <w:szCs w:val="20"/>
                <w:color w:val="auto"/>
              </w:rPr>
            </w:pPr>
            <w:r>
              <w:rPr>
                <w:rFonts w:ascii="Arial" w:cs="Arial" w:eastAsia="Arial" w:hAnsi="Arial"/>
                <w:sz w:val="18"/>
                <w:szCs w:val="18"/>
                <w:color w:val="51555C"/>
                <w:w w:val="99"/>
              </w:rPr>
              <w:t>$</w:t>
            </w:r>
          </w:p>
        </w:tc>
        <w:tc>
          <w:tcPr>
            <w:tcW w:w="1040" w:type="dxa"/>
            <w:vAlign w:val="bottom"/>
            <w:tcBorders>
              <w:right w:val="single" w:sz="8" w:color="EBFBFF"/>
            </w:tcBorders>
            <w:shd w:val="clear" w:color="auto" w:fill="EBFBFF"/>
          </w:tcPr>
          <w:p>
            <w:pPr>
              <w:jc w:val="right"/>
              <w:ind w:right="12"/>
              <w:spacing w:after="0"/>
              <w:rPr>
                <w:sz w:val="20"/>
                <w:szCs w:val="20"/>
                <w:color w:val="auto"/>
              </w:rPr>
            </w:pPr>
            <w:r>
              <w:rPr>
                <w:rFonts w:ascii="Arial" w:cs="Arial" w:eastAsia="Arial" w:hAnsi="Arial"/>
                <w:sz w:val="18"/>
                <w:szCs w:val="18"/>
                <w:color w:val="51555C"/>
              </w:rPr>
              <w:t>1,128.2</w:t>
            </w:r>
          </w:p>
        </w:tc>
        <w:tc>
          <w:tcPr>
            <w:tcW w:w="1620" w:type="dxa"/>
            <w:vAlign w:val="bottom"/>
            <w:shd w:val="clear" w:color="auto" w:fill="EBFBFF"/>
          </w:tcPr>
          <w:p>
            <w:pPr>
              <w:jc w:val="right"/>
              <w:spacing w:after="0"/>
              <w:rPr>
                <w:sz w:val="20"/>
                <w:szCs w:val="20"/>
                <w:color w:val="auto"/>
              </w:rPr>
            </w:pPr>
            <w:r>
              <w:rPr>
                <w:rFonts w:ascii="Arial" w:cs="Arial" w:eastAsia="Arial" w:hAnsi="Arial"/>
                <w:sz w:val="18"/>
                <w:szCs w:val="18"/>
                <w:b w:val="1"/>
                <w:bCs w:val="1"/>
                <w:color w:val="51555C"/>
              </w:rPr>
              <w:t>(2.0)%</w:t>
            </w:r>
          </w:p>
        </w:tc>
        <w:tc>
          <w:tcPr>
            <w:tcW w:w="20" w:type="dxa"/>
            <w:vAlign w:val="bottom"/>
          </w:tcPr>
          <w:p>
            <w:pPr>
              <w:spacing w:after="0"/>
              <w:rPr>
                <w:sz w:val="24"/>
                <w:szCs w:val="24"/>
                <w:color w:val="auto"/>
              </w:rPr>
            </w:pPr>
          </w:p>
        </w:tc>
      </w:tr>
      <w:tr>
        <w:trPr>
          <w:trHeight w:val="324"/>
        </w:trPr>
        <w:tc>
          <w:tcPr>
            <w:tcW w:w="6580" w:type="dxa"/>
            <w:vAlign w:val="bottom"/>
            <w:tcBorders>
              <w:bottom w:val="single" w:sz="8" w:color="EBFBFF"/>
            </w:tcBorders>
          </w:tcPr>
          <w:p>
            <w:pPr>
              <w:ind w:left="140"/>
              <w:spacing w:after="0"/>
              <w:rPr>
                <w:sz w:val="20"/>
                <w:szCs w:val="20"/>
                <w:color w:val="auto"/>
              </w:rPr>
            </w:pPr>
            <w:r>
              <w:rPr>
                <w:rFonts w:ascii="Arial" w:cs="Arial" w:eastAsia="Arial" w:hAnsi="Arial"/>
                <w:sz w:val="18"/>
                <w:szCs w:val="18"/>
                <w:color w:val="51555C"/>
              </w:rPr>
              <w:t>Less: Non-GAAP recurring revenue from divested businesses</w:t>
            </w:r>
            <w:r>
              <w:rPr>
                <w:rFonts w:ascii="Arial" w:cs="Arial" w:eastAsia="Arial" w:hAnsi="Arial"/>
                <w:sz w:val="23"/>
                <w:szCs w:val="23"/>
                <w:color w:val="51555C"/>
                <w:vertAlign w:val="superscript"/>
              </w:rPr>
              <w:t>(1)</w:t>
            </w:r>
          </w:p>
        </w:tc>
        <w:tc>
          <w:tcPr>
            <w:tcW w:w="460" w:type="dxa"/>
            <w:vAlign w:val="bottom"/>
            <w:tcBorders>
              <w:bottom w:val="single" w:sz="8" w:color="51555C"/>
            </w:tcBorders>
          </w:tcPr>
          <w:p>
            <w:pPr>
              <w:spacing w:after="0"/>
              <w:rPr>
                <w:sz w:val="24"/>
                <w:szCs w:val="24"/>
                <w:color w:val="auto"/>
              </w:rPr>
            </w:pPr>
          </w:p>
        </w:tc>
        <w:tc>
          <w:tcPr>
            <w:tcW w:w="1020" w:type="dxa"/>
            <w:vAlign w:val="bottom"/>
            <w:tcBorders>
              <w:bottom w:val="single" w:sz="8" w:color="51555C"/>
            </w:tcBorders>
          </w:tcPr>
          <w:p>
            <w:pPr>
              <w:jc w:val="right"/>
              <w:spacing w:after="0"/>
              <w:rPr>
                <w:sz w:val="20"/>
                <w:szCs w:val="20"/>
                <w:color w:val="auto"/>
              </w:rPr>
            </w:pPr>
            <w:r>
              <w:rPr>
                <w:rFonts w:ascii="Arial" w:cs="Arial" w:eastAsia="Arial" w:hAnsi="Arial"/>
                <w:sz w:val="18"/>
                <w:szCs w:val="18"/>
                <w:color w:val="51555C"/>
              </w:rPr>
              <w:t>—</w:t>
            </w:r>
          </w:p>
        </w:tc>
        <w:tc>
          <w:tcPr>
            <w:tcW w:w="480" w:type="dxa"/>
            <w:vAlign w:val="bottom"/>
            <w:tcBorders>
              <w:bottom w:val="single" w:sz="8" w:color="51555C"/>
            </w:tcBorders>
          </w:tcPr>
          <w:p>
            <w:pPr>
              <w:spacing w:after="0"/>
              <w:rPr>
                <w:sz w:val="24"/>
                <w:szCs w:val="24"/>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8"/>
                <w:szCs w:val="18"/>
                <w:color w:val="51555C"/>
              </w:rPr>
              <w:t>(82.6)</w:t>
            </w:r>
          </w:p>
        </w:tc>
        <w:tc>
          <w:tcPr>
            <w:tcW w:w="1620" w:type="dxa"/>
            <w:vAlign w:val="bottom"/>
            <w:tcBorders>
              <w:bottom w:val="single" w:sz="8" w:color="EBFBFF"/>
            </w:tcBorders>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6580" w:type="dxa"/>
            <w:vAlign w:val="bottom"/>
            <w:tcBorders>
              <w:right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Non-GAAP organic recurring revenue</w:t>
            </w:r>
            <w:r>
              <w:rPr>
                <w:rFonts w:ascii="Arial" w:cs="Arial" w:eastAsia="Arial" w:hAnsi="Arial"/>
                <w:sz w:val="23"/>
                <w:szCs w:val="23"/>
                <w:b w:val="1"/>
                <w:bCs w:val="1"/>
                <w:color w:val="51555C"/>
                <w:vertAlign w:val="superscript"/>
              </w:rPr>
              <w:t>(2)</w:t>
            </w:r>
          </w:p>
        </w:tc>
        <w:tc>
          <w:tcPr>
            <w:tcW w:w="460" w:type="dxa"/>
            <w:vAlign w:val="bottom"/>
            <w:tcBorders>
              <w:bottom w:val="single" w:sz="8" w:color="51555C"/>
            </w:tcBorders>
            <w:shd w:val="clear" w:color="auto" w:fill="EBFBFF"/>
          </w:tcPr>
          <w:p>
            <w:pPr>
              <w:jc w:val="right"/>
              <w:ind w:right="270"/>
              <w:spacing w:after="0"/>
              <w:rPr>
                <w:sz w:val="20"/>
                <w:szCs w:val="20"/>
                <w:color w:val="auto"/>
              </w:rPr>
            </w:pPr>
            <w:r>
              <w:rPr>
                <w:rFonts w:ascii="Arial" w:cs="Arial" w:eastAsia="Arial" w:hAnsi="Arial"/>
                <w:sz w:val="18"/>
                <w:szCs w:val="18"/>
                <w:color w:val="51555C"/>
                <w:w w:val="79"/>
              </w:rPr>
              <w:t>$</w:t>
            </w:r>
          </w:p>
        </w:tc>
        <w:tc>
          <w:tcPr>
            <w:tcW w:w="10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8"/>
                <w:szCs w:val="18"/>
                <w:color w:val="51555C"/>
              </w:rPr>
              <w:t>1,106.2</w:t>
            </w:r>
          </w:p>
        </w:tc>
        <w:tc>
          <w:tcPr>
            <w:tcW w:w="480" w:type="dxa"/>
            <w:vAlign w:val="bottom"/>
            <w:tcBorders>
              <w:bottom w:val="single" w:sz="8" w:color="51555C"/>
            </w:tcBorders>
            <w:shd w:val="clear" w:color="auto" w:fill="EBFBFF"/>
          </w:tcPr>
          <w:p>
            <w:pPr>
              <w:jc w:val="right"/>
              <w:ind w:right="270"/>
              <w:spacing w:after="0"/>
              <w:rPr>
                <w:sz w:val="20"/>
                <w:szCs w:val="20"/>
                <w:color w:val="auto"/>
              </w:rPr>
            </w:pPr>
            <w:r>
              <w:rPr>
                <w:rFonts w:ascii="Arial" w:cs="Arial" w:eastAsia="Arial" w:hAnsi="Arial"/>
                <w:sz w:val="18"/>
                <w:szCs w:val="18"/>
                <w:color w:val="51555C"/>
                <w:w w:val="99"/>
              </w:rPr>
              <w:t>$</w:t>
            </w:r>
          </w:p>
        </w:tc>
        <w:tc>
          <w:tcPr>
            <w:tcW w:w="1040" w:type="dxa"/>
            <w:vAlign w:val="bottom"/>
            <w:tcBorders>
              <w:bottom w:val="single" w:sz="8" w:color="51555C"/>
              <w:right w:val="single" w:sz="8" w:color="EBFBFF"/>
            </w:tcBorders>
            <w:shd w:val="clear" w:color="auto" w:fill="EBFBFF"/>
          </w:tcPr>
          <w:p>
            <w:pPr>
              <w:jc w:val="right"/>
              <w:ind w:right="12"/>
              <w:spacing w:after="0"/>
              <w:rPr>
                <w:sz w:val="20"/>
                <w:szCs w:val="20"/>
                <w:color w:val="auto"/>
              </w:rPr>
            </w:pPr>
            <w:r>
              <w:rPr>
                <w:rFonts w:ascii="Arial" w:cs="Arial" w:eastAsia="Arial" w:hAnsi="Arial"/>
                <w:sz w:val="18"/>
                <w:szCs w:val="18"/>
                <w:color w:val="51555C"/>
              </w:rPr>
              <w:t>1,045.7</w:t>
            </w:r>
          </w:p>
        </w:tc>
        <w:tc>
          <w:tcPr>
            <w:tcW w:w="1620" w:type="dxa"/>
            <w:vAlign w:val="bottom"/>
            <w:shd w:val="clear" w:color="auto" w:fill="EBFBFF"/>
          </w:tcPr>
          <w:p>
            <w:pPr>
              <w:jc w:val="right"/>
              <w:spacing w:after="0"/>
              <w:rPr>
                <w:sz w:val="20"/>
                <w:szCs w:val="20"/>
                <w:color w:val="auto"/>
              </w:rPr>
            </w:pPr>
            <w:r>
              <w:rPr>
                <w:rFonts w:ascii="Arial" w:cs="Arial" w:eastAsia="Arial" w:hAnsi="Arial"/>
                <w:sz w:val="18"/>
                <w:szCs w:val="18"/>
                <w:b w:val="1"/>
                <w:bCs w:val="1"/>
                <w:color w:val="51555C"/>
              </w:rPr>
              <w:t>5.8 %</w:t>
            </w:r>
          </w:p>
        </w:tc>
        <w:tc>
          <w:tcPr>
            <w:tcW w:w="20" w:type="dxa"/>
            <w:vAlign w:val="bottom"/>
          </w:tcPr>
          <w:p>
            <w:pPr>
              <w:spacing w:after="0"/>
              <w:rPr>
                <w:sz w:val="24"/>
                <w:szCs w:val="24"/>
                <w:color w:val="auto"/>
              </w:rPr>
            </w:pPr>
          </w:p>
        </w:tc>
      </w:tr>
      <w:tr>
        <w:trPr>
          <w:trHeight w:val="318"/>
        </w:trPr>
        <w:tc>
          <w:tcPr>
            <w:tcW w:w="6580" w:type="dxa"/>
            <w:vAlign w:val="bottom"/>
            <w:tcBorders>
              <w:bottom w:val="single" w:sz="8" w:color="EBFBFF"/>
            </w:tcBorders>
          </w:tcPr>
          <w:p>
            <w:pPr>
              <w:ind w:left="20"/>
              <w:spacing w:after="0"/>
              <w:rPr>
                <w:sz w:val="20"/>
                <w:szCs w:val="20"/>
                <w:color w:val="auto"/>
              </w:rPr>
            </w:pPr>
            <w:r>
              <w:rPr>
                <w:rFonts w:ascii="Arial" w:cs="Arial" w:eastAsia="Arial" w:hAnsi="Arial"/>
                <w:sz w:val="18"/>
                <w:szCs w:val="18"/>
                <w:color w:val="51555C"/>
              </w:rPr>
              <w:t>Foreign currency impact on non-GAAP organic recurring revenue</w:t>
            </w:r>
            <w:r>
              <w:rPr>
                <w:rFonts w:ascii="Arial" w:cs="Arial" w:eastAsia="Arial" w:hAnsi="Arial"/>
                <w:sz w:val="23"/>
                <w:szCs w:val="23"/>
                <w:color w:val="51555C"/>
                <w:vertAlign w:val="superscript"/>
              </w:rPr>
              <w:t>(3)</w:t>
            </w:r>
          </w:p>
        </w:tc>
        <w:tc>
          <w:tcPr>
            <w:tcW w:w="460" w:type="dxa"/>
            <w:vAlign w:val="bottom"/>
            <w:tcBorders>
              <w:bottom w:val="single" w:sz="8" w:color="51555C"/>
            </w:tcBorders>
          </w:tcPr>
          <w:p>
            <w:pPr>
              <w:spacing w:after="0"/>
              <w:rPr>
                <w:sz w:val="24"/>
                <w:szCs w:val="24"/>
                <w:color w:val="auto"/>
              </w:rPr>
            </w:pPr>
          </w:p>
        </w:tc>
        <w:tc>
          <w:tcPr>
            <w:tcW w:w="1020" w:type="dxa"/>
            <w:vAlign w:val="bottom"/>
            <w:tcBorders>
              <w:bottom w:val="single" w:sz="8" w:color="51555C"/>
            </w:tcBorders>
          </w:tcPr>
          <w:p>
            <w:pPr>
              <w:jc w:val="right"/>
              <w:spacing w:after="0"/>
              <w:rPr>
                <w:sz w:val="20"/>
                <w:szCs w:val="20"/>
                <w:color w:val="auto"/>
              </w:rPr>
            </w:pPr>
            <w:r>
              <w:rPr>
                <w:rFonts w:ascii="Arial" w:cs="Arial" w:eastAsia="Arial" w:hAnsi="Arial"/>
                <w:sz w:val="18"/>
                <w:szCs w:val="18"/>
                <w:color w:val="51555C"/>
              </w:rPr>
              <w:t>(3.5)</w:t>
            </w:r>
          </w:p>
        </w:tc>
        <w:tc>
          <w:tcPr>
            <w:tcW w:w="480" w:type="dxa"/>
            <w:vAlign w:val="bottom"/>
            <w:tcBorders>
              <w:bottom w:val="single" w:sz="8" w:color="51555C"/>
            </w:tcBorders>
          </w:tcPr>
          <w:p>
            <w:pPr>
              <w:spacing w:after="0"/>
              <w:rPr>
                <w:sz w:val="24"/>
                <w:szCs w:val="24"/>
                <w:color w:val="auto"/>
              </w:rPr>
            </w:pPr>
          </w:p>
        </w:tc>
        <w:tc>
          <w:tcPr>
            <w:tcW w:w="1040" w:type="dxa"/>
            <w:vAlign w:val="bottom"/>
            <w:tcBorders>
              <w:bottom w:val="single" w:sz="8" w:color="51555C"/>
            </w:tcBorders>
          </w:tcPr>
          <w:p>
            <w:pPr>
              <w:jc w:val="right"/>
              <w:ind w:right="12"/>
              <w:spacing w:after="0"/>
              <w:rPr>
                <w:sz w:val="20"/>
                <w:szCs w:val="20"/>
                <w:color w:val="auto"/>
              </w:rPr>
            </w:pPr>
            <w:r>
              <w:rPr>
                <w:rFonts w:ascii="Arial" w:cs="Arial" w:eastAsia="Arial" w:hAnsi="Arial"/>
                <w:sz w:val="18"/>
                <w:szCs w:val="18"/>
                <w:color w:val="51555C"/>
              </w:rPr>
              <w:t>—</w:t>
            </w:r>
          </w:p>
        </w:tc>
        <w:tc>
          <w:tcPr>
            <w:tcW w:w="1620" w:type="dxa"/>
            <w:vAlign w:val="bottom"/>
            <w:tcBorders>
              <w:bottom w:val="single" w:sz="8" w:color="EBFBFF"/>
            </w:tcBorders>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6580" w:type="dxa"/>
            <w:vAlign w:val="bottom"/>
            <w:tcBorders>
              <w:bottom w:val="single" w:sz="8" w:color="0CD973"/>
              <w:right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Non-GAAP organic recurring revenue on constant currency basis</w:t>
            </w:r>
            <w:r>
              <w:rPr>
                <w:rFonts w:ascii="Arial" w:cs="Arial" w:eastAsia="Arial" w:hAnsi="Arial"/>
                <w:sz w:val="23"/>
                <w:szCs w:val="23"/>
                <w:b w:val="1"/>
                <w:bCs w:val="1"/>
                <w:color w:val="51555C"/>
                <w:vertAlign w:val="superscript"/>
              </w:rPr>
              <w:t>(3)</w:t>
            </w:r>
          </w:p>
        </w:tc>
        <w:tc>
          <w:tcPr>
            <w:tcW w:w="460" w:type="dxa"/>
            <w:vAlign w:val="bottom"/>
            <w:tcBorders>
              <w:bottom w:val="single" w:sz="8" w:color="0CD973"/>
            </w:tcBorders>
            <w:shd w:val="clear" w:color="auto" w:fill="EBFBFF"/>
          </w:tcPr>
          <w:p>
            <w:pPr>
              <w:jc w:val="right"/>
              <w:ind w:right="270"/>
              <w:spacing w:after="0"/>
              <w:rPr>
                <w:sz w:val="20"/>
                <w:szCs w:val="20"/>
                <w:color w:val="auto"/>
              </w:rPr>
            </w:pPr>
            <w:r>
              <w:rPr>
                <w:rFonts w:ascii="Arial" w:cs="Arial" w:eastAsia="Arial" w:hAnsi="Arial"/>
                <w:sz w:val="18"/>
                <w:szCs w:val="18"/>
                <w:color w:val="51555C"/>
                <w:w w:val="79"/>
              </w:rPr>
              <w:t>$</w:t>
            </w:r>
          </w:p>
        </w:tc>
        <w:tc>
          <w:tcPr>
            <w:tcW w:w="102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1,102.7</w:t>
            </w:r>
          </w:p>
        </w:tc>
        <w:tc>
          <w:tcPr>
            <w:tcW w:w="480" w:type="dxa"/>
            <w:vAlign w:val="bottom"/>
            <w:tcBorders>
              <w:bottom w:val="single" w:sz="8" w:color="0CD973"/>
            </w:tcBorders>
            <w:shd w:val="clear" w:color="auto" w:fill="EBFBFF"/>
          </w:tcPr>
          <w:p>
            <w:pPr>
              <w:jc w:val="right"/>
              <w:ind w:right="270"/>
              <w:spacing w:after="0"/>
              <w:rPr>
                <w:sz w:val="20"/>
                <w:szCs w:val="20"/>
                <w:color w:val="auto"/>
              </w:rPr>
            </w:pPr>
            <w:r>
              <w:rPr>
                <w:rFonts w:ascii="Arial" w:cs="Arial" w:eastAsia="Arial" w:hAnsi="Arial"/>
                <w:sz w:val="18"/>
                <w:szCs w:val="18"/>
                <w:color w:val="51555C"/>
                <w:w w:val="99"/>
              </w:rPr>
              <w:t>$</w:t>
            </w:r>
          </w:p>
        </w:tc>
        <w:tc>
          <w:tcPr>
            <w:tcW w:w="1040" w:type="dxa"/>
            <w:vAlign w:val="bottom"/>
            <w:tcBorders>
              <w:bottom w:val="single" w:sz="8" w:color="0CD973"/>
              <w:right w:val="single" w:sz="8" w:color="EBFBFF"/>
            </w:tcBorders>
            <w:shd w:val="clear" w:color="auto" w:fill="EBFBFF"/>
          </w:tcPr>
          <w:p>
            <w:pPr>
              <w:jc w:val="right"/>
              <w:ind w:right="12"/>
              <w:spacing w:after="0"/>
              <w:rPr>
                <w:sz w:val="20"/>
                <w:szCs w:val="20"/>
                <w:color w:val="auto"/>
              </w:rPr>
            </w:pPr>
            <w:r>
              <w:rPr>
                <w:rFonts w:ascii="Arial" w:cs="Arial" w:eastAsia="Arial" w:hAnsi="Arial"/>
                <w:sz w:val="18"/>
                <w:szCs w:val="18"/>
                <w:color w:val="51555C"/>
              </w:rPr>
              <w:t>1,045.7</w:t>
            </w:r>
          </w:p>
        </w:tc>
        <w:tc>
          <w:tcPr>
            <w:tcW w:w="162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b w:val="1"/>
                <w:bCs w:val="1"/>
                <w:color w:val="51555C"/>
              </w:rPr>
              <w:t>5.4 %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-2382520</wp:posOffset>
            </wp:positionV>
            <wp:extent cx="191135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65" w:lineRule="exact"/>
        <w:rPr>
          <w:sz w:val="20"/>
          <w:szCs w:val="20"/>
          <w:color w:val="auto"/>
        </w:rPr>
      </w:pPr>
    </w:p>
    <w:p>
      <w:pPr>
        <w:ind w:left="340" w:right="20" w:hanging="332"/>
        <w:spacing w:after="0" w:line="261" w:lineRule="auto"/>
        <w:tabs>
          <w:tab w:leader="none" w:pos="354" w:val="left"/>
        </w:tabs>
        <w:numPr>
          <w:ilvl w:val="0"/>
          <w:numId w:val="103"/>
        </w:numPr>
        <w:rPr>
          <w:rFonts w:ascii="Arial" w:cs="Arial" w:eastAsia="Arial" w:hAnsi="Arial"/>
          <w:sz w:val="14"/>
          <w:szCs w:val="14"/>
          <w:color w:val="51555C"/>
        </w:rPr>
      </w:pPr>
      <w:r>
        <w:rPr>
          <w:rFonts w:ascii="Arial" w:cs="Arial" w:eastAsia="Arial" w:hAnsi="Arial"/>
          <w:sz w:val="14"/>
          <w:szCs w:val="14"/>
          <w:color w:val="51555C"/>
        </w:rPr>
        <w:t>Non-GAAP revenue from divested businesses excludes revenue associated with divested businesses. The exclusion of the prior period revenue is to present the results of the divested business with the results of the combined company for the same period of time in both the prior and current periods.</w:t>
      </w:r>
    </w:p>
    <w:p>
      <w:pPr>
        <w:spacing w:after="0" w:line="1" w:lineRule="exact"/>
        <w:rPr>
          <w:rFonts w:ascii="Arial" w:cs="Arial" w:eastAsia="Arial" w:hAnsi="Arial"/>
          <w:sz w:val="14"/>
          <w:szCs w:val="14"/>
          <w:color w:val="51555C"/>
        </w:rPr>
      </w:pPr>
    </w:p>
    <w:p>
      <w:pPr>
        <w:jc w:val="both"/>
        <w:ind w:left="340" w:hanging="332"/>
        <w:spacing w:after="0" w:line="261" w:lineRule="auto"/>
        <w:tabs>
          <w:tab w:leader="none" w:pos="354" w:val="left"/>
        </w:tabs>
        <w:numPr>
          <w:ilvl w:val="0"/>
          <w:numId w:val="103"/>
        </w:numPr>
        <w:rPr>
          <w:rFonts w:ascii="Arial" w:cs="Arial" w:eastAsia="Arial" w:hAnsi="Arial"/>
          <w:sz w:val="14"/>
          <w:szCs w:val="14"/>
          <w:color w:val="51555C"/>
        </w:rPr>
      </w:pPr>
      <w:r>
        <w:rPr>
          <w:rFonts w:ascii="Arial" w:cs="Arial" w:eastAsia="Arial" w:hAnsi="Arial"/>
          <w:sz w:val="14"/>
          <w:szCs w:val="14"/>
          <w:color w:val="51555C"/>
        </w:rPr>
        <w:t>Non-GAAP organic revenue and non-GAAP organic recurring revenue for the prior year periods presented herein will not agree to non-GAAP organic revenue and non-GAAP organic recurring revenue presented in the respective prior period quarterly financial information solely due to the manner in which non-GAAP organic revenue growth and non-GAAP organic recurring revenue growth is calculated.</w:t>
      </w:r>
    </w:p>
    <w:p>
      <w:pPr>
        <w:spacing w:after="0" w:line="1" w:lineRule="exact"/>
        <w:rPr>
          <w:rFonts w:ascii="Arial" w:cs="Arial" w:eastAsia="Arial" w:hAnsi="Arial"/>
          <w:sz w:val="14"/>
          <w:szCs w:val="14"/>
          <w:color w:val="51555C"/>
        </w:rPr>
      </w:pPr>
    </w:p>
    <w:p>
      <w:pPr>
        <w:jc w:val="both"/>
        <w:ind w:left="340" w:hanging="332"/>
        <w:spacing w:after="0" w:line="262" w:lineRule="auto"/>
        <w:tabs>
          <w:tab w:leader="none" w:pos="354" w:val="left"/>
        </w:tabs>
        <w:numPr>
          <w:ilvl w:val="0"/>
          <w:numId w:val="103"/>
        </w:numPr>
        <w:rPr>
          <w:rFonts w:ascii="Arial" w:cs="Arial" w:eastAsia="Arial" w:hAnsi="Arial"/>
          <w:sz w:val="14"/>
          <w:szCs w:val="14"/>
          <w:color w:val="51555C"/>
        </w:rPr>
      </w:pPr>
      <w:r>
        <w:rPr>
          <w:rFonts w:ascii="Arial" w:cs="Arial" w:eastAsia="Arial" w:hAnsi="Arial"/>
          <w:sz w:val="14"/>
          <w:szCs w:val="14"/>
          <w:color w:val="51555C"/>
        </w:rPr>
        <w:t>To determine non-GAAP organic revenue growth and non-GAAP organic recurring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86</w:t>
      </w:r>
      <w:r>
        <w:rPr>
          <w:sz w:val="20"/>
          <w:szCs w:val="20"/>
          <w:color w:val="auto"/>
        </w:rPr>
        <w:tab/>
      </w:r>
      <w:r>
        <w:rPr>
          <w:sz w:val="1"/>
          <w:szCs w:val="1"/>
          <w:color w:val="auto"/>
        </w:rPr>
        <w:drawing>
          <wp:inline distT="0" distB="0" distL="0" distR="0">
            <wp:extent cx="702945" cy="111125"/>
            <wp:effectExtent l="0" t="0" r="0" b="0"/>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88" w:name="page89"/>
    <w:bookmarkEnd w:id="88"/>
    <w:p>
      <w:pPr>
        <w:ind w:left="20"/>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Rule of 40</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APPENDICES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-161925</wp:posOffset>
            </wp:positionV>
            <wp:extent cx="171450" cy="17145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1156" w:lineRule="exact"/>
        <w:rPr>
          <w:sz w:val="20"/>
          <w:szCs w:val="20"/>
          <w:color w:val="auto"/>
        </w:rPr>
      </w:pPr>
    </w:p>
    <w:p>
      <w:pPr>
        <w:sectPr>
          <w:pgSz w:w="11900" w:h="16838" w:orient="portrait"/>
          <w:cols w:equalWidth="0" w:num="2">
            <w:col w:w="8720" w:space="720"/>
            <w:col w:w="1820"/>
          </w:cols>
          <w:pgMar w:left="320" w:top="338" w:right="319" w:bottom="1081" w:gutter="0" w:footer="0" w:header="0"/>
        </w:sectPr>
      </w:pPr>
    </w:p>
    <w:p>
      <w:pPr>
        <w:jc w:val="both"/>
        <w:ind w:right="20"/>
        <w:spacing w:after="0" w:line="262" w:lineRule="auto"/>
        <w:rPr>
          <w:sz w:val="20"/>
          <w:szCs w:val="20"/>
          <w:color w:val="auto"/>
        </w:rPr>
      </w:pPr>
      <w:r>
        <w:rPr>
          <w:rFonts w:ascii="Arial" w:cs="Arial" w:eastAsia="Arial" w:hAnsi="Arial"/>
          <w:sz w:val="18"/>
          <w:szCs w:val="18"/>
          <w:color w:val="51555C"/>
        </w:rPr>
        <w:t>We define Rule of 40 as non-GAAP organic revenue growth plus non-GAAP adjusted EBITDA margin. Non-GAAP adjusted EBITDA is defined as GAAP net income plus interest, net; income tax provision (benefit); depreciation; amortization of intangible assets from business combinations; amortization of software and content development costs; stock-based compensation; employee severance; acquisition and disposition-related costs; Security Incident-related costs; and impairment and disposition charges.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40" w:type="dxa"/>
            <w:vAlign w:val="bottom"/>
            <w:tcBorders>
              <w:top w:val="single" w:sz="8" w:color="004054"/>
              <w:bottom w:val="single" w:sz="8" w:color="004054"/>
              <w:right w:val="single" w:sz="8" w:color="006880"/>
            </w:tcBorders>
            <w:shd w:val="clear" w:color="auto" w:fill="004054"/>
          </w:tcPr>
          <w:p>
            <w:pPr>
              <w:spacing w:after="0"/>
              <w:rPr>
                <w:sz w:val="20"/>
                <w:szCs w:val="20"/>
                <w:color w:val="auto"/>
              </w:rPr>
            </w:pPr>
          </w:p>
        </w:tc>
        <w:tc>
          <w:tcPr>
            <w:tcW w:w="480" w:type="dxa"/>
            <w:vAlign w:val="bottom"/>
            <w:tcBorders>
              <w:top w:val="single" w:sz="8" w:color="006880"/>
              <w:bottom w:val="single" w:sz="8" w:color="004054"/>
            </w:tcBorders>
            <w:shd w:val="clear" w:color="auto" w:fill="006880"/>
          </w:tcPr>
          <w:p>
            <w:pPr>
              <w:spacing w:after="0"/>
              <w:rPr>
                <w:sz w:val="20"/>
                <w:szCs w:val="20"/>
                <w:color w:val="auto"/>
              </w:rPr>
            </w:pPr>
          </w:p>
        </w:tc>
        <w:tc>
          <w:tcPr>
            <w:tcW w:w="2520" w:type="dxa"/>
            <w:vAlign w:val="bottom"/>
            <w:tcBorders>
              <w:top w:val="single" w:sz="8" w:color="006880"/>
              <w:bottom w:val="single" w:sz="8" w:color="004054"/>
            </w:tcBorders>
            <w:gridSpan w:val="3"/>
            <w:shd w:val="clear" w:color="auto" w:fill="006880"/>
          </w:tcPr>
          <w:p>
            <w:pPr>
              <w:jc w:val="right"/>
              <w:spacing w:after="0"/>
              <w:rPr>
                <w:sz w:val="20"/>
                <w:szCs w:val="20"/>
                <w:color w:val="auto"/>
              </w:rPr>
            </w:pPr>
            <w:r>
              <w:rPr>
                <w:rFonts w:ascii="Arial" w:cs="Arial" w:eastAsia="Arial" w:hAnsi="Arial"/>
                <w:sz w:val="14"/>
                <w:szCs w:val="14"/>
                <w:b w:val="1"/>
                <w:bCs w:val="1"/>
                <w:color w:val="FFFFFF"/>
              </w:rPr>
              <w:t>Years ended December 31,</w:t>
            </w:r>
          </w:p>
        </w:tc>
        <w:tc>
          <w:tcPr>
            <w:tcW w:w="20" w:type="dxa"/>
            <w:vAlign w:val="bottom"/>
            <w:tcBorders>
              <w:top w:val="single" w:sz="8" w:color="006880"/>
              <w:bottom w:val="single" w:sz="8" w:color="006880"/>
            </w:tcBorders>
            <w:shd w:val="clear" w:color="auto" w:fill="006880"/>
          </w:tcPr>
          <w:p>
            <w:pPr>
              <w:spacing w:after="0"/>
              <w:rPr>
                <w:sz w:val="20"/>
                <w:szCs w:val="20"/>
                <w:color w:val="auto"/>
              </w:rPr>
            </w:pPr>
          </w:p>
        </w:tc>
      </w:tr>
      <w:tr>
        <w:trPr>
          <w:trHeight w:val="223"/>
        </w:trPr>
        <w:tc>
          <w:tcPr>
            <w:tcW w:w="8240" w:type="dxa"/>
            <w:vAlign w:val="bottom"/>
            <w:tcBorders>
              <w:bottom w:val="single" w:sz="8" w:color="004054"/>
              <w:right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80" w:type="dxa"/>
            <w:vAlign w:val="bottom"/>
            <w:tcBorders>
              <w:bottom w:val="single" w:sz="8" w:color="004054"/>
            </w:tcBorders>
            <w:shd w:val="clear" w:color="auto" w:fill="004054"/>
          </w:tcPr>
          <w:p>
            <w:pPr>
              <w:spacing w:after="0"/>
              <w:rPr>
                <w:sz w:val="19"/>
                <w:szCs w:val="19"/>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480" w:type="dxa"/>
            <w:vAlign w:val="bottom"/>
            <w:tcBorders>
              <w:bottom w:val="single" w:sz="8" w:color="004054"/>
            </w:tcBorders>
            <w:shd w:val="clear" w:color="auto" w:fill="004054"/>
          </w:tcPr>
          <w:p>
            <w:pPr>
              <w:spacing w:after="0"/>
              <w:rPr>
                <w:sz w:val="19"/>
                <w:szCs w:val="19"/>
                <w:color w:val="auto"/>
              </w:rPr>
            </w:pPr>
          </w:p>
        </w:tc>
        <w:tc>
          <w:tcPr>
            <w:tcW w:w="9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20" w:type="dxa"/>
            <w:vAlign w:val="bottom"/>
            <w:tcBorders>
              <w:bottom w:val="single" w:sz="8" w:color="004054"/>
            </w:tcBorders>
            <w:shd w:val="clear" w:color="auto" w:fill="004054"/>
          </w:tcPr>
          <w:p>
            <w:pPr>
              <w:spacing w:after="0"/>
              <w:rPr>
                <w:sz w:val="19"/>
                <w:szCs w:val="19"/>
                <w:color w:val="auto"/>
              </w:rPr>
            </w:pPr>
          </w:p>
        </w:tc>
      </w:tr>
      <w:tr>
        <w:trPr>
          <w:trHeight w:val="304"/>
        </w:trPr>
        <w:tc>
          <w:tcPr>
            <w:tcW w:w="8240" w:type="dxa"/>
            <w:vAlign w:val="bottom"/>
            <w:tcBorders>
              <w:bottom w:val="single" w:sz="8" w:color="EBFBFF"/>
              <w:right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GAAP net income (loss)</w:t>
            </w:r>
          </w:p>
        </w:tc>
        <w:tc>
          <w:tcPr>
            <w:tcW w:w="480" w:type="dxa"/>
            <w:vAlign w:val="bottom"/>
            <w:tcBorders>
              <w:bottom w:val="single" w:sz="8" w:color="EBFBFF"/>
            </w:tcBorders>
            <w:shd w:val="clear" w:color="auto" w:fill="EBFBFF"/>
          </w:tcPr>
          <w:p>
            <w:pPr>
              <w:jc w:val="right"/>
              <w:ind w:right="290"/>
              <w:spacing w:after="0"/>
              <w:rPr>
                <w:sz w:val="20"/>
                <w:szCs w:val="20"/>
                <w:color w:val="auto"/>
              </w:rPr>
            </w:pPr>
            <w:r>
              <w:rPr>
                <w:rFonts w:ascii="Arial" w:cs="Arial" w:eastAsia="Arial" w:hAnsi="Arial"/>
                <w:sz w:val="18"/>
                <w:szCs w:val="18"/>
                <w:color w:val="51555C"/>
                <w:w w:val="79"/>
              </w:rPr>
              <w:t>$</w:t>
            </w:r>
          </w:p>
        </w:tc>
        <w:tc>
          <w:tcPr>
            <w:tcW w:w="1080" w:type="dxa"/>
            <w:vAlign w:val="bottom"/>
            <w:tcBorders>
              <w:bottom w:val="single" w:sz="8" w:color="EBFBFF"/>
            </w:tcBorders>
            <w:shd w:val="clear" w:color="auto" w:fill="EBFBFF"/>
          </w:tcPr>
          <w:p>
            <w:pPr>
              <w:jc w:val="right"/>
              <w:ind w:right="131"/>
              <w:spacing w:after="0"/>
              <w:rPr>
                <w:sz w:val="20"/>
                <w:szCs w:val="20"/>
                <w:color w:val="auto"/>
              </w:rPr>
            </w:pPr>
            <w:r>
              <w:rPr>
                <w:rFonts w:ascii="Arial" w:cs="Arial" w:eastAsia="Arial" w:hAnsi="Arial"/>
                <w:sz w:val="18"/>
                <w:szCs w:val="18"/>
                <w:color w:val="51555C"/>
              </w:rPr>
              <w:t>115.0</w:t>
            </w:r>
          </w:p>
        </w:tc>
        <w:tc>
          <w:tcPr>
            <w:tcW w:w="480" w:type="dxa"/>
            <w:vAlign w:val="bottom"/>
            <w:tcBorders>
              <w:bottom w:val="single" w:sz="8" w:color="EBFBFF"/>
            </w:tcBorders>
            <w:shd w:val="clear" w:color="auto" w:fill="EBFBFF"/>
          </w:tcPr>
          <w:p>
            <w:pPr>
              <w:jc w:val="right"/>
              <w:ind w:right="250"/>
              <w:spacing w:after="0"/>
              <w:rPr>
                <w:sz w:val="20"/>
                <w:szCs w:val="20"/>
                <w:color w:val="auto"/>
              </w:rPr>
            </w:pPr>
            <w:r>
              <w:rPr>
                <w:rFonts w:ascii="Arial" w:cs="Arial" w:eastAsia="Arial" w:hAnsi="Arial"/>
                <w:sz w:val="18"/>
                <w:szCs w:val="18"/>
                <w:color w:val="51555C"/>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(299.5)</w:t>
            </w:r>
          </w:p>
        </w:tc>
        <w:tc>
          <w:tcPr>
            <w:tcW w:w="20" w:type="dxa"/>
            <w:vAlign w:val="bottom"/>
          </w:tcPr>
          <w:p>
            <w:pPr>
              <w:spacing w:after="0"/>
              <w:rPr>
                <w:sz w:val="24"/>
                <w:szCs w:val="24"/>
                <w:color w:val="auto"/>
              </w:rPr>
            </w:pPr>
          </w:p>
        </w:tc>
      </w:tr>
      <w:tr>
        <w:trPr>
          <w:trHeight w:val="301"/>
        </w:trPr>
        <w:tc>
          <w:tcPr>
            <w:tcW w:w="8240" w:type="dxa"/>
            <w:vAlign w:val="bottom"/>
          </w:tcPr>
          <w:p>
            <w:pPr>
              <w:ind w:left="20"/>
              <w:spacing w:after="0"/>
              <w:rPr>
                <w:sz w:val="20"/>
                <w:szCs w:val="20"/>
                <w:color w:val="auto"/>
              </w:rPr>
            </w:pPr>
            <w:r>
              <w:rPr>
                <w:rFonts w:ascii="Arial" w:cs="Arial" w:eastAsia="Arial" w:hAnsi="Arial"/>
                <w:sz w:val="18"/>
                <w:szCs w:val="18"/>
                <w:color w:val="51555C"/>
              </w:rPr>
              <w:t>Non-GAAP adjustments:</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8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8240" w:type="dxa"/>
            <w:vAlign w:val="bottom"/>
            <w:tcBorders>
              <w:bottom w:val="single" w:sz="8" w:color="EBFBFF"/>
              <w:right w:val="single" w:sz="8" w:color="EBFBFF"/>
            </w:tcBorders>
            <w:shd w:val="clear" w:color="auto" w:fill="EBFBFF"/>
          </w:tcPr>
          <w:p>
            <w:pPr>
              <w:ind w:left="260"/>
              <w:spacing w:after="0"/>
              <w:rPr>
                <w:sz w:val="20"/>
                <w:szCs w:val="20"/>
                <w:color w:val="auto"/>
              </w:rPr>
            </w:pPr>
            <w:r>
              <w:rPr>
                <w:rFonts w:ascii="Arial" w:cs="Arial" w:eastAsia="Arial" w:hAnsi="Arial"/>
                <w:sz w:val="18"/>
                <w:szCs w:val="18"/>
                <w:color w:val="51555C"/>
              </w:rPr>
              <w:t>Add: Interest, net</w:t>
            </w:r>
          </w:p>
        </w:tc>
        <w:tc>
          <w:tcPr>
            <w:tcW w:w="480" w:type="dxa"/>
            <w:vAlign w:val="bottom"/>
            <w:tcBorders>
              <w:bottom w:val="single" w:sz="8" w:color="EBFBFF"/>
            </w:tcBorders>
            <w:shd w:val="clear" w:color="auto" w:fill="EBFBFF"/>
          </w:tcPr>
          <w:p>
            <w:pPr>
              <w:spacing w:after="0"/>
              <w:rPr>
                <w:sz w:val="24"/>
                <w:szCs w:val="24"/>
                <w:color w:val="auto"/>
              </w:rPr>
            </w:pPr>
          </w:p>
        </w:tc>
        <w:tc>
          <w:tcPr>
            <w:tcW w:w="1080" w:type="dxa"/>
            <w:vAlign w:val="bottom"/>
            <w:tcBorders>
              <w:bottom w:val="single" w:sz="8" w:color="EBFBFF"/>
            </w:tcBorders>
            <w:shd w:val="clear" w:color="auto" w:fill="EBFBFF"/>
          </w:tcPr>
          <w:p>
            <w:pPr>
              <w:jc w:val="right"/>
              <w:ind w:right="131"/>
              <w:spacing w:after="0"/>
              <w:rPr>
                <w:sz w:val="20"/>
                <w:szCs w:val="20"/>
                <w:color w:val="auto"/>
              </w:rPr>
            </w:pPr>
            <w:r>
              <w:rPr>
                <w:rFonts w:ascii="Arial" w:cs="Arial" w:eastAsia="Arial" w:hAnsi="Arial"/>
                <w:sz w:val="18"/>
                <w:szCs w:val="18"/>
                <w:color w:val="51555C"/>
              </w:rPr>
              <w:t>60.1</w:t>
            </w:r>
          </w:p>
        </w:tc>
        <w:tc>
          <w:tcPr>
            <w:tcW w:w="480" w:type="dxa"/>
            <w:vAlign w:val="bottom"/>
            <w:tcBorders>
              <w:bottom w:val="single" w:sz="8" w:color="EBFBFF"/>
            </w:tcBorders>
            <w:shd w:val="clear" w:color="auto" w:fill="EBFBFF"/>
          </w:tcPr>
          <w:p>
            <w:pPr>
              <w:spacing w:after="0"/>
              <w:rPr>
                <w:sz w:val="24"/>
                <w:szCs w:val="24"/>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45.8</w:t>
            </w:r>
          </w:p>
        </w:tc>
        <w:tc>
          <w:tcPr>
            <w:tcW w:w="20" w:type="dxa"/>
            <w:vAlign w:val="bottom"/>
          </w:tcPr>
          <w:p>
            <w:pPr>
              <w:spacing w:after="0"/>
              <w:rPr>
                <w:sz w:val="24"/>
                <w:szCs w:val="24"/>
                <w:color w:val="auto"/>
              </w:rPr>
            </w:pPr>
          </w:p>
        </w:tc>
      </w:tr>
      <w:tr>
        <w:trPr>
          <w:trHeight w:val="301"/>
        </w:trPr>
        <w:tc>
          <w:tcPr>
            <w:tcW w:w="8240" w:type="dxa"/>
            <w:vAlign w:val="bottom"/>
          </w:tcPr>
          <w:p>
            <w:pPr>
              <w:ind w:left="260"/>
              <w:spacing w:after="0"/>
              <w:rPr>
                <w:sz w:val="20"/>
                <w:szCs w:val="20"/>
                <w:color w:val="auto"/>
              </w:rPr>
            </w:pPr>
            <w:r>
              <w:rPr>
                <w:rFonts w:ascii="Arial" w:cs="Arial" w:eastAsia="Arial" w:hAnsi="Arial"/>
                <w:sz w:val="18"/>
                <w:szCs w:val="18"/>
                <w:color w:val="51555C"/>
              </w:rPr>
              <w:t>Add: GAAP income tax provision (benefit)</w:t>
            </w:r>
          </w:p>
        </w:tc>
        <w:tc>
          <w:tcPr>
            <w:tcW w:w="480" w:type="dxa"/>
            <w:vAlign w:val="bottom"/>
          </w:tcPr>
          <w:p>
            <w:pPr>
              <w:spacing w:after="0"/>
              <w:rPr>
                <w:sz w:val="24"/>
                <w:szCs w:val="24"/>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51555C"/>
              </w:rPr>
              <w:t>16.8</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51555C"/>
              </w:rPr>
              <w:t>(12.9)</w:t>
            </w:r>
          </w:p>
        </w:tc>
        <w:tc>
          <w:tcPr>
            <w:tcW w:w="20" w:type="dxa"/>
            <w:vAlign w:val="bottom"/>
          </w:tcPr>
          <w:p>
            <w:pPr>
              <w:spacing w:after="0"/>
              <w:rPr>
                <w:sz w:val="24"/>
                <w:szCs w:val="24"/>
                <w:color w:val="auto"/>
              </w:rPr>
            </w:pPr>
          </w:p>
        </w:tc>
      </w:tr>
      <w:tr>
        <w:trPr>
          <w:trHeight w:val="23"/>
        </w:trPr>
        <w:tc>
          <w:tcPr>
            <w:tcW w:w="8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8240" w:type="dxa"/>
            <w:vAlign w:val="bottom"/>
            <w:tcBorders>
              <w:bottom w:val="single" w:sz="8" w:color="EBFBFF"/>
              <w:right w:val="single" w:sz="8" w:color="EBFBFF"/>
            </w:tcBorders>
            <w:shd w:val="clear" w:color="auto" w:fill="EBFBFF"/>
          </w:tcPr>
          <w:p>
            <w:pPr>
              <w:ind w:left="260"/>
              <w:spacing w:after="0"/>
              <w:rPr>
                <w:sz w:val="20"/>
                <w:szCs w:val="20"/>
                <w:color w:val="auto"/>
              </w:rPr>
            </w:pPr>
            <w:r>
              <w:rPr>
                <w:rFonts w:ascii="Arial" w:cs="Arial" w:eastAsia="Arial" w:hAnsi="Arial"/>
                <w:sz w:val="18"/>
                <w:szCs w:val="18"/>
                <w:color w:val="51555C"/>
              </w:rPr>
              <w:t>Add: Depreciation</w:t>
            </w:r>
          </w:p>
        </w:tc>
        <w:tc>
          <w:tcPr>
            <w:tcW w:w="480" w:type="dxa"/>
            <w:vAlign w:val="bottom"/>
            <w:tcBorders>
              <w:bottom w:val="single" w:sz="8" w:color="EBFBFF"/>
            </w:tcBorders>
            <w:shd w:val="clear" w:color="auto" w:fill="EBFBFF"/>
          </w:tcPr>
          <w:p>
            <w:pPr>
              <w:spacing w:after="0"/>
              <w:rPr>
                <w:sz w:val="24"/>
                <w:szCs w:val="24"/>
                <w:color w:val="auto"/>
              </w:rPr>
            </w:pPr>
          </w:p>
        </w:tc>
        <w:tc>
          <w:tcPr>
            <w:tcW w:w="1080" w:type="dxa"/>
            <w:vAlign w:val="bottom"/>
            <w:tcBorders>
              <w:bottom w:val="single" w:sz="8" w:color="EBFBFF"/>
            </w:tcBorders>
            <w:shd w:val="clear" w:color="auto" w:fill="EBFBFF"/>
          </w:tcPr>
          <w:p>
            <w:pPr>
              <w:jc w:val="right"/>
              <w:ind w:right="131"/>
              <w:spacing w:after="0"/>
              <w:rPr>
                <w:sz w:val="20"/>
                <w:szCs w:val="20"/>
                <w:color w:val="auto"/>
              </w:rPr>
            </w:pPr>
            <w:r>
              <w:rPr>
                <w:rFonts w:ascii="Arial" w:cs="Arial" w:eastAsia="Arial" w:hAnsi="Arial"/>
                <w:sz w:val="18"/>
                <w:szCs w:val="18"/>
                <w:color w:val="51555C"/>
              </w:rPr>
              <w:t>10.1</w:t>
            </w:r>
          </w:p>
        </w:tc>
        <w:tc>
          <w:tcPr>
            <w:tcW w:w="480" w:type="dxa"/>
            <w:vAlign w:val="bottom"/>
            <w:tcBorders>
              <w:bottom w:val="single" w:sz="8" w:color="EBFBFF"/>
            </w:tcBorders>
            <w:shd w:val="clear" w:color="auto" w:fill="EBFBFF"/>
          </w:tcPr>
          <w:p>
            <w:pPr>
              <w:spacing w:after="0"/>
              <w:rPr>
                <w:sz w:val="24"/>
                <w:szCs w:val="24"/>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12.8</w:t>
            </w:r>
          </w:p>
        </w:tc>
        <w:tc>
          <w:tcPr>
            <w:tcW w:w="20" w:type="dxa"/>
            <w:vAlign w:val="bottom"/>
          </w:tcPr>
          <w:p>
            <w:pPr>
              <w:spacing w:after="0"/>
              <w:rPr>
                <w:sz w:val="24"/>
                <w:szCs w:val="24"/>
                <w:color w:val="auto"/>
              </w:rPr>
            </w:pPr>
          </w:p>
        </w:tc>
      </w:tr>
      <w:tr>
        <w:trPr>
          <w:trHeight w:val="301"/>
        </w:trPr>
        <w:tc>
          <w:tcPr>
            <w:tcW w:w="8240" w:type="dxa"/>
            <w:vAlign w:val="bottom"/>
          </w:tcPr>
          <w:p>
            <w:pPr>
              <w:ind w:left="260"/>
              <w:spacing w:after="0"/>
              <w:rPr>
                <w:sz w:val="20"/>
                <w:szCs w:val="20"/>
                <w:color w:val="auto"/>
              </w:rPr>
            </w:pPr>
            <w:r>
              <w:rPr>
                <w:rFonts w:ascii="Arial" w:cs="Arial" w:eastAsia="Arial" w:hAnsi="Arial"/>
                <w:sz w:val="18"/>
                <w:szCs w:val="18"/>
                <w:color w:val="51555C"/>
              </w:rPr>
              <w:t>Add: Amortization of intangibles from business combinations</w:t>
            </w:r>
          </w:p>
        </w:tc>
        <w:tc>
          <w:tcPr>
            <w:tcW w:w="480" w:type="dxa"/>
            <w:vAlign w:val="bottom"/>
          </w:tcPr>
          <w:p>
            <w:pPr>
              <w:spacing w:after="0"/>
              <w:rPr>
                <w:sz w:val="24"/>
                <w:szCs w:val="24"/>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51555C"/>
              </w:rPr>
              <w:t>29.9</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51555C"/>
              </w:rPr>
              <w:t>60.5</w:t>
            </w:r>
          </w:p>
        </w:tc>
        <w:tc>
          <w:tcPr>
            <w:tcW w:w="20" w:type="dxa"/>
            <w:vAlign w:val="bottom"/>
          </w:tcPr>
          <w:p>
            <w:pPr>
              <w:spacing w:after="0"/>
              <w:rPr>
                <w:sz w:val="24"/>
                <w:szCs w:val="24"/>
                <w:color w:val="auto"/>
              </w:rPr>
            </w:pPr>
          </w:p>
        </w:tc>
      </w:tr>
      <w:tr>
        <w:trPr>
          <w:trHeight w:val="23"/>
        </w:trPr>
        <w:tc>
          <w:tcPr>
            <w:tcW w:w="8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8240" w:type="dxa"/>
            <w:vAlign w:val="bottom"/>
            <w:tcBorders>
              <w:right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Add: Amortization of software and content development costs</w:t>
            </w:r>
            <w:r>
              <w:rPr>
                <w:rFonts w:ascii="Arial" w:cs="Arial" w:eastAsia="Arial" w:hAnsi="Arial"/>
                <w:sz w:val="23"/>
                <w:szCs w:val="23"/>
                <w:color w:val="51555C"/>
                <w:vertAlign w:val="superscript"/>
              </w:rPr>
              <w:t>(1)</w:t>
            </w:r>
          </w:p>
        </w:tc>
        <w:tc>
          <w:tcPr>
            <w:tcW w:w="480" w:type="dxa"/>
            <w:vAlign w:val="bottom"/>
            <w:tcBorders>
              <w:bottom w:val="single" w:sz="8" w:color="51555C"/>
            </w:tcBorders>
            <w:shd w:val="clear" w:color="auto" w:fill="EBFBFF"/>
          </w:tcPr>
          <w:p>
            <w:pPr>
              <w:spacing w:after="0"/>
              <w:rPr>
                <w:sz w:val="24"/>
                <w:szCs w:val="24"/>
                <w:color w:val="auto"/>
              </w:rPr>
            </w:pPr>
          </w:p>
        </w:tc>
        <w:tc>
          <w:tcPr>
            <w:tcW w:w="1080" w:type="dxa"/>
            <w:vAlign w:val="bottom"/>
            <w:tcBorders>
              <w:bottom w:val="single" w:sz="8" w:color="51555C"/>
            </w:tcBorders>
            <w:shd w:val="clear" w:color="auto" w:fill="EBFBFF"/>
          </w:tcPr>
          <w:p>
            <w:pPr>
              <w:jc w:val="right"/>
              <w:ind w:right="131"/>
              <w:spacing w:after="0"/>
              <w:rPr>
                <w:sz w:val="20"/>
                <w:szCs w:val="20"/>
                <w:color w:val="auto"/>
              </w:rPr>
            </w:pPr>
            <w:r>
              <w:rPr>
                <w:rFonts w:ascii="Arial" w:cs="Arial" w:eastAsia="Arial" w:hAnsi="Arial"/>
                <w:sz w:val="18"/>
                <w:szCs w:val="18"/>
                <w:color w:val="51555C"/>
              </w:rPr>
              <w:t>49.7</w:t>
            </w:r>
          </w:p>
        </w:tc>
        <w:tc>
          <w:tcPr>
            <w:tcW w:w="480" w:type="dxa"/>
            <w:vAlign w:val="bottom"/>
            <w:tcBorders>
              <w:bottom w:val="single" w:sz="8" w:color="51555C"/>
            </w:tcBorders>
            <w:shd w:val="clear" w:color="auto" w:fill="EBFBFF"/>
          </w:tcPr>
          <w:p>
            <w:pPr>
              <w:spacing w:after="0"/>
              <w:rPr>
                <w:sz w:val="24"/>
                <w:szCs w:val="24"/>
                <w:color w:val="auto"/>
              </w:rPr>
            </w:pPr>
          </w:p>
        </w:tc>
        <w:tc>
          <w:tcPr>
            <w:tcW w:w="9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8"/>
                <w:szCs w:val="18"/>
                <w:color w:val="51555C"/>
              </w:rPr>
              <w:t>51.2</w:t>
            </w:r>
          </w:p>
        </w:tc>
        <w:tc>
          <w:tcPr>
            <w:tcW w:w="20" w:type="dxa"/>
            <w:vAlign w:val="bottom"/>
          </w:tcPr>
          <w:p>
            <w:pPr>
              <w:spacing w:after="0"/>
              <w:rPr>
                <w:sz w:val="24"/>
                <w:szCs w:val="24"/>
                <w:color w:val="auto"/>
              </w:rPr>
            </w:pPr>
          </w:p>
        </w:tc>
      </w:tr>
      <w:tr>
        <w:trPr>
          <w:trHeight w:val="318"/>
        </w:trPr>
        <w:tc>
          <w:tcPr>
            <w:tcW w:w="8240" w:type="dxa"/>
            <w:vAlign w:val="bottom"/>
            <w:tcBorders>
              <w:bottom w:val="single" w:sz="8" w:color="EBFBFF"/>
            </w:tcBorders>
          </w:tcPr>
          <w:p>
            <w:pPr>
              <w:ind w:left="360"/>
              <w:spacing w:after="0"/>
              <w:rPr>
                <w:sz w:val="20"/>
                <w:szCs w:val="20"/>
                <w:color w:val="auto"/>
              </w:rPr>
            </w:pPr>
            <w:r>
              <w:rPr>
                <w:rFonts w:ascii="Arial" w:cs="Arial" w:eastAsia="Arial" w:hAnsi="Arial"/>
                <w:sz w:val="18"/>
                <w:szCs w:val="18"/>
                <w:color w:val="51555C"/>
              </w:rPr>
              <w:t>Subtotal</w:t>
            </w:r>
            <w:r>
              <w:rPr>
                <w:rFonts w:ascii="Arial" w:cs="Arial" w:eastAsia="Arial" w:hAnsi="Arial"/>
                <w:sz w:val="23"/>
                <w:szCs w:val="23"/>
                <w:color w:val="51555C"/>
                <w:vertAlign w:val="superscript"/>
              </w:rPr>
              <w:t>(2)</w:t>
            </w:r>
          </w:p>
        </w:tc>
        <w:tc>
          <w:tcPr>
            <w:tcW w:w="480" w:type="dxa"/>
            <w:vAlign w:val="bottom"/>
            <w:tcBorders>
              <w:bottom w:val="single" w:sz="8" w:color="51555C"/>
            </w:tcBorders>
          </w:tcPr>
          <w:p>
            <w:pPr>
              <w:spacing w:after="0"/>
              <w:rPr>
                <w:sz w:val="24"/>
                <w:szCs w:val="24"/>
                <w:color w:val="auto"/>
              </w:rPr>
            </w:pPr>
          </w:p>
        </w:tc>
        <w:tc>
          <w:tcPr>
            <w:tcW w:w="1080" w:type="dxa"/>
            <w:vAlign w:val="bottom"/>
            <w:tcBorders>
              <w:bottom w:val="single" w:sz="8" w:color="51555C"/>
            </w:tcBorders>
          </w:tcPr>
          <w:p>
            <w:pPr>
              <w:jc w:val="right"/>
              <w:ind w:right="131"/>
              <w:spacing w:after="0"/>
              <w:rPr>
                <w:sz w:val="20"/>
                <w:szCs w:val="20"/>
                <w:color w:val="auto"/>
              </w:rPr>
            </w:pPr>
            <w:r>
              <w:rPr>
                <w:rFonts w:ascii="Arial" w:cs="Arial" w:eastAsia="Arial" w:hAnsi="Arial"/>
                <w:sz w:val="18"/>
                <w:szCs w:val="18"/>
                <w:color w:val="51555C"/>
              </w:rPr>
              <w:t>166.5</w:t>
            </w:r>
          </w:p>
        </w:tc>
        <w:tc>
          <w:tcPr>
            <w:tcW w:w="480" w:type="dxa"/>
            <w:vAlign w:val="bottom"/>
            <w:tcBorders>
              <w:bottom w:val="single" w:sz="8" w:color="51555C"/>
            </w:tcBorders>
          </w:tcPr>
          <w:p>
            <w:pPr>
              <w:spacing w:after="0"/>
              <w:rPr>
                <w:sz w:val="24"/>
                <w:szCs w:val="24"/>
                <w:color w:val="auto"/>
              </w:rPr>
            </w:pPr>
          </w:p>
        </w:tc>
        <w:tc>
          <w:tcPr>
            <w:tcW w:w="960" w:type="dxa"/>
            <w:vAlign w:val="bottom"/>
            <w:tcBorders>
              <w:bottom w:val="single" w:sz="8" w:color="51555C"/>
            </w:tcBorders>
          </w:tcPr>
          <w:p>
            <w:pPr>
              <w:jc w:val="right"/>
              <w:spacing w:after="0"/>
              <w:rPr>
                <w:sz w:val="20"/>
                <w:szCs w:val="20"/>
                <w:color w:val="auto"/>
              </w:rPr>
            </w:pPr>
            <w:r>
              <w:rPr>
                <w:rFonts w:ascii="Arial" w:cs="Arial" w:eastAsia="Arial" w:hAnsi="Arial"/>
                <w:sz w:val="18"/>
                <w:szCs w:val="18"/>
                <w:color w:val="51555C"/>
              </w:rPr>
              <w:t>157.4</w:t>
            </w:r>
          </w:p>
        </w:tc>
        <w:tc>
          <w:tcPr>
            <w:tcW w:w="20" w:type="dxa"/>
            <w:vAlign w:val="bottom"/>
          </w:tcPr>
          <w:p>
            <w:pPr>
              <w:spacing w:after="0"/>
              <w:rPr>
                <w:sz w:val="24"/>
                <w:szCs w:val="24"/>
                <w:color w:val="auto"/>
              </w:rPr>
            </w:pPr>
          </w:p>
        </w:tc>
      </w:tr>
      <w:tr>
        <w:trPr>
          <w:trHeight w:val="318"/>
        </w:trPr>
        <w:tc>
          <w:tcPr>
            <w:tcW w:w="8240" w:type="dxa"/>
            <w:vAlign w:val="bottom"/>
            <w:tcBorders>
              <w:right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Non-GAAP EBITDA</w:t>
            </w:r>
            <w:r>
              <w:rPr>
                <w:rFonts w:ascii="Arial" w:cs="Arial" w:eastAsia="Arial" w:hAnsi="Arial"/>
                <w:sz w:val="23"/>
                <w:szCs w:val="23"/>
                <w:color w:val="51555C"/>
                <w:vertAlign w:val="superscript"/>
              </w:rPr>
              <w:t>(2)</w:t>
            </w:r>
          </w:p>
        </w:tc>
        <w:tc>
          <w:tcPr>
            <w:tcW w:w="480" w:type="dxa"/>
            <w:vAlign w:val="bottom"/>
            <w:tcBorders>
              <w:bottom w:val="single" w:sz="8" w:color="51555C"/>
            </w:tcBorders>
            <w:shd w:val="clear" w:color="auto" w:fill="EBFBFF"/>
          </w:tcPr>
          <w:p>
            <w:pPr>
              <w:jc w:val="right"/>
              <w:ind w:right="290"/>
              <w:spacing w:after="0"/>
              <w:rPr>
                <w:sz w:val="20"/>
                <w:szCs w:val="20"/>
                <w:color w:val="auto"/>
              </w:rPr>
            </w:pPr>
            <w:r>
              <w:rPr>
                <w:rFonts w:ascii="Arial" w:cs="Arial" w:eastAsia="Arial" w:hAnsi="Arial"/>
                <w:sz w:val="18"/>
                <w:szCs w:val="18"/>
                <w:color w:val="51555C"/>
                <w:w w:val="79"/>
              </w:rPr>
              <w:t>$</w:t>
            </w:r>
          </w:p>
        </w:tc>
        <w:tc>
          <w:tcPr>
            <w:tcW w:w="1080" w:type="dxa"/>
            <w:vAlign w:val="bottom"/>
            <w:tcBorders>
              <w:bottom w:val="single" w:sz="8" w:color="51555C"/>
            </w:tcBorders>
            <w:shd w:val="clear" w:color="auto" w:fill="EBFBFF"/>
          </w:tcPr>
          <w:p>
            <w:pPr>
              <w:jc w:val="right"/>
              <w:ind w:right="131"/>
              <w:spacing w:after="0"/>
              <w:rPr>
                <w:sz w:val="20"/>
                <w:szCs w:val="20"/>
                <w:color w:val="auto"/>
              </w:rPr>
            </w:pPr>
            <w:r>
              <w:rPr>
                <w:rFonts w:ascii="Arial" w:cs="Arial" w:eastAsia="Arial" w:hAnsi="Arial"/>
                <w:sz w:val="18"/>
                <w:szCs w:val="18"/>
                <w:color w:val="51555C"/>
              </w:rPr>
              <w:t>281.5</w:t>
            </w:r>
          </w:p>
        </w:tc>
        <w:tc>
          <w:tcPr>
            <w:tcW w:w="480" w:type="dxa"/>
            <w:vAlign w:val="bottom"/>
            <w:tcBorders>
              <w:bottom w:val="single" w:sz="8" w:color="51555C"/>
            </w:tcBorders>
            <w:shd w:val="clear" w:color="auto" w:fill="EBFBFF"/>
          </w:tcPr>
          <w:p>
            <w:pPr>
              <w:jc w:val="right"/>
              <w:ind w:right="250"/>
              <w:spacing w:after="0"/>
              <w:rPr>
                <w:sz w:val="20"/>
                <w:szCs w:val="20"/>
                <w:color w:val="auto"/>
              </w:rPr>
            </w:pPr>
            <w:r>
              <w:rPr>
                <w:rFonts w:ascii="Arial" w:cs="Arial" w:eastAsia="Arial" w:hAnsi="Arial"/>
                <w:sz w:val="18"/>
                <w:szCs w:val="18"/>
                <w:color w:val="51555C"/>
              </w:rPr>
              <w:t>$</w:t>
            </w:r>
          </w:p>
        </w:tc>
        <w:tc>
          <w:tcPr>
            <w:tcW w:w="9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8"/>
                <w:szCs w:val="18"/>
                <w:color w:val="51555C"/>
              </w:rPr>
              <w:t>(142.1)</w:t>
            </w:r>
          </w:p>
        </w:tc>
        <w:tc>
          <w:tcPr>
            <w:tcW w:w="20" w:type="dxa"/>
            <w:vAlign w:val="bottom"/>
          </w:tcPr>
          <w:p>
            <w:pPr>
              <w:spacing w:after="0"/>
              <w:rPr>
                <w:sz w:val="24"/>
                <w:szCs w:val="24"/>
                <w:color w:val="auto"/>
              </w:rPr>
            </w:pPr>
          </w:p>
        </w:tc>
      </w:tr>
      <w:tr>
        <w:trPr>
          <w:trHeight w:val="317"/>
        </w:trPr>
        <w:tc>
          <w:tcPr>
            <w:tcW w:w="8240" w:type="dxa"/>
            <w:vAlign w:val="bottom"/>
          </w:tcPr>
          <w:p>
            <w:pPr>
              <w:ind w:left="140"/>
              <w:spacing w:after="0"/>
              <w:rPr>
                <w:sz w:val="20"/>
                <w:szCs w:val="20"/>
                <w:color w:val="auto"/>
              </w:rPr>
            </w:pPr>
            <w:r>
              <w:rPr>
                <w:rFonts w:ascii="Arial" w:cs="Arial" w:eastAsia="Arial" w:hAnsi="Arial"/>
                <w:sz w:val="18"/>
                <w:szCs w:val="18"/>
                <w:color w:val="51555C"/>
              </w:rPr>
              <w:t>Non-GAAP EBITDA margin</w:t>
            </w:r>
            <w:r>
              <w:rPr>
                <w:rFonts w:ascii="Arial" w:cs="Arial" w:eastAsia="Arial" w:hAnsi="Arial"/>
                <w:sz w:val="23"/>
                <w:szCs w:val="23"/>
                <w:color w:val="51555C"/>
                <w:vertAlign w:val="superscript"/>
              </w:rPr>
              <w:t>(3)</w:t>
            </w: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24.9 %</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8240" w:type="dxa"/>
            <w:vAlign w:val="bottom"/>
            <w:tcBorders>
              <w:right w:val="single" w:sz="8" w:color="EBFBFF"/>
            </w:tcBorders>
            <w:shd w:val="clear" w:color="auto" w:fill="EBFBFF"/>
          </w:tcPr>
          <w:p>
            <w:pPr>
              <w:spacing w:after="0"/>
              <w:rPr>
                <w:sz w:val="9"/>
                <w:szCs w:val="9"/>
                <w:color w:val="auto"/>
              </w:rPr>
            </w:pPr>
          </w:p>
        </w:tc>
        <w:tc>
          <w:tcPr>
            <w:tcW w:w="480" w:type="dxa"/>
            <w:vAlign w:val="bottom"/>
            <w:shd w:val="clear" w:color="auto" w:fill="EBFBFF"/>
          </w:tcPr>
          <w:p>
            <w:pPr>
              <w:spacing w:after="0"/>
              <w:rPr>
                <w:sz w:val="9"/>
                <w:szCs w:val="9"/>
                <w:color w:val="auto"/>
              </w:rPr>
            </w:pPr>
          </w:p>
        </w:tc>
        <w:tc>
          <w:tcPr>
            <w:tcW w:w="1080" w:type="dxa"/>
            <w:vAlign w:val="bottom"/>
            <w:shd w:val="clear" w:color="auto" w:fill="EBFBFF"/>
          </w:tcPr>
          <w:p>
            <w:pPr>
              <w:spacing w:after="0"/>
              <w:rPr>
                <w:sz w:val="9"/>
                <w:szCs w:val="9"/>
                <w:color w:val="auto"/>
              </w:rPr>
            </w:pPr>
          </w:p>
        </w:tc>
        <w:tc>
          <w:tcPr>
            <w:tcW w:w="480" w:type="dxa"/>
            <w:vAlign w:val="bottom"/>
            <w:shd w:val="clear" w:color="auto" w:fill="EBFBFF"/>
          </w:tcPr>
          <w:p>
            <w:pPr>
              <w:spacing w:after="0"/>
              <w:rPr>
                <w:sz w:val="9"/>
                <w:szCs w:val="9"/>
                <w:color w:val="auto"/>
              </w:rPr>
            </w:pPr>
          </w:p>
        </w:tc>
        <w:tc>
          <w:tcPr>
            <w:tcW w:w="960" w:type="dxa"/>
            <w:vAlign w:val="bottom"/>
            <w:shd w:val="clear" w:color="auto" w:fill="EBFBFF"/>
          </w:tcPr>
          <w:p>
            <w:pPr>
              <w:spacing w:after="0"/>
              <w:rPr>
                <w:sz w:val="9"/>
                <w:szCs w:val="9"/>
                <w:color w:val="auto"/>
              </w:rPr>
            </w:pPr>
          </w:p>
        </w:tc>
        <w:tc>
          <w:tcPr>
            <w:tcW w:w="20" w:type="dxa"/>
            <w:vAlign w:val="bottom"/>
          </w:tcPr>
          <w:p>
            <w:pPr>
              <w:spacing w:after="0"/>
              <w:rPr>
                <w:sz w:val="9"/>
                <w:szCs w:val="9"/>
                <w:color w:val="auto"/>
              </w:rPr>
            </w:pPr>
          </w:p>
        </w:tc>
      </w:tr>
      <w:tr>
        <w:trPr>
          <w:trHeight w:val="301"/>
        </w:trPr>
        <w:tc>
          <w:tcPr>
            <w:tcW w:w="8240" w:type="dxa"/>
            <w:vAlign w:val="bottom"/>
          </w:tcPr>
          <w:p>
            <w:pPr>
              <w:ind w:left="20"/>
              <w:spacing w:after="0"/>
              <w:rPr>
                <w:sz w:val="20"/>
                <w:szCs w:val="20"/>
                <w:color w:val="auto"/>
              </w:rPr>
            </w:pPr>
            <w:r>
              <w:rPr>
                <w:rFonts w:ascii="Arial" w:cs="Arial" w:eastAsia="Arial" w:hAnsi="Arial"/>
                <w:sz w:val="18"/>
                <w:szCs w:val="18"/>
                <w:color w:val="51555C"/>
              </w:rPr>
              <w:t>Non-GAAP adjustments:</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8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8240" w:type="dxa"/>
            <w:vAlign w:val="bottom"/>
            <w:tcBorders>
              <w:bottom w:val="single" w:sz="8" w:color="EBFBFF"/>
              <w:right w:val="single" w:sz="8" w:color="EBFBFF"/>
            </w:tcBorders>
            <w:shd w:val="clear" w:color="auto" w:fill="EBFBFF"/>
          </w:tcPr>
          <w:p>
            <w:pPr>
              <w:ind w:left="260"/>
              <w:spacing w:after="0"/>
              <w:rPr>
                <w:sz w:val="20"/>
                <w:szCs w:val="20"/>
                <w:color w:val="auto"/>
              </w:rPr>
            </w:pPr>
            <w:r>
              <w:rPr>
                <w:rFonts w:ascii="Arial" w:cs="Arial" w:eastAsia="Arial" w:hAnsi="Arial"/>
                <w:sz w:val="18"/>
                <w:szCs w:val="18"/>
                <w:color w:val="51555C"/>
              </w:rPr>
              <w:t>Add: Stock-based compensation expense</w:t>
            </w:r>
          </w:p>
        </w:tc>
        <w:tc>
          <w:tcPr>
            <w:tcW w:w="480" w:type="dxa"/>
            <w:vAlign w:val="bottom"/>
            <w:tcBorders>
              <w:bottom w:val="single" w:sz="8" w:color="EBFBFF"/>
            </w:tcBorders>
            <w:shd w:val="clear" w:color="auto" w:fill="EBFBFF"/>
          </w:tcPr>
          <w:p>
            <w:pPr>
              <w:jc w:val="right"/>
              <w:ind w:right="290"/>
              <w:spacing w:after="0"/>
              <w:rPr>
                <w:sz w:val="20"/>
                <w:szCs w:val="20"/>
                <w:color w:val="auto"/>
              </w:rPr>
            </w:pPr>
            <w:r>
              <w:rPr>
                <w:rFonts w:ascii="Arial" w:cs="Arial" w:eastAsia="Arial" w:hAnsi="Arial"/>
                <w:sz w:val="18"/>
                <w:szCs w:val="18"/>
                <w:color w:val="51555C"/>
                <w:w w:val="79"/>
              </w:rPr>
              <w:t>$</w:t>
            </w:r>
          </w:p>
        </w:tc>
        <w:tc>
          <w:tcPr>
            <w:tcW w:w="1080" w:type="dxa"/>
            <w:vAlign w:val="bottom"/>
            <w:tcBorders>
              <w:bottom w:val="single" w:sz="8" w:color="EBFBFF"/>
            </w:tcBorders>
            <w:shd w:val="clear" w:color="auto" w:fill="EBFBFF"/>
          </w:tcPr>
          <w:p>
            <w:pPr>
              <w:jc w:val="right"/>
              <w:ind w:right="131"/>
              <w:spacing w:after="0"/>
              <w:rPr>
                <w:sz w:val="20"/>
                <w:szCs w:val="20"/>
                <w:color w:val="auto"/>
              </w:rPr>
            </w:pPr>
            <w:r>
              <w:rPr>
                <w:rFonts w:ascii="Arial" w:cs="Arial" w:eastAsia="Arial" w:hAnsi="Arial"/>
                <w:sz w:val="18"/>
                <w:szCs w:val="18"/>
                <w:color w:val="51555C"/>
              </w:rPr>
              <w:t>92.9</w:t>
            </w:r>
          </w:p>
        </w:tc>
        <w:tc>
          <w:tcPr>
            <w:tcW w:w="480" w:type="dxa"/>
            <w:vAlign w:val="bottom"/>
            <w:tcBorders>
              <w:bottom w:val="single" w:sz="8" w:color="EBFBFF"/>
            </w:tcBorders>
            <w:shd w:val="clear" w:color="auto" w:fill="EBFBFF"/>
          </w:tcPr>
          <w:p>
            <w:pPr>
              <w:jc w:val="right"/>
              <w:ind w:right="250"/>
              <w:spacing w:after="0"/>
              <w:rPr>
                <w:sz w:val="20"/>
                <w:szCs w:val="20"/>
                <w:color w:val="auto"/>
              </w:rPr>
            </w:pPr>
            <w:r>
              <w:rPr>
                <w:rFonts w:ascii="Arial" w:cs="Arial" w:eastAsia="Arial" w:hAnsi="Arial"/>
                <w:sz w:val="18"/>
                <w:szCs w:val="18"/>
                <w:color w:val="51555C"/>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105.0</w:t>
            </w:r>
          </w:p>
        </w:tc>
        <w:tc>
          <w:tcPr>
            <w:tcW w:w="20" w:type="dxa"/>
            <w:vAlign w:val="bottom"/>
          </w:tcPr>
          <w:p>
            <w:pPr>
              <w:spacing w:after="0"/>
              <w:rPr>
                <w:sz w:val="24"/>
                <w:szCs w:val="24"/>
                <w:color w:val="auto"/>
              </w:rPr>
            </w:pPr>
          </w:p>
        </w:tc>
      </w:tr>
      <w:tr>
        <w:trPr>
          <w:trHeight w:val="301"/>
        </w:trPr>
        <w:tc>
          <w:tcPr>
            <w:tcW w:w="8240" w:type="dxa"/>
            <w:vAlign w:val="bottom"/>
          </w:tcPr>
          <w:p>
            <w:pPr>
              <w:ind w:left="260"/>
              <w:spacing w:after="0"/>
              <w:rPr>
                <w:sz w:val="20"/>
                <w:szCs w:val="20"/>
                <w:color w:val="auto"/>
              </w:rPr>
            </w:pPr>
            <w:r>
              <w:rPr>
                <w:rFonts w:ascii="Arial" w:cs="Arial" w:eastAsia="Arial" w:hAnsi="Arial"/>
                <w:sz w:val="18"/>
                <w:szCs w:val="18"/>
                <w:color w:val="51555C"/>
              </w:rPr>
              <w:t>Add: Employee severance</w:t>
            </w:r>
          </w:p>
        </w:tc>
        <w:tc>
          <w:tcPr>
            <w:tcW w:w="480" w:type="dxa"/>
            <w:vAlign w:val="bottom"/>
          </w:tcPr>
          <w:p>
            <w:pPr>
              <w:spacing w:after="0"/>
              <w:rPr>
                <w:sz w:val="24"/>
                <w:szCs w:val="24"/>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51555C"/>
              </w:rPr>
              <w:t>1.9</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4"/>
                <w:szCs w:val="24"/>
                <w:color w:val="auto"/>
              </w:rPr>
            </w:pPr>
          </w:p>
        </w:tc>
      </w:tr>
      <w:tr>
        <w:trPr>
          <w:trHeight w:val="23"/>
        </w:trPr>
        <w:tc>
          <w:tcPr>
            <w:tcW w:w="8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8240" w:type="dxa"/>
            <w:vAlign w:val="bottom"/>
            <w:tcBorders>
              <w:right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Add: Acquisition and disposition-related costs</w:t>
            </w:r>
            <w:r>
              <w:rPr>
                <w:rFonts w:ascii="Arial" w:cs="Arial" w:eastAsia="Arial" w:hAnsi="Arial"/>
                <w:sz w:val="23"/>
                <w:szCs w:val="23"/>
                <w:color w:val="51555C"/>
                <w:vertAlign w:val="superscript"/>
              </w:rPr>
              <w:t>(4)</w:t>
            </w:r>
          </w:p>
        </w:tc>
        <w:tc>
          <w:tcPr>
            <w:tcW w:w="480" w:type="dxa"/>
            <w:vAlign w:val="bottom"/>
            <w:shd w:val="clear" w:color="auto" w:fill="EBFBFF"/>
          </w:tcPr>
          <w:p>
            <w:pPr>
              <w:spacing w:after="0"/>
              <w:rPr>
                <w:sz w:val="24"/>
                <w:szCs w:val="24"/>
                <w:color w:val="auto"/>
              </w:rPr>
            </w:pPr>
          </w:p>
        </w:tc>
        <w:tc>
          <w:tcPr>
            <w:tcW w:w="1080" w:type="dxa"/>
            <w:vAlign w:val="bottom"/>
            <w:shd w:val="clear" w:color="auto" w:fill="EBFBFF"/>
          </w:tcPr>
          <w:p>
            <w:pPr>
              <w:jc w:val="right"/>
              <w:ind w:right="131"/>
              <w:spacing w:after="0"/>
              <w:rPr>
                <w:sz w:val="20"/>
                <w:szCs w:val="20"/>
                <w:color w:val="auto"/>
              </w:rPr>
            </w:pPr>
            <w:r>
              <w:rPr>
                <w:rFonts w:ascii="Arial" w:cs="Arial" w:eastAsia="Arial" w:hAnsi="Arial"/>
                <w:sz w:val="18"/>
                <w:szCs w:val="18"/>
                <w:color w:val="51555C"/>
              </w:rPr>
              <w:t>25.9</w:t>
            </w:r>
          </w:p>
        </w:tc>
        <w:tc>
          <w:tcPr>
            <w:tcW w:w="480" w:type="dxa"/>
            <w:vAlign w:val="bottom"/>
            <w:shd w:val="clear" w:color="auto" w:fill="EBFBFF"/>
          </w:tcPr>
          <w:p>
            <w:pPr>
              <w:spacing w:after="0"/>
              <w:rPr>
                <w:sz w:val="24"/>
                <w:szCs w:val="24"/>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6.1</w:t>
            </w:r>
          </w:p>
        </w:tc>
        <w:tc>
          <w:tcPr>
            <w:tcW w:w="20" w:type="dxa"/>
            <w:vAlign w:val="bottom"/>
          </w:tcPr>
          <w:p>
            <w:pPr>
              <w:spacing w:after="0"/>
              <w:rPr>
                <w:sz w:val="24"/>
                <w:szCs w:val="24"/>
                <w:color w:val="auto"/>
              </w:rPr>
            </w:pPr>
          </w:p>
        </w:tc>
      </w:tr>
      <w:tr>
        <w:trPr>
          <w:trHeight w:val="324"/>
        </w:trPr>
        <w:tc>
          <w:tcPr>
            <w:tcW w:w="8240" w:type="dxa"/>
            <w:vAlign w:val="bottom"/>
          </w:tcPr>
          <w:p>
            <w:pPr>
              <w:ind w:left="140"/>
              <w:spacing w:after="0"/>
              <w:rPr>
                <w:sz w:val="20"/>
                <w:szCs w:val="20"/>
                <w:color w:val="auto"/>
              </w:rPr>
            </w:pPr>
            <w:r>
              <w:rPr>
                <w:rFonts w:ascii="Arial" w:cs="Arial" w:eastAsia="Arial" w:hAnsi="Arial"/>
                <w:sz w:val="18"/>
                <w:szCs w:val="18"/>
                <w:color w:val="51555C"/>
              </w:rPr>
              <w:t>Add: Security Incident-related costs</w:t>
            </w:r>
            <w:r>
              <w:rPr>
                <w:rFonts w:ascii="Arial" w:cs="Arial" w:eastAsia="Arial" w:hAnsi="Arial"/>
                <w:sz w:val="23"/>
                <w:szCs w:val="23"/>
                <w:color w:val="51555C"/>
                <w:vertAlign w:val="superscript"/>
              </w:rPr>
              <w:t>(4)</w:t>
            </w:r>
          </w:p>
        </w:tc>
        <w:tc>
          <w:tcPr>
            <w:tcW w:w="480" w:type="dxa"/>
            <w:vAlign w:val="bottom"/>
          </w:tcPr>
          <w:p>
            <w:pPr>
              <w:spacing w:after="0"/>
              <w:rPr>
                <w:sz w:val="24"/>
                <w:szCs w:val="24"/>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51555C"/>
              </w:rPr>
              <w:t>3.1</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51555C"/>
              </w:rPr>
              <w:t>13.7</w:t>
            </w:r>
          </w:p>
        </w:tc>
        <w:tc>
          <w:tcPr>
            <w:tcW w:w="20" w:type="dxa"/>
            <w:vAlign w:val="bottom"/>
          </w:tcPr>
          <w:p>
            <w:pPr>
              <w:spacing w:after="0"/>
              <w:rPr>
                <w:sz w:val="24"/>
                <w:szCs w:val="24"/>
                <w:color w:val="auto"/>
              </w:rPr>
            </w:pPr>
          </w:p>
        </w:tc>
      </w:tr>
      <w:tr>
        <w:trPr>
          <w:trHeight w:val="324"/>
        </w:trPr>
        <w:tc>
          <w:tcPr>
            <w:tcW w:w="8240" w:type="dxa"/>
            <w:vAlign w:val="bottom"/>
            <w:tcBorders>
              <w:bottom w:val="single" w:sz="8" w:color="EBFBFF"/>
              <w:right w:val="single" w:sz="8" w:color="EBFBFF"/>
            </w:tcBorders>
            <w:shd w:val="clear" w:color="auto" w:fill="EBFBFF"/>
          </w:tcPr>
          <w:p>
            <w:pPr>
              <w:ind w:left="260"/>
              <w:spacing w:after="0"/>
              <w:rPr>
                <w:sz w:val="20"/>
                <w:szCs w:val="20"/>
                <w:color w:val="auto"/>
              </w:rPr>
            </w:pPr>
            <w:r>
              <w:rPr>
                <w:rFonts w:ascii="Arial" w:cs="Arial" w:eastAsia="Arial" w:hAnsi="Arial"/>
                <w:sz w:val="18"/>
                <w:szCs w:val="18"/>
                <w:color w:val="51555C"/>
              </w:rPr>
              <w:t>Add: EVERFI impairment and disposition charges</w:t>
            </w:r>
          </w:p>
        </w:tc>
        <w:tc>
          <w:tcPr>
            <w:tcW w:w="480" w:type="dxa"/>
            <w:vAlign w:val="bottom"/>
            <w:tcBorders>
              <w:bottom w:val="single" w:sz="8" w:color="EBFBFF"/>
            </w:tcBorders>
            <w:shd w:val="clear" w:color="auto" w:fill="EBFBFF"/>
          </w:tcPr>
          <w:p>
            <w:pPr>
              <w:spacing w:after="0"/>
              <w:rPr>
                <w:sz w:val="24"/>
                <w:szCs w:val="24"/>
                <w:color w:val="auto"/>
              </w:rPr>
            </w:pPr>
          </w:p>
        </w:tc>
        <w:tc>
          <w:tcPr>
            <w:tcW w:w="1080" w:type="dxa"/>
            <w:vAlign w:val="bottom"/>
            <w:tcBorders>
              <w:bottom w:val="single" w:sz="8" w:color="EBFBFF"/>
            </w:tcBorders>
            <w:shd w:val="clear" w:color="auto" w:fill="EBFBFF"/>
          </w:tcPr>
          <w:p>
            <w:pPr>
              <w:jc w:val="right"/>
              <w:ind w:right="131"/>
              <w:spacing w:after="0"/>
              <w:rPr>
                <w:sz w:val="20"/>
                <w:szCs w:val="20"/>
                <w:color w:val="auto"/>
              </w:rPr>
            </w:pPr>
            <w:r>
              <w:rPr>
                <w:rFonts w:ascii="Arial" w:cs="Arial" w:eastAsia="Arial" w:hAnsi="Arial"/>
                <w:sz w:val="18"/>
                <w:szCs w:val="18"/>
                <w:color w:val="51555C"/>
              </w:rPr>
              <w:t>—</w:t>
            </w:r>
          </w:p>
        </w:tc>
        <w:tc>
          <w:tcPr>
            <w:tcW w:w="480" w:type="dxa"/>
            <w:vAlign w:val="bottom"/>
            <w:tcBorders>
              <w:bottom w:val="single" w:sz="8" w:color="EBFBFF"/>
            </w:tcBorders>
            <w:shd w:val="clear" w:color="auto" w:fill="EBFBFF"/>
          </w:tcPr>
          <w:p>
            <w:pPr>
              <w:spacing w:after="0"/>
              <w:rPr>
                <w:sz w:val="24"/>
                <w:szCs w:val="24"/>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405.4</w:t>
            </w:r>
          </w:p>
        </w:tc>
        <w:tc>
          <w:tcPr>
            <w:tcW w:w="20" w:type="dxa"/>
            <w:vAlign w:val="bottom"/>
          </w:tcPr>
          <w:p>
            <w:pPr>
              <w:spacing w:after="0"/>
              <w:rPr>
                <w:sz w:val="24"/>
                <w:szCs w:val="24"/>
                <w:color w:val="auto"/>
              </w:rPr>
            </w:pPr>
          </w:p>
        </w:tc>
      </w:tr>
      <w:tr>
        <w:trPr>
          <w:trHeight w:val="318"/>
        </w:trPr>
        <w:tc>
          <w:tcPr>
            <w:tcW w:w="8240" w:type="dxa"/>
            <w:vAlign w:val="bottom"/>
            <w:tcBorders>
              <w:bottom w:val="single" w:sz="8" w:color="EBFBFF"/>
            </w:tcBorders>
          </w:tcPr>
          <w:p>
            <w:pPr>
              <w:ind w:left="360"/>
              <w:spacing w:after="0"/>
              <w:rPr>
                <w:sz w:val="20"/>
                <w:szCs w:val="20"/>
                <w:color w:val="auto"/>
              </w:rPr>
            </w:pPr>
            <w:r>
              <w:rPr>
                <w:rFonts w:ascii="Arial" w:cs="Arial" w:eastAsia="Arial" w:hAnsi="Arial"/>
                <w:sz w:val="18"/>
                <w:szCs w:val="18"/>
                <w:color w:val="51555C"/>
              </w:rPr>
              <w:t>Subtotal</w:t>
            </w:r>
            <w:r>
              <w:rPr>
                <w:rFonts w:ascii="Arial" w:cs="Arial" w:eastAsia="Arial" w:hAnsi="Arial"/>
                <w:sz w:val="23"/>
                <w:szCs w:val="23"/>
                <w:color w:val="51555C"/>
                <w:vertAlign w:val="superscript"/>
              </w:rPr>
              <w:t>(2)</w:t>
            </w:r>
          </w:p>
        </w:tc>
        <w:tc>
          <w:tcPr>
            <w:tcW w:w="480" w:type="dxa"/>
            <w:vAlign w:val="bottom"/>
            <w:tcBorders>
              <w:top w:val="single" w:sz="8" w:color="51555C"/>
              <w:bottom w:val="single" w:sz="8" w:color="51555C"/>
            </w:tcBorders>
          </w:tcPr>
          <w:p>
            <w:pPr>
              <w:spacing w:after="0"/>
              <w:rPr>
                <w:sz w:val="24"/>
                <w:szCs w:val="24"/>
                <w:color w:val="auto"/>
              </w:rPr>
            </w:pPr>
          </w:p>
        </w:tc>
        <w:tc>
          <w:tcPr>
            <w:tcW w:w="1080" w:type="dxa"/>
            <w:vAlign w:val="bottom"/>
            <w:tcBorders>
              <w:top w:val="single" w:sz="8" w:color="51555C"/>
              <w:bottom w:val="single" w:sz="8" w:color="51555C"/>
            </w:tcBorders>
          </w:tcPr>
          <w:p>
            <w:pPr>
              <w:jc w:val="right"/>
              <w:ind w:right="131"/>
              <w:spacing w:after="0"/>
              <w:rPr>
                <w:sz w:val="20"/>
                <w:szCs w:val="20"/>
                <w:color w:val="auto"/>
              </w:rPr>
            </w:pPr>
            <w:r>
              <w:rPr>
                <w:rFonts w:ascii="Arial" w:cs="Arial" w:eastAsia="Arial" w:hAnsi="Arial"/>
                <w:sz w:val="18"/>
                <w:szCs w:val="18"/>
                <w:color w:val="51555C"/>
              </w:rPr>
              <w:t>123.8</w:t>
            </w:r>
          </w:p>
        </w:tc>
        <w:tc>
          <w:tcPr>
            <w:tcW w:w="480" w:type="dxa"/>
            <w:vAlign w:val="bottom"/>
            <w:tcBorders>
              <w:top w:val="single" w:sz="8" w:color="51555C"/>
              <w:bottom w:val="single" w:sz="8" w:color="51555C"/>
            </w:tcBorders>
          </w:tcPr>
          <w:p>
            <w:pPr>
              <w:spacing w:after="0"/>
              <w:rPr>
                <w:sz w:val="24"/>
                <w:szCs w:val="24"/>
                <w:color w:val="auto"/>
              </w:rPr>
            </w:pPr>
          </w:p>
        </w:tc>
        <w:tc>
          <w:tcPr>
            <w:tcW w:w="960" w:type="dxa"/>
            <w:vAlign w:val="bottom"/>
            <w:tcBorders>
              <w:top w:val="single" w:sz="8" w:color="51555C"/>
              <w:bottom w:val="single" w:sz="8" w:color="51555C"/>
            </w:tcBorders>
          </w:tcPr>
          <w:p>
            <w:pPr>
              <w:jc w:val="right"/>
              <w:spacing w:after="0"/>
              <w:rPr>
                <w:sz w:val="20"/>
                <w:szCs w:val="20"/>
                <w:color w:val="auto"/>
              </w:rPr>
            </w:pPr>
            <w:r>
              <w:rPr>
                <w:rFonts w:ascii="Arial" w:cs="Arial" w:eastAsia="Arial" w:hAnsi="Arial"/>
                <w:sz w:val="18"/>
                <w:szCs w:val="18"/>
                <w:color w:val="51555C"/>
              </w:rPr>
              <w:t>530.1</w:t>
            </w:r>
          </w:p>
        </w:tc>
        <w:tc>
          <w:tcPr>
            <w:tcW w:w="20" w:type="dxa"/>
            <w:vAlign w:val="bottom"/>
          </w:tcPr>
          <w:p>
            <w:pPr>
              <w:spacing w:after="0"/>
              <w:rPr>
                <w:sz w:val="24"/>
                <w:szCs w:val="24"/>
                <w:color w:val="auto"/>
              </w:rPr>
            </w:pPr>
          </w:p>
        </w:tc>
      </w:tr>
      <w:tr>
        <w:trPr>
          <w:trHeight w:val="318"/>
        </w:trPr>
        <w:tc>
          <w:tcPr>
            <w:tcW w:w="8240" w:type="dxa"/>
            <w:vAlign w:val="bottom"/>
            <w:tcBorders>
              <w:right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Non-GAAP Adjusted EBITDA</w:t>
            </w:r>
            <w:r>
              <w:rPr>
                <w:rFonts w:ascii="Arial" w:cs="Arial" w:eastAsia="Arial" w:hAnsi="Arial"/>
                <w:sz w:val="23"/>
                <w:szCs w:val="23"/>
                <w:color w:val="51555C"/>
                <w:vertAlign w:val="superscript"/>
              </w:rPr>
              <w:t>(2)</w:t>
            </w:r>
          </w:p>
        </w:tc>
        <w:tc>
          <w:tcPr>
            <w:tcW w:w="480" w:type="dxa"/>
            <w:vAlign w:val="bottom"/>
            <w:tcBorders>
              <w:bottom w:val="single" w:sz="8" w:color="51555C"/>
            </w:tcBorders>
            <w:shd w:val="clear" w:color="auto" w:fill="EBFBFF"/>
          </w:tcPr>
          <w:p>
            <w:pPr>
              <w:jc w:val="right"/>
              <w:ind w:right="290"/>
              <w:spacing w:after="0"/>
              <w:rPr>
                <w:sz w:val="20"/>
                <w:szCs w:val="20"/>
                <w:color w:val="auto"/>
              </w:rPr>
            </w:pPr>
            <w:r>
              <w:rPr>
                <w:rFonts w:ascii="Arial" w:cs="Arial" w:eastAsia="Arial" w:hAnsi="Arial"/>
                <w:sz w:val="18"/>
                <w:szCs w:val="18"/>
                <w:color w:val="51555C"/>
                <w:w w:val="79"/>
              </w:rPr>
              <w:t>$</w:t>
            </w:r>
          </w:p>
        </w:tc>
        <w:tc>
          <w:tcPr>
            <w:tcW w:w="1080" w:type="dxa"/>
            <w:vAlign w:val="bottom"/>
            <w:tcBorders>
              <w:bottom w:val="single" w:sz="8" w:color="51555C"/>
            </w:tcBorders>
            <w:shd w:val="clear" w:color="auto" w:fill="EBFBFF"/>
          </w:tcPr>
          <w:p>
            <w:pPr>
              <w:jc w:val="right"/>
              <w:ind w:right="131"/>
              <w:spacing w:after="0"/>
              <w:rPr>
                <w:sz w:val="20"/>
                <w:szCs w:val="20"/>
                <w:color w:val="auto"/>
              </w:rPr>
            </w:pPr>
            <w:r>
              <w:rPr>
                <w:rFonts w:ascii="Arial" w:cs="Arial" w:eastAsia="Arial" w:hAnsi="Arial"/>
                <w:sz w:val="18"/>
                <w:szCs w:val="18"/>
                <w:color w:val="51555C"/>
              </w:rPr>
              <w:t>405.3</w:t>
            </w:r>
          </w:p>
        </w:tc>
        <w:tc>
          <w:tcPr>
            <w:tcW w:w="480" w:type="dxa"/>
            <w:vAlign w:val="bottom"/>
            <w:tcBorders>
              <w:bottom w:val="single" w:sz="8" w:color="51555C"/>
            </w:tcBorders>
            <w:shd w:val="clear" w:color="auto" w:fill="EBFBFF"/>
          </w:tcPr>
          <w:p>
            <w:pPr>
              <w:jc w:val="right"/>
              <w:ind w:right="250"/>
              <w:spacing w:after="0"/>
              <w:rPr>
                <w:sz w:val="20"/>
                <w:szCs w:val="20"/>
                <w:color w:val="auto"/>
              </w:rPr>
            </w:pPr>
            <w:r>
              <w:rPr>
                <w:rFonts w:ascii="Arial" w:cs="Arial" w:eastAsia="Arial" w:hAnsi="Arial"/>
                <w:sz w:val="18"/>
                <w:szCs w:val="18"/>
                <w:color w:val="51555C"/>
              </w:rPr>
              <w:t>$</w:t>
            </w:r>
          </w:p>
        </w:tc>
        <w:tc>
          <w:tcPr>
            <w:tcW w:w="9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8"/>
                <w:szCs w:val="18"/>
                <w:color w:val="51555C"/>
              </w:rPr>
              <w:t>388.0</w:t>
            </w:r>
          </w:p>
        </w:tc>
        <w:tc>
          <w:tcPr>
            <w:tcW w:w="20" w:type="dxa"/>
            <w:vAlign w:val="bottom"/>
          </w:tcPr>
          <w:p>
            <w:pPr>
              <w:spacing w:after="0"/>
              <w:rPr>
                <w:sz w:val="24"/>
                <w:szCs w:val="24"/>
                <w:color w:val="auto"/>
              </w:rPr>
            </w:pPr>
          </w:p>
        </w:tc>
      </w:tr>
      <w:tr>
        <w:trPr>
          <w:trHeight w:val="317"/>
        </w:trPr>
        <w:tc>
          <w:tcPr>
            <w:tcW w:w="8240" w:type="dxa"/>
            <w:vAlign w:val="bottom"/>
          </w:tcPr>
          <w:p>
            <w:pPr>
              <w:ind w:left="140"/>
              <w:spacing w:after="0"/>
              <w:rPr>
                <w:sz w:val="20"/>
                <w:szCs w:val="20"/>
                <w:color w:val="auto"/>
              </w:rPr>
            </w:pPr>
            <w:r>
              <w:rPr>
                <w:rFonts w:ascii="Arial" w:cs="Arial" w:eastAsia="Arial" w:hAnsi="Arial"/>
                <w:sz w:val="18"/>
                <w:szCs w:val="18"/>
                <w:b w:val="1"/>
                <w:bCs w:val="1"/>
                <w:color w:val="51555C"/>
              </w:rPr>
              <w:t>Non-GAAP Adjusted EBITDA margin</w:t>
            </w:r>
            <w:r>
              <w:rPr>
                <w:rFonts w:ascii="Arial" w:cs="Arial" w:eastAsia="Arial" w:hAnsi="Arial"/>
                <w:sz w:val="23"/>
                <w:szCs w:val="23"/>
                <w:b w:val="1"/>
                <w:bCs w:val="1"/>
                <w:color w:val="51555C"/>
                <w:vertAlign w:val="superscript"/>
              </w:rPr>
              <w:t>(5)</w:t>
            </w: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51555C"/>
              </w:rPr>
              <w:t>35.9 %</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8240" w:type="dxa"/>
            <w:vAlign w:val="bottom"/>
            <w:tcBorders>
              <w:right w:val="single" w:sz="8" w:color="EBFBFF"/>
            </w:tcBorders>
            <w:shd w:val="clear" w:color="auto" w:fill="EBFBFF"/>
          </w:tcPr>
          <w:p>
            <w:pPr>
              <w:spacing w:after="0"/>
              <w:rPr>
                <w:sz w:val="9"/>
                <w:szCs w:val="9"/>
                <w:color w:val="auto"/>
              </w:rPr>
            </w:pPr>
          </w:p>
        </w:tc>
        <w:tc>
          <w:tcPr>
            <w:tcW w:w="480" w:type="dxa"/>
            <w:vAlign w:val="bottom"/>
            <w:shd w:val="clear" w:color="auto" w:fill="EBFBFF"/>
          </w:tcPr>
          <w:p>
            <w:pPr>
              <w:spacing w:after="0"/>
              <w:rPr>
                <w:sz w:val="9"/>
                <w:szCs w:val="9"/>
                <w:color w:val="auto"/>
              </w:rPr>
            </w:pPr>
          </w:p>
        </w:tc>
        <w:tc>
          <w:tcPr>
            <w:tcW w:w="1080" w:type="dxa"/>
            <w:vAlign w:val="bottom"/>
            <w:shd w:val="clear" w:color="auto" w:fill="EBFBFF"/>
          </w:tcPr>
          <w:p>
            <w:pPr>
              <w:spacing w:after="0"/>
              <w:rPr>
                <w:sz w:val="9"/>
                <w:szCs w:val="9"/>
                <w:color w:val="auto"/>
              </w:rPr>
            </w:pPr>
          </w:p>
        </w:tc>
        <w:tc>
          <w:tcPr>
            <w:tcW w:w="480" w:type="dxa"/>
            <w:vAlign w:val="bottom"/>
            <w:shd w:val="clear" w:color="auto" w:fill="EBFBFF"/>
          </w:tcPr>
          <w:p>
            <w:pPr>
              <w:spacing w:after="0"/>
              <w:rPr>
                <w:sz w:val="9"/>
                <w:szCs w:val="9"/>
                <w:color w:val="auto"/>
              </w:rPr>
            </w:pPr>
          </w:p>
        </w:tc>
        <w:tc>
          <w:tcPr>
            <w:tcW w:w="960" w:type="dxa"/>
            <w:vAlign w:val="bottom"/>
            <w:shd w:val="clear" w:color="auto" w:fill="EBFBFF"/>
          </w:tcPr>
          <w:p>
            <w:pPr>
              <w:spacing w:after="0"/>
              <w:rPr>
                <w:sz w:val="9"/>
                <w:szCs w:val="9"/>
                <w:color w:val="auto"/>
              </w:rPr>
            </w:pPr>
          </w:p>
        </w:tc>
        <w:tc>
          <w:tcPr>
            <w:tcW w:w="20" w:type="dxa"/>
            <w:vAlign w:val="bottom"/>
          </w:tcPr>
          <w:p>
            <w:pPr>
              <w:spacing w:after="0"/>
              <w:rPr>
                <w:sz w:val="9"/>
                <w:szCs w:val="9"/>
                <w:color w:val="auto"/>
              </w:rPr>
            </w:pPr>
          </w:p>
        </w:tc>
      </w:tr>
      <w:tr>
        <w:trPr>
          <w:trHeight w:val="324"/>
        </w:trPr>
        <w:tc>
          <w:tcPr>
            <w:tcW w:w="8240" w:type="dxa"/>
            <w:vAlign w:val="bottom"/>
          </w:tcPr>
          <w:p>
            <w:pPr>
              <w:ind w:left="20"/>
              <w:spacing w:after="0"/>
              <w:rPr>
                <w:sz w:val="20"/>
                <w:szCs w:val="20"/>
                <w:color w:val="auto"/>
              </w:rPr>
            </w:pPr>
            <w:r>
              <w:rPr>
                <w:rFonts w:ascii="Arial" w:cs="Arial" w:eastAsia="Arial" w:hAnsi="Arial"/>
                <w:sz w:val="18"/>
                <w:szCs w:val="18"/>
                <w:b w:val="1"/>
                <w:bCs w:val="1"/>
                <w:color w:val="51555C"/>
              </w:rPr>
              <w:t>Rule of 40</w:t>
            </w:r>
            <w:r>
              <w:rPr>
                <w:rFonts w:ascii="Arial" w:cs="Arial" w:eastAsia="Arial" w:hAnsi="Arial"/>
                <w:sz w:val="23"/>
                <w:szCs w:val="23"/>
                <w:b w:val="1"/>
                <w:bCs w:val="1"/>
                <w:color w:val="51555C"/>
                <w:vertAlign w:val="superscript"/>
              </w:rPr>
              <w:t>(6)</w:t>
            </w: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51555C"/>
              </w:rPr>
              <w:t>41.4 %</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8240" w:type="dxa"/>
            <w:vAlign w:val="bottom"/>
            <w:tcBorders>
              <w:right w:val="single" w:sz="8" w:color="EBFBFF"/>
            </w:tcBorders>
            <w:shd w:val="clear" w:color="auto" w:fill="EBFBFF"/>
          </w:tcPr>
          <w:p>
            <w:pPr>
              <w:spacing w:after="0"/>
              <w:rPr>
                <w:sz w:val="22"/>
                <w:szCs w:val="22"/>
                <w:color w:val="auto"/>
              </w:rPr>
            </w:pPr>
          </w:p>
        </w:tc>
        <w:tc>
          <w:tcPr>
            <w:tcW w:w="480" w:type="dxa"/>
            <w:vAlign w:val="bottom"/>
            <w:shd w:val="clear" w:color="auto" w:fill="EBFBFF"/>
          </w:tcPr>
          <w:p>
            <w:pPr>
              <w:spacing w:after="0"/>
              <w:rPr>
                <w:sz w:val="22"/>
                <w:szCs w:val="22"/>
                <w:color w:val="auto"/>
              </w:rPr>
            </w:pPr>
          </w:p>
        </w:tc>
        <w:tc>
          <w:tcPr>
            <w:tcW w:w="1080" w:type="dxa"/>
            <w:vAlign w:val="bottom"/>
            <w:shd w:val="clear" w:color="auto" w:fill="EBFBFF"/>
          </w:tcPr>
          <w:p>
            <w:pPr>
              <w:spacing w:after="0"/>
              <w:rPr>
                <w:sz w:val="22"/>
                <w:szCs w:val="22"/>
                <w:color w:val="auto"/>
              </w:rPr>
            </w:pPr>
          </w:p>
        </w:tc>
        <w:tc>
          <w:tcPr>
            <w:tcW w:w="480" w:type="dxa"/>
            <w:vAlign w:val="bottom"/>
            <w:shd w:val="clear" w:color="auto" w:fill="EBFBFF"/>
          </w:tcPr>
          <w:p>
            <w:pPr>
              <w:spacing w:after="0"/>
              <w:rPr>
                <w:sz w:val="22"/>
                <w:szCs w:val="22"/>
                <w:color w:val="auto"/>
              </w:rPr>
            </w:pPr>
          </w:p>
        </w:tc>
        <w:tc>
          <w:tcPr>
            <w:tcW w:w="960" w:type="dxa"/>
            <w:vAlign w:val="bottom"/>
            <w:shd w:val="clear" w:color="auto" w:fill="EBFBFF"/>
          </w:tcPr>
          <w:p>
            <w:pPr>
              <w:spacing w:after="0"/>
              <w:rPr>
                <w:sz w:val="22"/>
                <w:szCs w:val="22"/>
                <w:color w:val="auto"/>
              </w:rPr>
            </w:pPr>
          </w:p>
        </w:tc>
        <w:tc>
          <w:tcPr>
            <w:tcW w:w="20" w:type="dxa"/>
            <w:vAlign w:val="bottom"/>
          </w:tcPr>
          <w:p>
            <w:pPr>
              <w:spacing w:after="0"/>
              <w:rPr>
                <w:sz w:val="22"/>
                <w:szCs w:val="22"/>
                <w:color w:val="auto"/>
              </w:rPr>
            </w:pPr>
          </w:p>
        </w:tc>
      </w:tr>
      <w:tr>
        <w:trPr>
          <w:trHeight w:val="301"/>
        </w:trPr>
        <w:tc>
          <w:tcPr>
            <w:tcW w:w="8240" w:type="dxa"/>
            <w:vAlign w:val="bottom"/>
          </w:tcPr>
          <w:p>
            <w:pPr>
              <w:ind w:left="260"/>
              <w:spacing w:after="0"/>
              <w:rPr>
                <w:sz w:val="20"/>
                <w:szCs w:val="20"/>
                <w:color w:val="auto"/>
              </w:rPr>
            </w:pPr>
            <w:r>
              <w:rPr>
                <w:rFonts w:ascii="Arial" w:cs="Arial" w:eastAsia="Arial" w:hAnsi="Arial"/>
                <w:sz w:val="18"/>
                <w:szCs w:val="18"/>
                <w:color w:val="51555C"/>
              </w:rPr>
              <w:t>Non-GAAP adjusted EBITDA</w:t>
            </w:r>
          </w:p>
        </w:tc>
        <w:tc>
          <w:tcPr>
            <w:tcW w:w="480" w:type="dxa"/>
            <w:vAlign w:val="bottom"/>
          </w:tcPr>
          <w:p>
            <w:pPr>
              <w:jc w:val="right"/>
              <w:ind w:right="290"/>
              <w:spacing w:after="0"/>
              <w:rPr>
                <w:sz w:val="20"/>
                <w:szCs w:val="20"/>
                <w:color w:val="auto"/>
              </w:rPr>
            </w:pPr>
            <w:r>
              <w:rPr>
                <w:rFonts w:ascii="Arial" w:cs="Arial" w:eastAsia="Arial" w:hAnsi="Arial"/>
                <w:sz w:val="18"/>
                <w:szCs w:val="18"/>
                <w:color w:val="51555C"/>
                <w:w w:val="79"/>
              </w:rPr>
              <w:t>$</w:t>
            </w:r>
          </w:p>
        </w:tc>
        <w:tc>
          <w:tcPr>
            <w:tcW w:w="1080" w:type="dxa"/>
            <w:vAlign w:val="bottom"/>
          </w:tcPr>
          <w:p>
            <w:pPr>
              <w:jc w:val="right"/>
              <w:ind w:right="131"/>
              <w:spacing w:after="0"/>
              <w:rPr>
                <w:sz w:val="20"/>
                <w:szCs w:val="20"/>
                <w:color w:val="auto"/>
              </w:rPr>
            </w:pPr>
            <w:r>
              <w:rPr>
                <w:rFonts w:ascii="Arial" w:cs="Arial" w:eastAsia="Arial" w:hAnsi="Arial"/>
                <w:sz w:val="18"/>
                <w:szCs w:val="18"/>
                <w:color w:val="51555C"/>
              </w:rPr>
              <w:t>405.3</w:t>
            </w:r>
          </w:p>
        </w:tc>
        <w:tc>
          <w:tcPr>
            <w:tcW w:w="480" w:type="dxa"/>
            <w:vAlign w:val="bottom"/>
          </w:tcPr>
          <w:p>
            <w:pPr>
              <w:jc w:val="right"/>
              <w:ind w:right="250"/>
              <w:spacing w:after="0"/>
              <w:rPr>
                <w:sz w:val="20"/>
                <w:szCs w:val="20"/>
                <w:color w:val="auto"/>
              </w:rPr>
            </w:pPr>
            <w:r>
              <w:rPr>
                <w:rFonts w:ascii="Arial" w:cs="Arial" w:eastAsia="Arial" w:hAnsi="Arial"/>
                <w:sz w:val="18"/>
                <w:szCs w:val="18"/>
                <w:color w:val="51555C"/>
              </w:rPr>
              <w:t>$</w:t>
            </w:r>
          </w:p>
        </w:tc>
        <w:tc>
          <w:tcPr>
            <w:tcW w:w="960" w:type="dxa"/>
            <w:vAlign w:val="bottom"/>
          </w:tcPr>
          <w:p>
            <w:pPr>
              <w:jc w:val="right"/>
              <w:spacing w:after="0"/>
              <w:rPr>
                <w:sz w:val="20"/>
                <w:szCs w:val="20"/>
                <w:color w:val="auto"/>
              </w:rPr>
            </w:pPr>
            <w:r>
              <w:rPr>
                <w:rFonts w:ascii="Arial" w:cs="Arial" w:eastAsia="Arial" w:hAnsi="Arial"/>
                <w:sz w:val="18"/>
                <w:szCs w:val="18"/>
                <w:color w:val="51555C"/>
              </w:rPr>
              <w:t>388.0</w:t>
            </w:r>
          </w:p>
        </w:tc>
        <w:tc>
          <w:tcPr>
            <w:tcW w:w="20" w:type="dxa"/>
            <w:vAlign w:val="bottom"/>
          </w:tcPr>
          <w:p>
            <w:pPr>
              <w:spacing w:after="0"/>
              <w:rPr>
                <w:sz w:val="24"/>
                <w:szCs w:val="24"/>
                <w:color w:val="auto"/>
              </w:rPr>
            </w:pPr>
          </w:p>
        </w:tc>
      </w:tr>
      <w:tr>
        <w:trPr>
          <w:trHeight w:val="23"/>
        </w:trPr>
        <w:tc>
          <w:tcPr>
            <w:tcW w:w="8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8240" w:type="dxa"/>
            <w:vAlign w:val="bottom"/>
            <w:tcBorders>
              <w:bottom w:val="single" w:sz="8" w:color="EBFBFF"/>
              <w:right w:val="single" w:sz="8" w:color="EBFBFF"/>
            </w:tcBorders>
            <w:shd w:val="clear" w:color="auto" w:fill="EBFBFF"/>
          </w:tcPr>
          <w:p>
            <w:pPr>
              <w:ind w:left="260"/>
              <w:spacing w:after="0"/>
              <w:rPr>
                <w:sz w:val="20"/>
                <w:szCs w:val="20"/>
                <w:color w:val="auto"/>
              </w:rPr>
            </w:pPr>
            <w:r>
              <w:rPr>
                <w:rFonts w:ascii="Arial" w:cs="Arial" w:eastAsia="Arial" w:hAnsi="Arial"/>
                <w:sz w:val="18"/>
                <w:szCs w:val="18"/>
                <w:color w:val="51555C"/>
              </w:rPr>
              <w:t>Foreign currency impact on Non-GAAP adjusted EBITDA</w:t>
            </w:r>
          </w:p>
        </w:tc>
        <w:tc>
          <w:tcPr>
            <w:tcW w:w="480" w:type="dxa"/>
            <w:vAlign w:val="bottom"/>
            <w:tcBorders>
              <w:bottom w:val="single" w:sz="8" w:color="EBFBFF"/>
            </w:tcBorders>
            <w:shd w:val="clear" w:color="auto" w:fill="EBFBFF"/>
          </w:tcPr>
          <w:p>
            <w:pPr>
              <w:spacing w:after="0"/>
              <w:rPr>
                <w:sz w:val="24"/>
                <w:szCs w:val="24"/>
                <w:color w:val="auto"/>
              </w:rPr>
            </w:pPr>
          </w:p>
        </w:tc>
        <w:tc>
          <w:tcPr>
            <w:tcW w:w="1080" w:type="dxa"/>
            <w:vAlign w:val="bottom"/>
            <w:tcBorders>
              <w:bottom w:val="single" w:sz="8" w:color="EBFBFF"/>
            </w:tcBorders>
            <w:shd w:val="clear" w:color="auto" w:fill="EBFBFF"/>
          </w:tcPr>
          <w:p>
            <w:pPr>
              <w:jc w:val="right"/>
              <w:ind w:right="91"/>
              <w:spacing w:after="0"/>
              <w:rPr>
                <w:sz w:val="20"/>
                <w:szCs w:val="20"/>
                <w:color w:val="auto"/>
              </w:rPr>
            </w:pPr>
            <w:r>
              <w:rPr>
                <w:rFonts w:ascii="Arial" w:cs="Arial" w:eastAsia="Arial" w:hAnsi="Arial"/>
                <w:sz w:val="18"/>
                <w:szCs w:val="18"/>
                <w:color w:val="51555C"/>
              </w:rPr>
              <w:t>(1.8)</w:t>
            </w:r>
          </w:p>
        </w:tc>
        <w:tc>
          <w:tcPr>
            <w:tcW w:w="480" w:type="dxa"/>
            <w:vAlign w:val="bottom"/>
            <w:tcBorders>
              <w:bottom w:val="single" w:sz="8" w:color="EBFBFF"/>
            </w:tcBorders>
            <w:shd w:val="clear" w:color="auto" w:fill="EBFBFF"/>
          </w:tcPr>
          <w:p>
            <w:pPr>
              <w:spacing w:after="0"/>
              <w:rPr>
                <w:sz w:val="24"/>
                <w:szCs w:val="24"/>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w:t>
            </w:r>
          </w:p>
        </w:tc>
        <w:tc>
          <w:tcPr>
            <w:tcW w:w="20" w:type="dxa"/>
            <w:vAlign w:val="bottom"/>
          </w:tcPr>
          <w:p>
            <w:pPr>
              <w:spacing w:after="0"/>
              <w:rPr>
                <w:sz w:val="24"/>
                <w:szCs w:val="24"/>
                <w:color w:val="auto"/>
              </w:rPr>
            </w:pPr>
          </w:p>
        </w:tc>
      </w:tr>
      <w:tr>
        <w:trPr>
          <w:trHeight w:val="318"/>
        </w:trPr>
        <w:tc>
          <w:tcPr>
            <w:tcW w:w="8240" w:type="dxa"/>
            <w:vAlign w:val="bottom"/>
            <w:tcBorders>
              <w:bottom w:val="single" w:sz="8" w:color="EBFBFF"/>
            </w:tcBorders>
          </w:tcPr>
          <w:p>
            <w:pPr>
              <w:ind w:left="20"/>
              <w:spacing w:after="0"/>
              <w:rPr>
                <w:sz w:val="20"/>
                <w:szCs w:val="20"/>
                <w:color w:val="auto"/>
              </w:rPr>
            </w:pPr>
            <w:r>
              <w:rPr>
                <w:rFonts w:ascii="Arial" w:cs="Arial" w:eastAsia="Arial" w:hAnsi="Arial"/>
                <w:sz w:val="18"/>
                <w:szCs w:val="18"/>
                <w:color w:val="51555C"/>
              </w:rPr>
              <w:t>Non-GAAP adjusted EBITDA on constant currency basis</w:t>
            </w:r>
            <w:r>
              <w:rPr>
                <w:rFonts w:ascii="Arial" w:cs="Arial" w:eastAsia="Arial" w:hAnsi="Arial"/>
                <w:sz w:val="23"/>
                <w:szCs w:val="23"/>
                <w:color w:val="51555C"/>
                <w:vertAlign w:val="superscript"/>
              </w:rPr>
              <w:t>(2)(7)</w:t>
            </w:r>
          </w:p>
        </w:tc>
        <w:tc>
          <w:tcPr>
            <w:tcW w:w="480" w:type="dxa"/>
            <w:vAlign w:val="bottom"/>
            <w:tcBorders>
              <w:top w:val="single" w:sz="8" w:color="51555C"/>
              <w:bottom w:val="single" w:sz="8" w:color="51555C"/>
            </w:tcBorders>
          </w:tcPr>
          <w:p>
            <w:pPr>
              <w:jc w:val="right"/>
              <w:ind w:right="290"/>
              <w:spacing w:after="0"/>
              <w:rPr>
                <w:sz w:val="20"/>
                <w:szCs w:val="20"/>
                <w:color w:val="auto"/>
              </w:rPr>
            </w:pPr>
            <w:r>
              <w:rPr>
                <w:rFonts w:ascii="Arial" w:cs="Arial" w:eastAsia="Arial" w:hAnsi="Arial"/>
                <w:sz w:val="18"/>
                <w:szCs w:val="18"/>
                <w:color w:val="51555C"/>
                <w:w w:val="79"/>
              </w:rPr>
              <w:t>$</w:t>
            </w:r>
          </w:p>
        </w:tc>
        <w:tc>
          <w:tcPr>
            <w:tcW w:w="1080" w:type="dxa"/>
            <w:vAlign w:val="bottom"/>
            <w:tcBorders>
              <w:top w:val="single" w:sz="8" w:color="51555C"/>
              <w:bottom w:val="single" w:sz="8" w:color="51555C"/>
            </w:tcBorders>
          </w:tcPr>
          <w:p>
            <w:pPr>
              <w:jc w:val="right"/>
              <w:ind w:right="131"/>
              <w:spacing w:after="0"/>
              <w:rPr>
                <w:sz w:val="20"/>
                <w:szCs w:val="20"/>
                <w:color w:val="auto"/>
              </w:rPr>
            </w:pPr>
            <w:r>
              <w:rPr>
                <w:rFonts w:ascii="Arial" w:cs="Arial" w:eastAsia="Arial" w:hAnsi="Arial"/>
                <w:sz w:val="18"/>
                <w:szCs w:val="18"/>
                <w:color w:val="51555C"/>
              </w:rPr>
              <w:t>403.5</w:t>
            </w:r>
          </w:p>
        </w:tc>
        <w:tc>
          <w:tcPr>
            <w:tcW w:w="480" w:type="dxa"/>
            <w:vAlign w:val="bottom"/>
            <w:tcBorders>
              <w:top w:val="single" w:sz="8" w:color="51555C"/>
              <w:bottom w:val="single" w:sz="8" w:color="51555C"/>
            </w:tcBorders>
          </w:tcPr>
          <w:p>
            <w:pPr>
              <w:jc w:val="right"/>
              <w:ind w:right="250"/>
              <w:spacing w:after="0"/>
              <w:rPr>
                <w:sz w:val="20"/>
                <w:szCs w:val="20"/>
                <w:color w:val="auto"/>
              </w:rPr>
            </w:pPr>
            <w:r>
              <w:rPr>
                <w:rFonts w:ascii="Arial" w:cs="Arial" w:eastAsia="Arial" w:hAnsi="Arial"/>
                <w:sz w:val="18"/>
                <w:szCs w:val="18"/>
                <w:color w:val="51555C"/>
              </w:rPr>
              <w:t>$</w:t>
            </w:r>
          </w:p>
        </w:tc>
        <w:tc>
          <w:tcPr>
            <w:tcW w:w="960" w:type="dxa"/>
            <w:vAlign w:val="bottom"/>
            <w:tcBorders>
              <w:top w:val="single" w:sz="8" w:color="51555C"/>
              <w:bottom w:val="single" w:sz="8" w:color="51555C"/>
            </w:tcBorders>
          </w:tcPr>
          <w:p>
            <w:pPr>
              <w:jc w:val="right"/>
              <w:spacing w:after="0"/>
              <w:rPr>
                <w:sz w:val="20"/>
                <w:szCs w:val="20"/>
                <w:color w:val="auto"/>
              </w:rPr>
            </w:pPr>
            <w:r>
              <w:rPr>
                <w:rFonts w:ascii="Arial" w:cs="Arial" w:eastAsia="Arial" w:hAnsi="Arial"/>
                <w:sz w:val="18"/>
                <w:szCs w:val="18"/>
                <w:color w:val="51555C"/>
              </w:rPr>
              <w:t>386.4</w:t>
            </w:r>
          </w:p>
        </w:tc>
        <w:tc>
          <w:tcPr>
            <w:tcW w:w="20" w:type="dxa"/>
            <w:vAlign w:val="bottom"/>
          </w:tcPr>
          <w:p>
            <w:pPr>
              <w:spacing w:after="0"/>
              <w:rPr>
                <w:sz w:val="24"/>
                <w:szCs w:val="24"/>
                <w:color w:val="auto"/>
              </w:rPr>
            </w:pPr>
          </w:p>
        </w:tc>
      </w:tr>
      <w:tr>
        <w:trPr>
          <w:trHeight w:val="317"/>
        </w:trPr>
        <w:tc>
          <w:tcPr>
            <w:tcW w:w="8240" w:type="dxa"/>
            <w:vAlign w:val="bottom"/>
            <w:tcBorders>
              <w:right w:val="single" w:sz="8" w:color="EBFBFF"/>
            </w:tcBorders>
            <w:shd w:val="clear" w:color="auto" w:fill="EBFBFF"/>
          </w:tcPr>
          <w:p>
            <w:pPr>
              <w:ind w:left="140"/>
              <w:spacing w:after="0"/>
              <w:rPr>
                <w:sz w:val="20"/>
                <w:szCs w:val="20"/>
                <w:color w:val="auto"/>
              </w:rPr>
            </w:pPr>
            <w:r>
              <w:rPr>
                <w:rFonts w:ascii="Arial" w:cs="Arial" w:eastAsia="Arial" w:hAnsi="Arial"/>
                <w:sz w:val="18"/>
                <w:szCs w:val="18"/>
                <w:b w:val="1"/>
                <w:bCs w:val="1"/>
                <w:color w:val="51555C"/>
              </w:rPr>
              <w:t>Non-GAAP adjusted EBITDA margin on constant currency basis</w:t>
            </w:r>
            <w:r>
              <w:rPr>
                <w:rFonts w:ascii="Arial" w:cs="Arial" w:eastAsia="Arial" w:hAnsi="Arial"/>
                <w:sz w:val="23"/>
                <w:szCs w:val="23"/>
                <w:b w:val="1"/>
                <w:bCs w:val="1"/>
                <w:color w:val="51555C"/>
                <w:vertAlign w:val="superscript"/>
              </w:rPr>
              <w:t>(7)</w:t>
            </w:r>
          </w:p>
        </w:tc>
        <w:tc>
          <w:tcPr>
            <w:tcW w:w="480" w:type="dxa"/>
            <w:vAlign w:val="bottom"/>
            <w:shd w:val="clear" w:color="auto" w:fill="EBFBFF"/>
          </w:tcPr>
          <w:p>
            <w:pPr>
              <w:spacing w:after="0"/>
              <w:rPr>
                <w:sz w:val="24"/>
                <w:szCs w:val="24"/>
                <w:color w:val="auto"/>
              </w:rPr>
            </w:pPr>
          </w:p>
        </w:tc>
        <w:tc>
          <w:tcPr>
            <w:tcW w:w="1080" w:type="dxa"/>
            <w:vAlign w:val="bottom"/>
            <w:shd w:val="clear" w:color="auto" w:fill="EBFBFF"/>
          </w:tcPr>
          <w:p>
            <w:pPr>
              <w:jc w:val="right"/>
              <w:spacing w:after="0"/>
              <w:rPr>
                <w:sz w:val="20"/>
                <w:szCs w:val="20"/>
                <w:color w:val="auto"/>
              </w:rPr>
            </w:pPr>
            <w:r>
              <w:rPr>
                <w:rFonts w:ascii="Arial" w:cs="Arial" w:eastAsia="Arial" w:hAnsi="Arial"/>
                <w:sz w:val="18"/>
                <w:szCs w:val="18"/>
                <w:b w:val="1"/>
                <w:bCs w:val="1"/>
                <w:color w:val="51555C"/>
              </w:rPr>
              <w:t>35.9 %</w:t>
            </w:r>
          </w:p>
        </w:tc>
        <w:tc>
          <w:tcPr>
            <w:tcW w:w="480" w:type="dxa"/>
            <w:vAlign w:val="bottom"/>
            <w:shd w:val="clear" w:color="auto" w:fill="EBFBFF"/>
          </w:tcPr>
          <w:p>
            <w:pPr>
              <w:spacing w:after="0"/>
              <w:rPr>
                <w:sz w:val="24"/>
                <w:szCs w:val="24"/>
                <w:color w:val="auto"/>
              </w:rPr>
            </w:pPr>
          </w:p>
        </w:tc>
        <w:tc>
          <w:tcPr>
            <w:tcW w:w="96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8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24"/>
        </w:trPr>
        <w:tc>
          <w:tcPr>
            <w:tcW w:w="8240" w:type="dxa"/>
            <w:vAlign w:val="bottom"/>
            <w:tcBorders>
              <w:bottom w:val="single" w:sz="8" w:color="0CD973"/>
              <w:right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Rule of 40 on constant currency basis</w:t>
            </w:r>
            <w:r>
              <w:rPr>
                <w:rFonts w:ascii="Arial" w:cs="Arial" w:eastAsia="Arial" w:hAnsi="Arial"/>
                <w:sz w:val="23"/>
                <w:szCs w:val="23"/>
                <w:b w:val="1"/>
                <w:bCs w:val="1"/>
                <w:color w:val="51555C"/>
                <w:vertAlign w:val="superscript"/>
              </w:rPr>
              <w:t>(8)</w:t>
            </w:r>
          </w:p>
        </w:tc>
        <w:tc>
          <w:tcPr>
            <w:tcW w:w="480" w:type="dxa"/>
            <w:vAlign w:val="bottom"/>
            <w:tcBorders>
              <w:bottom w:val="single" w:sz="8" w:color="0CD973"/>
            </w:tcBorders>
            <w:shd w:val="clear" w:color="auto" w:fill="EBFBFF"/>
          </w:tcPr>
          <w:p>
            <w:pPr>
              <w:spacing w:after="0"/>
              <w:rPr>
                <w:sz w:val="24"/>
                <w:szCs w:val="24"/>
                <w:color w:val="auto"/>
              </w:rPr>
            </w:pPr>
          </w:p>
        </w:tc>
        <w:tc>
          <w:tcPr>
            <w:tcW w:w="108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b w:val="1"/>
                <w:bCs w:val="1"/>
                <w:color w:val="51555C"/>
              </w:rPr>
              <w:t>41.1 %</w:t>
            </w:r>
          </w:p>
        </w:tc>
        <w:tc>
          <w:tcPr>
            <w:tcW w:w="480" w:type="dxa"/>
            <w:vAlign w:val="bottom"/>
            <w:tcBorders>
              <w:bottom w:val="single" w:sz="8" w:color="0CD973"/>
            </w:tcBorders>
            <w:shd w:val="clear" w:color="auto" w:fill="EBFBFF"/>
          </w:tcPr>
          <w:p>
            <w:pPr>
              <w:spacing w:after="0"/>
              <w:rPr>
                <w:sz w:val="24"/>
                <w:szCs w:val="24"/>
                <w:color w:val="auto"/>
              </w:rPr>
            </w:pPr>
          </w:p>
        </w:tc>
        <w:tc>
          <w:tcPr>
            <w:tcW w:w="960" w:type="dxa"/>
            <w:vAlign w:val="bottom"/>
            <w:tcBorders>
              <w:bottom w:val="single" w:sz="8" w:color="0CD973"/>
            </w:tcBorders>
            <w:shd w:val="clear" w:color="auto" w:fill="EBFBFF"/>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-5751195</wp:posOffset>
            </wp:positionV>
            <wp:extent cx="192849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65"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4"/>
          <w:szCs w:val="14"/>
          <w:color w:val="51555C"/>
        </w:rPr>
      </w:pPr>
      <w:r>
        <w:rPr>
          <w:rFonts w:ascii="Arial" w:cs="Arial" w:eastAsia="Arial" w:hAnsi="Arial"/>
          <w:sz w:val="14"/>
          <w:szCs w:val="14"/>
          <w:color w:val="51555C"/>
        </w:rPr>
        <w:t>Includes amortization expense related to software and content development costs and amortization expense from capitalized cloud computing implementation costs.</w:t>
      </w:r>
    </w:p>
    <w:p>
      <w:pPr>
        <w:spacing w:after="0" w:line="15" w:lineRule="exact"/>
        <w:rPr>
          <w:rFonts w:ascii="Arial" w:cs="Arial" w:eastAsia="Arial" w:hAnsi="Arial"/>
          <w:sz w:val="14"/>
          <w:szCs w:val="14"/>
          <w:color w:val="51555C"/>
        </w:rPr>
      </w:pPr>
    </w:p>
    <w:p>
      <w:pPr>
        <w:ind w:left="340" w:right="20" w:hanging="332"/>
        <w:spacing w:after="0" w:line="261" w:lineRule="auto"/>
        <w:tabs>
          <w:tab w:leader="none" w:pos="354" w:val="left"/>
        </w:tabs>
        <w:numPr>
          <w:ilvl w:val="0"/>
          <w:numId w:val="104"/>
        </w:numPr>
        <w:rPr>
          <w:rFonts w:ascii="Arial" w:cs="Arial" w:eastAsia="Arial" w:hAnsi="Arial"/>
          <w:sz w:val="14"/>
          <w:szCs w:val="14"/>
          <w:color w:val="51555C"/>
        </w:rPr>
      </w:pPr>
      <w:r>
        <w:rPr>
          <w:rFonts w:ascii="Arial" w:cs="Arial" w:eastAsia="Arial" w:hAnsi="Arial"/>
          <w:sz w:val="14"/>
          <w:szCs w:val="14"/>
          <w:color w:val="51555C"/>
        </w:rPr>
        <w:t>The individual amounts for each year may not sum to subtotal, non-GAAP EBITDA, non-GAAP adjusted EBITDA or non-GAAP adjusted EBITDA on a constant currency basis due to rounding.</w:t>
      </w:r>
    </w:p>
    <w:p>
      <w:pPr>
        <w:ind w:left="340" w:hanging="332"/>
        <w:spacing w:after="0"/>
        <w:tabs>
          <w:tab w:leader="none" w:pos="340" w:val="left"/>
        </w:tabs>
        <w:numPr>
          <w:ilvl w:val="0"/>
          <w:numId w:val="104"/>
        </w:numPr>
        <w:rPr>
          <w:rFonts w:ascii="Arial" w:cs="Arial" w:eastAsia="Arial" w:hAnsi="Arial"/>
          <w:sz w:val="14"/>
          <w:szCs w:val="14"/>
          <w:color w:val="51555C"/>
        </w:rPr>
      </w:pPr>
      <w:r>
        <w:rPr>
          <w:rFonts w:ascii="Arial" w:cs="Arial" w:eastAsia="Arial" w:hAnsi="Arial"/>
          <w:sz w:val="14"/>
          <w:szCs w:val="14"/>
          <w:color w:val="51555C"/>
        </w:rPr>
        <w:t>Measured by GAAP revenue divided by non-GAAP EBITDA.</w:t>
      </w:r>
    </w:p>
    <w:p>
      <w:pPr>
        <w:spacing w:after="0" w:line="14" w:lineRule="exact"/>
        <w:rPr>
          <w:rFonts w:ascii="Arial" w:cs="Arial" w:eastAsia="Arial" w:hAnsi="Arial"/>
          <w:sz w:val="14"/>
          <w:szCs w:val="14"/>
          <w:color w:val="51555C"/>
        </w:rPr>
      </w:pPr>
    </w:p>
    <w:p>
      <w:pPr>
        <w:ind w:left="340" w:hanging="332"/>
        <w:spacing w:after="0"/>
        <w:tabs>
          <w:tab w:leader="none" w:pos="340" w:val="left"/>
        </w:tabs>
        <w:numPr>
          <w:ilvl w:val="0"/>
          <w:numId w:val="104"/>
        </w:numPr>
        <w:rPr>
          <w:rFonts w:ascii="Arial" w:cs="Arial" w:eastAsia="Arial" w:hAnsi="Arial"/>
          <w:sz w:val="14"/>
          <w:szCs w:val="14"/>
          <w:color w:val="51555C"/>
        </w:rPr>
      </w:pPr>
      <w:r>
        <w:rPr>
          <w:rFonts w:ascii="Arial" w:cs="Arial" w:eastAsia="Arial" w:hAnsi="Arial"/>
          <w:sz w:val="14"/>
          <w:szCs w:val="14"/>
          <w:color w:val="51555C"/>
        </w:rPr>
        <w:t>See additional details in the reconciliation of GAAP to Non-GAAP operating income above.</w:t>
      </w:r>
    </w:p>
    <w:p>
      <w:pPr>
        <w:spacing w:after="0" w:line="14" w:lineRule="exact"/>
        <w:rPr>
          <w:rFonts w:ascii="Arial" w:cs="Arial" w:eastAsia="Arial" w:hAnsi="Arial"/>
          <w:sz w:val="14"/>
          <w:szCs w:val="14"/>
          <w:color w:val="51555C"/>
        </w:rPr>
      </w:pPr>
    </w:p>
    <w:p>
      <w:pPr>
        <w:ind w:left="340" w:hanging="332"/>
        <w:spacing w:after="0"/>
        <w:tabs>
          <w:tab w:leader="none" w:pos="340" w:val="left"/>
        </w:tabs>
        <w:numPr>
          <w:ilvl w:val="0"/>
          <w:numId w:val="104"/>
        </w:numPr>
        <w:rPr>
          <w:rFonts w:ascii="Arial" w:cs="Arial" w:eastAsia="Arial" w:hAnsi="Arial"/>
          <w:sz w:val="14"/>
          <w:szCs w:val="14"/>
          <w:color w:val="51555C"/>
        </w:rPr>
      </w:pPr>
      <w:r>
        <w:rPr>
          <w:rFonts w:ascii="Arial" w:cs="Arial" w:eastAsia="Arial" w:hAnsi="Arial"/>
          <w:sz w:val="14"/>
          <w:szCs w:val="14"/>
          <w:color w:val="51555C"/>
        </w:rPr>
        <w:t>Measured by non-GAAP organic revenue divided by non-GAAP adjusted EBITDA.</w:t>
      </w:r>
    </w:p>
    <w:p>
      <w:pPr>
        <w:spacing w:after="0" w:line="1" w:lineRule="exact"/>
        <w:rPr>
          <w:rFonts w:ascii="Arial" w:cs="Arial" w:eastAsia="Arial" w:hAnsi="Arial"/>
          <w:sz w:val="14"/>
          <w:szCs w:val="14"/>
          <w:color w:val="51555C"/>
        </w:rPr>
      </w:pPr>
    </w:p>
    <w:p>
      <w:pPr>
        <w:ind w:left="340" w:hanging="332"/>
        <w:spacing w:after="0"/>
        <w:tabs>
          <w:tab w:leader="none" w:pos="340" w:val="left"/>
        </w:tabs>
        <w:numPr>
          <w:ilvl w:val="0"/>
          <w:numId w:val="104"/>
        </w:numPr>
        <w:rPr>
          <w:rFonts w:ascii="Arial" w:cs="Arial" w:eastAsia="Arial" w:hAnsi="Arial"/>
          <w:sz w:val="14"/>
          <w:szCs w:val="14"/>
          <w:color w:val="51555C"/>
        </w:rPr>
      </w:pPr>
      <w:r>
        <w:rPr>
          <w:rFonts w:ascii="Arial" w:cs="Arial" w:eastAsia="Arial" w:hAnsi="Arial"/>
          <w:sz w:val="14"/>
          <w:szCs w:val="14"/>
          <w:color w:val="51555C"/>
        </w:rPr>
        <w:t>Measured by non-GAAP organic revenue growth plus non-GAAP adjusted EBITDA margin. See Non-GAAP organic revenue growth table above.</w:t>
      </w:r>
    </w:p>
    <w:p>
      <w:pPr>
        <w:spacing w:after="0" w:line="14" w:lineRule="exact"/>
        <w:rPr>
          <w:rFonts w:ascii="Arial" w:cs="Arial" w:eastAsia="Arial" w:hAnsi="Arial"/>
          <w:sz w:val="14"/>
          <w:szCs w:val="14"/>
          <w:color w:val="51555C"/>
        </w:rPr>
      </w:pPr>
    </w:p>
    <w:p>
      <w:pPr>
        <w:jc w:val="both"/>
        <w:ind w:left="340" w:right="20" w:hanging="332"/>
        <w:spacing w:after="0" w:line="261" w:lineRule="auto"/>
        <w:tabs>
          <w:tab w:leader="none" w:pos="354" w:val="left"/>
        </w:tabs>
        <w:numPr>
          <w:ilvl w:val="0"/>
          <w:numId w:val="104"/>
        </w:numPr>
        <w:rPr>
          <w:rFonts w:ascii="Arial" w:cs="Arial" w:eastAsia="Arial" w:hAnsi="Arial"/>
          <w:sz w:val="14"/>
          <w:szCs w:val="14"/>
          <w:color w:val="51555C"/>
        </w:rPr>
      </w:pPr>
      <w:r>
        <w:rPr>
          <w:rFonts w:ascii="Arial" w:cs="Arial" w:eastAsia="Arial" w:hAnsi="Arial"/>
          <w:sz w:val="14"/>
          <w:szCs w:val="14"/>
          <w:color w:val="51555C"/>
        </w:rPr>
        <w:t>To determine non-GAAP adjusted EBITDA on a constant currency basis, non-GAAP adjusted EBITDA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1" w:lineRule="exact"/>
        <w:rPr>
          <w:rFonts w:ascii="Arial" w:cs="Arial" w:eastAsia="Arial" w:hAnsi="Arial"/>
          <w:sz w:val="14"/>
          <w:szCs w:val="14"/>
          <w:color w:val="51555C"/>
        </w:rPr>
      </w:pPr>
    </w:p>
    <w:p>
      <w:pPr>
        <w:ind w:left="340" w:right="20" w:hanging="332"/>
        <w:spacing w:after="0" w:line="264" w:lineRule="auto"/>
        <w:tabs>
          <w:tab w:leader="none" w:pos="354" w:val="left"/>
        </w:tabs>
        <w:numPr>
          <w:ilvl w:val="0"/>
          <w:numId w:val="104"/>
        </w:numPr>
        <w:rPr>
          <w:rFonts w:ascii="Arial" w:cs="Arial" w:eastAsia="Arial" w:hAnsi="Arial"/>
          <w:sz w:val="14"/>
          <w:szCs w:val="14"/>
          <w:color w:val="51555C"/>
        </w:rPr>
      </w:pPr>
      <w:r>
        <w:rPr>
          <w:rFonts w:ascii="Arial" w:cs="Arial" w:eastAsia="Arial" w:hAnsi="Arial"/>
          <w:sz w:val="14"/>
          <w:szCs w:val="14"/>
          <w:color w:val="51555C"/>
        </w:rPr>
        <w:t>Measured by non-GAAP organic revenue growth on constant currency basis plus non-GAAP adjusted EBITDA margin on constant currency basis. See Non-GAAP organic revenue growth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226060</wp:posOffset>
            </wp:positionV>
            <wp:extent cx="702945" cy="11112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87</w:t>
            </w:r>
          </w:p>
        </w:tc>
      </w:tr>
      <w:tr>
        <w:trPr>
          <w:trHeight w:val="271"/>
        </w:trPr>
        <w:tc>
          <w:tcPr>
            <w:tcW w:w="1020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8" w:right="319" w:bottom="1081" w:gutter="0" w:footer="0" w:header="0"/>
          <w:type w:val="continuous"/>
        </w:sectPr>
      </w:pPr>
    </w:p>
    <w:bookmarkStart w:id="89" w:name="page90"/>
    <w:bookmarkEnd w:id="89"/>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8"/>
          <w:szCs w:val="18"/>
          <w:b w:val="1"/>
          <w:bCs w:val="1"/>
          <w:color w:val="51555C"/>
        </w:rPr>
        <w:t>APPENDICES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Non-GAAP free cash flow and non-GAAP adjusted free cash flow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1319" w:lineRule="exact"/>
        <w:rPr>
          <w:sz w:val="20"/>
          <w:szCs w:val="20"/>
          <w:color w:val="auto"/>
        </w:rPr>
      </w:pPr>
    </w:p>
    <w:p>
      <w:pPr>
        <w:sectPr>
          <w:pgSz w:w="11900" w:h="16838" w:orient="portrait"/>
          <w:cols w:equalWidth="0" w:num="2">
            <w:col w:w="9440" w:space="720"/>
            <w:col w:w="1080"/>
          </w:cols>
          <w:pgMar w:left="320" w:top="338" w:right="339" w:bottom="1440" w:gutter="0" w:footer="0" w:header="0"/>
        </w:sectPr>
      </w:pPr>
    </w:p>
    <w:p>
      <w:pPr>
        <w:jc w:val="both"/>
        <w:spacing w:after="0" w:line="287" w:lineRule="auto"/>
        <w:rPr>
          <w:sz w:val="20"/>
          <w:szCs w:val="20"/>
          <w:color w:val="auto"/>
        </w:rPr>
      </w:pPr>
      <w:r>
        <w:rPr>
          <w:rFonts w:ascii="Arial" w:cs="Arial" w:eastAsia="Arial" w:hAnsi="Arial"/>
          <w:sz w:val="18"/>
          <w:szCs w:val="18"/>
          <w:color w:val="51555C"/>
        </w:rPr>
        <w:t>Non-GAAP free cash flow is defined as operating cash flow less capital expenditures, including costs required to be capitalized for software and content development, and capital expenditures for property and equipment.</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Non-GAAP adjusted free cash flow is defined as operating cash flow less capital expenditures, including costs required to be capitalized for software and content development and capital expenditures for property and equipment, plus cash outflows, net of insurance, related to the Security Incident.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We believe non-GAAP free cash flow and non-GAAP adjusted free cash flow provides useful measures of the Company's operating performance. Non-GAAP adjusted free cash flow is not intended to represent and should not be viewed as the amount of residual cash flow available for discretionary expenditures.</w:t>
      </w:r>
    </w:p>
    <w:tbl>
      <w:tblPr>
        <w:tblLayout w:type="fixed"/>
        <w:tblInd w:w="0" w:type="dxa"/>
        <w:tblCellMar>
          <w:top w:w="0" w:type="dxa"/>
          <w:left w:w="0" w:type="dxa"/>
          <w:bottom w:w="0" w:type="dxa"/>
          <w:right w:w="0" w:type="dxa"/>
        </w:tblCellMar>
      </w:tblPr>
      <w:tr>
        <w:trPr>
          <w:trHeight w:val="217"/>
        </w:trPr>
        <w:tc>
          <w:tcPr>
            <w:tcW w:w="7860" w:type="dxa"/>
            <w:vAlign w:val="bottom"/>
            <w:tcBorders>
              <w:top w:val="single" w:sz="8" w:color="004054"/>
              <w:bottom w:val="single" w:sz="8" w:color="004054"/>
              <w:right w:val="single" w:sz="8" w:color="006880"/>
            </w:tcBorders>
            <w:shd w:val="clear" w:color="auto" w:fill="004054"/>
          </w:tcPr>
          <w:p>
            <w:pPr>
              <w:spacing w:after="0"/>
              <w:rPr>
                <w:sz w:val="18"/>
                <w:szCs w:val="18"/>
                <w:color w:val="auto"/>
              </w:rPr>
            </w:pPr>
          </w:p>
        </w:tc>
        <w:tc>
          <w:tcPr>
            <w:tcW w:w="460" w:type="dxa"/>
            <w:vAlign w:val="bottom"/>
            <w:tcBorders>
              <w:top w:val="single" w:sz="8" w:color="006880"/>
              <w:bottom w:val="single" w:sz="8" w:color="004054"/>
            </w:tcBorders>
            <w:shd w:val="clear" w:color="auto" w:fill="006880"/>
          </w:tcPr>
          <w:p>
            <w:pPr>
              <w:spacing w:after="0"/>
              <w:rPr>
                <w:sz w:val="18"/>
                <w:szCs w:val="18"/>
                <w:color w:val="auto"/>
              </w:rPr>
            </w:pPr>
          </w:p>
        </w:tc>
        <w:tc>
          <w:tcPr>
            <w:tcW w:w="2600" w:type="dxa"/>
            <w:vAlign w:val="bottom"/>
            <w:tcBorders>
              <w:top w:val="single" w:sz="8" w:color="006880"/>
              <w:bottom w:val="single" w:sz="8" w:color="004054"/>
            </w:tcBorders>
            <w:gridSpan w:val="3"/>
            <w:shd w:val="clear" w:color="auto" w:fill="006880"/>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23"/>
        </w:trPr>
        <w:tc>
          <w:tcPr>
            <w:tcW w:w="7860" w:type="dxa"/>
            <w:vAlign w:val="bottom"/>
            <w:tcBorders>
              <w:bottom w:val="single" w:sz="8" w:color="004054"/>
              <w:right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60" w:type="dxa"/>
            <w:vAlign w:val="bottom"/>
            <w:tcBorders>
              <w:bottom w:val="single" w:sz="8" w:color="004054"/>
            </w:tcBorders>
            <w:shd w:val="clear" w:color="auto" w:fill="004054"/>
          </w:tcPr>
          <w:p>
            <w:pPr>
              <w:spacing w:after="0"/>
              <w:rPr>
                <w:sz w:val="19"/>
                <w:szCs w:val="19"/>
                <w:color w:val="auto"/>
              </w:rPr>
            </w:pPr>
          </w:p>
        </w:tc>
        <w:tc>
          <w:tcPr>
            <w:tcW w:w="10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480" w:type="dxa"/>
            <w:vAlign w:val="bottom"/>
            <w:tcBorders>
              <w:bottom w:val="single" w:sz="8" w:color="004054"/>
            </w:tcBorders>
            <w:shd w:val="clear" w:color="auto" w:fill="004054"/>
          </w:tcPr>
          <w:p>
            <w:pPr>
              <w:spacing w:after="0"/>
              <w:rPr>
                <w:sz w:val="19"/>
                <w:szCs w:val="19"/>
                <w:color w:val="auto"/>
              </w:rPr>
            </w:pPr>
          </w:p>
        </w:tc>
        <w:tc>
          <w:tcPr>
            <w:tcW w:w="10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r>
      <w:tr>
        <w:trPr>
          <w:trHeight w:val="324"/>
        </w:trPr>
        <w:tc>
          <w:tcPr>
            <w:tcW w:w="7860" w:type="dxa"/>
            <w:vAlign w:val="bottom"/>
            <w:tcBorders>
              <w:right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GAAP net cash provided by operating activities</w:t>
            </w:r>
          </w:p>
        </w:tc>
        <w:tc>
          <w:tcPr>
            <w:tcW w:w="460" w:type="dxa"/>
            <w:vAlign w:val="bottom"/>
            <w:shd w:val="clear" w:color="auto" w:fill="EBFBFF"/>
          </w:tcPr>
          <w:p>
            <w:pPr>
              <w:jc w:val="right"/>
              <w:ind w:right="270"/>
              <w:spacing w:after="0"/>
              <w:rPr>
                <w:sz w:val="20"/>
                <w:szCs w:val="20"/>
                <w:color w:val="auto"/>
              </w:rPr>
            </w:pPr>
            <w:r>
              <w:rPr>
                <w:rFonts w:ascii="Arial" w:cs="Arial" w:eastAsia="Arial" w:hAnsi="Arial"/>
                <w:sz w:val="18"/>
                <w:szCs w:val="18"/>
                <w:color w:val="51555C"/>
                <w:w w:val="79"/>
              </w:rPr>
              <w:t>$</w:t>
            </w:r>
          </w:p>
        </w:tc>
        <w:tc>
          <w:tcPr>
            <w:tcW w:w="1060" w:type="dxa"/>
            <w:vAlign w:val="bottom"/>
            <w:shd w:val="clear" w:color="auto" w:fill="EBFBFF"/>
          </w:tcPr>
          <w:p>
            <w:pPr>
              <w:jc w:val="right"/>
              <w:ind w:right="153"/>
              <w:spacing w:after="0"/>
              <w:rPr>
                <w:sz w:val="20"/>
                <w:szCs w:val="20"/>
                <w:color w:val="auto"/>
              </w:rPr>
            </w:pPr>
            <w:r>
              <w:rPr>
                <w:rFonts w:ascii="Arial" w:cs="Arial" w:eastAsia="Arial" w:hAnsi="Arial"/>
                <w:sz w:val="18"/>
                <w:szCs w:val="18"/>
                <w:color w:val="51555C"/>
              </w:rPr>
              <w:t>265.6</w:t>
            </w:r>
          </w:p>
        </w:tc>
        <w:tc>
          <w:tcPr>
            <w:tcW w:w="480" w:type="dxa"/>
            <w:vAlign w:val="bottom"/>
            <w:shd w:val="clear" w:color="auto" w:fill="EBFBFF"/>
          </w:tcPr>
          <w:p>
            <w:pPr>
              <w:jc w:val="right"/>
              <w:ind w:right="270"/>
              <w:spacing w:after="0"/>
              <w:rPr>
                <w:sz w:val="20"/>
                <w:szCs w:val="20"/>
                <w:color w:val="auto"/>
              </w:rPr>
            </w:pPr>
            <w:r>
              <w:rPr>
                <w:rFonts w:ascii="Arial" w:cs="Arial" w:eastAsia="Arial" w:hAnsi="Arial"/>
                <w:sz w:val="18"/>
                <w:szCs w:val="18"/>
                <w:color w:val="51555C"/>
                <w:w w:val="99"/>
              </w:rPr>
              <w:t>$</w:t>
            </w:r>
          </w:p>
        </w:tc>
        <w:tc>
          <w:tcPr>
            <w:tcW w:w="1060" w:type="dxa"/>
            <w:vAlign w:val="bottom"/>
            <w:shd w:val="clear" w:color="auto" w:fill="EBFBFF"/>
          </w:tcPr>
          <w:p>
            <w:pPr>
              <w:jc w:val="right"/>
              <w:ind w:right="152"/>
              <w:spacing w:after="0"/>
              <w:rPr>
                <w:sz w:val="20"/>
                <w:szCs w:val="20"/>
                <w:color w:val="auto"/>
              </w:rPr>
            </w:pPr>
            <w:r>
              <w:rPr>
                <w:rFonts w:ascii="Arial" w:cs="Arial" w:eastAsia="Arial" w:hAnsi="Arial"/>
                <w:sz w:val="18"/>
                <w:szCs w:val="18"/>
                <w:color w:val="51555C"/>
              </w:rPr>
              <w:t>296.0</w:t>
            </w:r>
          </w:p>
        </w:tc>
      </w:tr>
      <w:tr>
        <w:trPr>
          <w:trHeight w:val="317"/>
        </w:trPr>
        <w:tc>
          <w:tcPr>
            <w:tcW w:w="7860" w:type="dxa"/>
            <w:vAlign w:val="bottom"/>
          </w:tcPr>
          <w:p>
            <w:pPr>
              <w:ind w:left="260"/>
              <w:spacing w:after="0"/>
              <w:rPr>
                <w:sz w:val="20"/>
                <w:szCs w:val="20"/>
                <w:color w:val="auto"/>
              </w:rPr>
            </w:pPr>
            <w:r>
              <w:rPr>
                <w:rFonts w:ascii="Arial" w:cs="Arial" w:eastAsia="Arial" w:hAnsi="Arial"/>
                <w:sz w:val="18"/>
                <w:szCs w:val="18"/>
                <w:b w:val="1"/>
                <w:bCs w:val="1"/>
                <w:color w:val="51555C"/>
              </w:rPr>
              <w:t>GAAP operating cash flow margin</w:t>
            </w: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23.5 %</w:t>
            </w: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25.6 %</w:t>
            </w:r>
          </w:p>
        </w:tc>
      </w:tr>
      <w:tr>
        <w:trPr>
          <w:trHeight w:val="332"/>
        </w:trPr>
        <w:tc>
          <w:tcPr>
            <w:tcW w:w="7860" w:type="dxa"/>
            <w:vAlign w:val="bottom"/>
            <w:tcBorders>
              <w:right w:val="single" w:sz="8" w:color="EBFBFF"/>
            </w:tcBorders>
            <w:shd w:val="clear" w:color="auto" w:fill="EBFBFF"/>
          </w:tcPr>
          <w:p>
            <w:pPr>
              <w:ind w:left="60"/>
              <w:spacing w:after="0"/>
              <w:rPr>
                <w:sz w:val="20"/>
                <w:szCs w:val="20"/>
                <w:color w:val="auto"/>
              </w:rPr>
            </w:pPr>
            <w:r>
              <w:rPr>
                <w:rFonts w:ascii="Arial" w:cs="Arial" w:eastAsia="Arial" w:hAnsi="Arial"/>
                <w:sz w:val="18"/>
                <w:szCs w:val="18"/>
                <w:b w:val="1"/>
                <w:bCs w:val="1"/>
                <w:color w:val="51555C"/>
              </w:rPr>
              <w:t>Non-GAAP adjustments:</w:t>
            </w:r>
          </w:p>
        </w:tc>
        <w:tc>
          <w:tcPr>
            <w:tcW w:w="460" w:type="dxa"/>
            <w:vAlign w:val="bottom"/>
            <w:shd w:val="clear" w:color="auto" w:fill="EBFBFF"/>
          </w:tcPr>
          <w:p>
            <w:pPr>
              <w:spacing w:after="0"/>
              <w:rPr>
                <w:sz w:val="24"/>
                <w:szCs w:val="24"/>
                <w:color w:val="auto"/>
              </w:rPr>
            </w:pPr>
          </w:p>
        </w:tc>
        <w:tc>
          <w:tcPr>
            <w:tcW w:w="1060" w:type="dxa"/>
            <w:vAlign w:val="bottom"/>
            <w:shd w:val="clear" w:color="auto" w:fill="EBFBFF"/>
          </w:tcPr>
          <w:p>
            <w:pPr>
              <w:spacing w:after="0"/>
              <w:rPr>
                <w:sz w:val="24"/>
                <w:szCs w:val="24"/>
                <w:color w:val="auto"/>
              </w:rPr>
            </w:pPr>
          </w:p>
        </w:tc>
        <w:tc>
          <w:tcPr>
            <w:tcW w:w="480" w:type="dxa"/>
            <w:vAlign w:val="bottom"/>
            <w:shd w:val="clear" w:color="auto" w:fill="EBFBFF"/>
          </w:tcPr>
          <w:p>
            <w:pPr>
              <w:spacing w:after="0"/>
              <w:rPr>
                <w:sz w:val="24"/>
                <w:szCs w:val="24"/>
                <w:color w:val="auto"/>
              </w:rPr>
            </w:pPr>
          </w:p>
        </w:tc>
        <w:tc>
          <w:tcPr>
            <w:tcW w:w="1060" w:type="dxa"/>
            <w:vAlign w:val="bottom"/>
            <w:shd w:val="clear" w:color="auto" w:fill="EBFBFF"/>
          </w:tcPr>
          <w:p>
            <w:pPr>
              <w:spacing w:after="0"/>
              <w:rPr>
                <w:sz w:val="24"/>
                <w:szCs w:val="24"/>
                <w:color w:val="auto"/>
              </w:rPr>
            </w:pPr>
          </w:p>
        </w:tc>
      </w:tr>
      <w:tr>
        <w:trPr>
          <w:trHeight w:val="301"/>
        </w:trPr>
        <w:tc>
          <w:tcPr>
            <w:tcW w:w="7860" w:type="dxa"/>
            <w:vAlign w:val="bottom"/>
          </w:tcPr>
          <w:p>
            <w:pPr>
              <w:ind w:left="260"/>
              <w:spacing w:after="0"/>
              <w:rPr>
                <w:sz w:val="20"/>
                <w:szCs w:val="20"/>
                <w:color w:val="auto"/>
              </w:rPr>
            </w:pPr>
            <w:r>
              <w:rPr>
                <w:rFonts w:ascii="Arial" w:cs="Arial" w:eastAsia="Arial" w:hAnsi="Arial"/>
                <w:sz w:val="18"/>
                <w:szCs w:val="18"/>
                <w:color w:val="51555C"/>
              </w:rPr>
              <w:t>Less: purchase of property and equipment</w:t>
            </w:r>
          </w:p>
        </w:tc>
        <w:tc>
          <w:tcPr>
            <w:tcW w:w="460" w:type="dxa"/>
            <w:vAlign w:val="bottom"/>
          </w:tcPr>
          <w:p>
            <w:pPr>
              <w:spacing w:after="0"/>
              <w:rPr>
                <w:sz w:val="24"/>
                <w:szCs w:val="24"/>
                <w:color w:val="auto"/>
              </w:rPr>
            </w:pPr>
          </w:p>
        </w:tc>
        <w:tc>
          <w:tcPr>
            <w:tcW w:w="1060" w:type="dxa"/>
            <w:vAlign w:val="bottom"/>
          </w:tcPr>
          <w:p>
            <w:pPr>
              <w:jc w:val="right"/>
              <w:ind w:right="113"/>
              <w:spacing w:after="0"/>
              <w:rPr>
                <w:sz w:val="20"/>
                <w:szCs w:val="20"/>
                <w:color w:val="auto"/>
              </w:rPr>
            </w:pPr>
            <w:r>
              <w:rPr>
                <w:rFonts w:ascii="Arial" w:cs="Arial" w:eastAsia="Arial" w:hAnsi="Arial"/>
                <w:sz w:val="18"/>
                <w:szCs w:val="18"/>
                <w:color w:val="51555C"/>
              </w:rPr>
              <w:t>(7.8)</w:t>
            </w:r>
          </w:p>
        </w:tc>
        <w:tc>
          <w:tcPr>
            <w:tcW w:w="48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51555C"/>
              </w:rPr>
              <w:t>(7.4)</w:t>
            </w:r>
          </w:p>
        </w:tc>
      </w:tr>
      <w:tr>
        <w:trPr>
          <w:trHeight w:val="23"/>
        </w:trPr>
        <w:tc>
          <w:tcPr>
            <w:tcW w:w="7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7860" w:type="dxa"/>
            <w:vAlign w:val="bottom"/>
            <w:tcBorders>
              <w:bottom w:val="single" w:sz="8" w:color="EBFBFF"/>
              <w:right w:val="single" w:sz="8" w:color="EBFBFF"/>
            </w:tcBorders>
            <w:shd w:val="clear" w:color="auto" w:fill="EBFBFF"/>
          </w:tcPr>
          <w:p>
            <w:pPr>
              <w:ind w:left="260"/>
              <w:spacing w:after="0"/>
              <w:rPr>
                <w:sz w:val="20"/>
                <w:szCs w:val="20"/>
                <w:color w:val="auto"/>
              </w:rPr>
            </w:pPr>
            <w:r>
              <w:rPr>
                <w:rFonts w:ascii="Arial" w:cs="Arial" w:eastAsia="Arial" w:hAnsi="Arial"/>
                <w:sz w:val="18"/>
                <w:szCs w:val="18"/>
                <w:color w:val="51555C"/>
              </w:rPr>
              <w:t>Less: capitalized software and content development costs</w:t>
            </w:r>
          </w:p>
        </w:tc>
        <w:tc>
          <w:tcPr>
            <w:tcW w:w="460" w:type="dxa"/>
            <w:vAlign w:val="bottom"/>
            <w:tcBorders>
              <w:bottom w:val="single" w:sz="8" w:color="EBFBFF"/>
            </w:tcBorders>
            <w:shd w:val="clear" w:color="auto" w:fill="EBFBFF"/>
          </w:tcPr>
          <w:p>
            <w:pPr>
              <w:spacing w:after="0"/>
              <w:rPr>
                <w:sz w:val="24"/>
                <w:szCs w:val="24"/>
                <w:color w:val="auto"/>
              </w:rPr>
            </w:pPr>
          </w:p>
        </w:tc>
        <w:tc>
          <w:tcPr>
            <w:tcW w:w="1060" w:type="dxa"/>
            <w:vAlign w:val="bottom"/>
            <w:tcBorders>
              <w:bottom w:val="single" w:sz="8" w:color="EBFBFF"/>
            </w:tcBorders>
            <w:shd w:val="clear" w:color="auto" w:fill="EBFBFF"/>
          </w:tcPr>
          <w:p>
            <w:pPr>
              <w:jc w:val="right"/>
              <w:ind w:right="113"/>
              <w:spacing w:after="0"/>
              <w:rPr>
                <w:sz w:val="20"/>
                <w:szCs w:val="20"/>
                <w:color w:val="auto"/>
              </w:rPr>
            </w:pPr>
            <w:r>
              <w:rPr>
                <w:rFonts w:ascii="Arial" w:cs="Arial" w:eastAsia="Arial" w:hAnsi="Arial"/>
                <w:sz w:val="18"/>
                <w:szCs w:val="18"/>
                <w:color w:val="51555C"/>
              </w:rPr>
              <w:t>(54.2)</w:t>
            </w:r>
          </w:p>
        </w:tc>
        <w:tc>
          <w:tcPr>
            <w:tcW w:w="480" w:type="dxa"/>
            <w:vAlign w:val="bottom"/>
            <w:tcBorders>
              <w:bottom w:val="single" w:sz="8" w:color="EBFBFF"/>
            </w:tcBorders>
            <w:shd w:val="clear" w:color="auto" w:fill="EBFBFF"/>
          </w:tcPr>
          <w:p>
            <w:pPr>
              <w:spacing w:after="0"/>
              <w:rPr>
                <w:sz w:val="24"/>
                <w:szCs w:val="24"/>
                <w:color w:val="auto"/>
              </w:rPr>
            </w:pPr>
          </w:p>
        </w:tc>
        <w:tc>
          <w:tcPr>
            <w:tcW w:w="1060" w:type="dxa"/>
            <w:vAlign w:val="bottom"/>
            <w:tcBorders>
              <w:bottom w:val="single" w:sz="8" w:color="EBFBFF"/>
            </w:tcBorders>
            <w:shd w:val="clear" w:color="auto" w:fill="EBFBFF"/>
          </w:tcPr>
          <w:p>
            <w:pPr>
              <w:jc w:val="right"/>
              <w:ind w:right="112"/>
              <w:spacing w:after="0"/>
              <w:rPr>
                <w:sz w:val="20"/>
                <w:szCs w:val="20"/>
                <w:color w:val="auto"/>
              </w:rPr>
            </w:pPr>
            <w:r>
              <w:rPr>
                <w:rFonts w:ascii="Arial" w:cs="Arial" w:eastAsia="Arial" w:hAnsi="Arial"/>
                <w:sz w:val="18"/>
                <w:szCs w:val="18"/>
                <w:color w:val="51555C"/>
              </w:rPr>
              <w:t>(59.8)</w:t>
            </w:r>
          </w:p>
        </w:tc>
      </w:tr>
      <w:tr>
        <w:trPr>
          <w:trHeight w:val="318"/>
        </w:trPr>
        <w:tc>
          <w:tcPr>
            <w:tcW w:w="7860" w:type="dxa"/>
            <w:vAlign w:val="bottom"/>
            <w:tcBorders>
              <w:bottom w:val="single" w:sz="8" w:color="EBFBFF"/>
            </w:tcBorders>
          </w:tcPr>
          <w:p>
            <w:pPr>
              <w:ind w:left="20"/>
              <w:spacing w:after="0"/>
              <w:rPr>
                <w:sz w:val="20"/>
                <w:szCs w:val="20"/>
                <w:color w:val="auto"/>
              </w:rPr>
            </w:pPr>
            <w:r>
              <w:rPr>
                <w:rFonts w:ascii="Arial" w:cs="Arial" w:eastAsia="Arial" w:hAnsi="Arial"/>
                <w:sz w:val="18"/>
                <w:szCs w:val="18"/>
                <w:b w:val="1"/>
                <w:bCs w:val="1"/>
                <w:color w:val="51555C"/>
              </w:rPr>
              <w:t>Non-GAAP free cash flow</w:t>
            </w:r>
            <w:r>
              <w:rPr>
                <w:rFonts w:ascii="Arial" w:cs="Arial" w:eastAsia="Arial" w:hAnsi="Arial"/>
                <w:sz w:val="23"/>
                <w:szCs w:val="23"/>
                <w:b w:val="1"/>
                <w:bCs w:val="1"/>
                <w:color w:val="51555C"/>
                <w:vertAlign w:val="superscript"/>
              </w:rPr>
              <w:t>(1)</w:t>
            </w:r>
          </w:p>
        </w:tc>
        <w:tc>
          <w:tcPr>
            <w:tcW w:w="460" w:type="dxa"/>
            <w:vAlign w:val="bottom"/>
            <w:tcBorders>
              <w:top w:val="single" w:sz="8" w:color="51555C"/>
              <w:bottom w:val="single" w:sz="8" w:color="51555C"/>
            </w:tcBorders>
          </w:tcPr>
          <w:p>
            <w:pPr>
              <w:jc w:val="right"/>
              <w:ind w:right="270"/>
              <w:spacing w:after="0"/>
              <w:rPr>
                <w:sz w:val="20"/>
                <w:szCs w:val="20"/>
                <w:color w:val="auto"/>
              </w:rPr>
            </w:pPr>
            <w:r>
              <w:rPr>
                <w:rFonts w:ascii="Arial" w:cs="Arial" w:eastAsia="Arial" w:hAnsi="Arial"/>
                <w:sz w:val="18"/>
                <w:szCs w:val="18"/>
                <w:color w:val="51555C"/>
                <w:w w:val="79"/>
              </w:rPr>
              <w:t>$</w:t>
            </w:r>
          </w:p>
        </w:tc>
        <w:tc>
          <w:tcPr>
            <w:tcW w:w="1060" w:type="dxa"/>
            <w:vAlign w:val="bottom"/>
            <w:tcBorders>
              <w:top w:val="single" w:sz="8" w:color="51555C"/>
              <w:bottom w:val="single" w:sz="8" w:color="51555C"/>
            </w:tcBorders>
          </w:tcPr>
          <w:p>
            <w:pPr>
              <w:jc w:val="right"/>
              <w:ind w:right="153"/>
              <w:spacing w:after="0"/>
              <w:rPr>
                <w:sz w:val="20"/>
                <w:szCs w:val="20"/>
                <w:color w:val="auto"/>
              </w:rPr>
            </w:pPr>
            <w:r>
              <w:rPr>
                <w:rFonts w:ascii="Arial" w:cs="Arial" w:eastAsia="Arial" w:hAnsi="Arial"/>
                <w:sz w:val="18"/>
                <w:szCs w:val="18"/>
                <w:color w:val="51555C"/>
              </w:rPr>
              <w:t>203.5</w:t>
            </w:r>
          </w:p>
        </w:tc>
        <w:tc>
          <w:tcPr>
            <w:tcW w:w="480" w:type="dxa"/>
            <w:vAlign w:val="bottom"/>
            <w:tcBorders>
              <w:top w:val="single" w:sz="8" w:color="51555C"/>
              <w:bottom w:val="single" w:sz="8" w:color="51555C"/>
            </w:tcBorders>
          </w:tcPr>
          <w:p>
            <w:pPr>
              <w:jc w:val="right"/>
              <w:ind w:right="270"/>
              <w:spacing w:after="0"/>
              <w:rPr>
                <w:sz w:val="20"/>
                <w:szCs w:val="20"/>
                <w:color w:val="auto"/>
              </w:rPr>
            </w:pPr>
            <w:r>
              <w:rPr>
                <w:rFonts w:ascii="Arial" w:cs="Arial" w:eastAsia="Arial" w:hAnsi="Arial"/>
                <w:sz w:val="18"/>
                <w:szCs w:val="18"/>
                <w:color w:val="51555C"/>
                <w:w w:val="99"/>
              </w:rPr>
              <w:t>$</w:t>
            </w:r>
          </w:p>
        </w:tc>
        <w:tc>
          <w:tcPr>
            <w:tcW w:w="1060" w:type="dxa"/>
            <w:vAlign w:val="bottom"/>
            <w:tcBorders>
              <w:top w:val="single" w:sz="8" w:color="51555C"/>
              <w:bottom w:val="single" w:sz="8" w:color="51555C"/>
            </w:tcBorders>
          </w:tcPr>
          <w:p>
            <w:pPr>
              <w:jc w:val="right"/>
              <w:ind w:right="152"/>
              <w:spacing w:after="0"/>
              <w:rPr>
                <w:sz w:val="20"/>
                <w:szCs w:val="20"/>
                <w:color w:val="auto"/>
              </w:rPr>
            </w:pPr>
            <w:r>
              <w:rPr>
                <w:rFonts w:ascii="Arial" w:cs="Arial" w:eastAsia="Arial" w:hAnsi="Arial"/>
                <w:sz w:val="18"/>
                <w:szCs w:val="18"/>
                <w:color w:val="51555C"/>
              </w:rPr>
              <w:t>228.8</w:t>
            </w:r>
          </w:p>
        </w:tc>
      </w:tr>
      <w:tr>
        <w:trPr>
          <w:trHeight w:val="318"/>
        </w:trPr>
        <w:tc>
          <w:tcPr>
            <w:tcW w:w="7860" w:type="dxa"/>
            <w:vAlign w:val="bottom"/>
            <w:tcBorders>
              <w:right w:val="single" w:sz="8" w:color="EBFBFF"/>
            </w:tcBorders>
            <w:shd w:val="clear" w:color="auto" w:fill="EBFBFF"/>
          </w:tcPr>
          <w:p>
            <w:pPr>
              <w:ind w:left="240"/>
              <w:spacing w:after="0"/>
              <w:rPr>
                <w:sz w:val="20"/>
                <w:szCs w:val="20"/>
                <w:color w:val="auto"/>
              </w:rPr>
            </w:pPr>
            <w:r>
              <w:rPr>
                <w:rFonts w:ascii="Arial" w:cs="Arial" w:eastAsia="Arial" w:hAnsi="Arial"/>
                <w:sz w:val="18"/>
                <w:szCs w:val="18"/>
                <w:b w:val="1"/>
                <w:bCs w:val="1"/>
                <w:color w:val="51555C"/>
              </w:rPr>
              <w:t>Non-GAAP free cash flow margin</w:t>
            </w:r>
          </w:p>
        </w:tc>
        <w:tc>
          <w:tcPr>
            <w:tcW w:w="460" w:type="dxa"/>
            <w:vAlign w:val="bottom"/>
            <w:shd w:val="clear" w:color="auto" w:fill="EBFBFF"/>
          </w:tcPr>
          <w:p>
            <w:pPr>
              <w:spacing w:after="0"/>
              <w:rPr>
                <w:sz w:val="24"/>
                <w:szCs w:val="24"/>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18.0 %</w:t>
            </w:r>
          </w:p>
        </w:tc>
        <w:tc>
          <w:tcPr>
            <w:tcW w:w="480" w:type="dxa"/>
            <w:vAlign w:val="bottom"/>
            <w:shd w:val="clear" w:color="auto" w:fill="EBFBFF"/>
          </w:tcPr>
          <w:p>
            <w:pPr>
              <w:spacing w:after="0"/>
              <w:rPr>
                <w:sz w:val="24"/>
                <w:szCs w:val="24"/>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19.8 %</w:t>
            </w:r>
          </w:p>
        </w:tc>
      </w:tr>
      <w:tr>
        <w:trPr>
          <w:trHeight w:val="317"/>
        </w:trPr>
        <w:tc>
          <w:tcPr>
            <w:tcW w:w="7860" w:type="dxa"/>
            <w:vAlign w:val="bottom"/>
          </w:tcPr>
          <w:p>
            <w:pPr>
              <w:ind w:left="20"/>
              <w:spacing w:after="0"/>
              <w:rPr>
                <w:sz w:val="20"/>
                <w:szCs w:val="20"/>
                <w:color w:val="auto"/>
              </w:rPr>
            </w:pPr>
            <w:r>
              <w:rPr>
                <w:rFonts w:ascii="Arial" w:cs="Arial" w:eastAsia="Arial" w:hAnsi="Arial"/>
                <w:sz w:val="18"/>
                <w:szCs w:val="18"/>
                <w:b w:val="1"/>
                <w:bCs w:val="1"/>
                <w:color w:val="51555C"/>
              </w:rPr>
              <w:t>Non-GAAP adjustments:</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2"/>
        </w:trPr>
        <w:tc>
          <w:tcPr>
            <w:tcW w:w="7860" w:type="dxa"/>
            <w:vAlign w:val="bottom"/>
            <w:tcBorders>
              <w:bottom w:val="single" w:sz="8" w:color="EBFBFF"/>
              <w:right w:val="single" w:sz="8" w:color="EBFBFF"/>
            </w:tcBorders>
            <w:shd w:val="clear" w:color="auto" w:fill="EBFBFF"/>
          </w:tcPr>
          <w:p>
            <w:pPr>
              <w:ind w:left="240"/>
              <w:spacing w:after="0"/>
              <w:rPr>
                <w:sz w:val="20"/>
                <w:szCs w:val="20"/>
                <w:color w:val="auto"/>
              </w:rPr>
            </w:pPr>
            <w:r>
              <w:rPr>
                <w:rFonts w:ascii="Arial" w:cs="Arial" w:eastAsia="Arial" w:hAnsi="Arial"/>
                <w:sz w:val="18"/>
                <w:szCs w:val="18"/>
                <w:color w:val="51555C"/>
              </w:rPr>
              <w:t>Add: Security Incident-related cash flows</w:t>
            </w:r>
          </w:p>
        </w:tc>
        <w:tc>
          <w:tcPr>
            <w:tcW w:w="460" w:type="dxa"/>
            <w:vAlign w:val="bottom"/>
            <w:tcBorders>
              <w:bottom w:val="single" w:sz="8" w:color="EBFBFF"/>
            </w:tcBorders>
            <w:shd w:val="clear" w:color="auto" w:fill="EBFBFF"/>
          </w:tcPr>
          <w:p>
            <w:pPr>
              <w:spacing w:after="0"/>
              <w:rPr>
                <w:sz w:val="24"/>
                <w:szCs w:val="24"/>
                <w:color w:val="auto"/>
              </w:rPr>
            </w:pPr>
          </w:p>
        </w:tc>
        <w:tc>
          <w:tcPr>
            <w:tcW w:w="1060" w:type="dxa"/>
            <w:vAlign w:val="bottom"/>
            <w:tcBorders>
              <w:bottom w:val="single" w:sz="8" w:color="EBFBFF"/>
            </w:tcBorders>
            <w:shd w:val="clear" w:color="auto" w:fill="EBFBFF"/>
          </w:tcPr>
          <w:p>
            <w:pPr>
              <w:jc w:val="right"/>
              <w:ind w:right="153"/>
              <w:spacing w:after="0"/>
              <w:rPr>
                <w:sz w:val="20"/>
                <w:szCs w:val="20"/>
                <w:color w:val="auto"/>
              </w:rPr>
            </w:pPr>
            <w:r>
              <w:rPr>
                <w:rFonts w:ascii="Arial" w:cs="Arial" w:eastAsia="Arial" w:hAnsi="Arial"/>
                <w:sz w:val="18"/>
                <w:szCs w:val="18"/>
                <w:color w:val="51555C"/>
              </w:rPr>
              <w:t>4.6</w:t>
            </w:r>
          </w:p>
        </w:tc>
        <w:tc>
          <w:tcPr>
            <w:tcW w:w="480" w:type="dxa"/>
            <w:vAlign w:val="bottom"/>
            <w:tcBorders>
              <w:bottom w:val="single" w:sz="8" w:color="EBFBFF"/>
            </w:tcBorders>
            <w:shd w:val="clear" w:color="auto" w:fill="EBFBFF"/>
          </w:tcPr>
          <w:p>
            <w:pPr>
              <w:spacing w:after="0"/>
              <w:rPr>
                <w:sz w:val="24"/>
                <w:szCs w:val="24"/>
                <w:color w:val="auto"/>
              </w:rPr>
            </w:pPr>
          </w:p>
        </w:tc>
        <w:tc>
          <w:tcPr>
            <w:tcW w:w="1060" w:type="dxa"/>
            <w:vAlign w:val="bottom"/>
            <w:tcBorders>
              <w:bottom w:val="single" w:sz="8" w:color="EBFBFF"/>
            </w:tcBorders>
            <w:shd w:val="clear" w:color="auto" w:fill="EBFBFF"/>
          </w:tcPr>
          <w:p>
            <w:pPr>
              <w:jc w:val="right"/>
              <w:ind w:right="152"/>
              <w:spacing w:after="0"/>
              <w:rPr>
                <w:sz w:val="20"/>
                <w:szCs w:val="20"/>
                <w:color w:val="auto"/>
              </w:rPr>
            </w:pPr>
            <w:r>
              <w:rPr>
                <w:rFonts w:ascii="Arial" w:cs="Arial" w:eastAsia="Arial" w:hAnsi="Arial"/>
                <w:sz w:val="18"/>
                <w:szCs w:val="18"/>
                <w:color w:val="51555C"/>
              </w:rPr>
              <w:t>15.9</w:t>
            </w:r>
          </w:p>
        </w:tc>
      </w:tr>
      <w:tr>
        <w:trPr>
          <w:trHeight w:val="317"/>
        </w:trPr>
        <w:tc>
          <w:tcPr>
            <w:tcW w:w="7860" w:type="dxa"/>
            <w:vAlign w:val="bottom"/>
            <w:tcBorders>
              <w:bottom w:val="single" w:sz="8" w:color="EBFBFF"/>
            </w:tcBorders>
          </w:tcPr>
          <w:p>
            <w:pPr>
              <w:ind w:left="20"/>
              <w:spacing w:after="0"/>
              <w:rPr>
                <w:sz w:val="20"/>
                <w:szCs w:val="20"/>
                <w:color w:val="auto"/>
              </w:rPr>
            </w:pPr>
            <w:r>
              <w:rPr>
                <w:rFonts w:ascii="Arial" w:cs="Arial" w:eastAsia="Arial" w:hAnsi="Arial"/>
                <w:sz w:val="18"/>
                <w:szCs w:val="18"/>
                <w:b w:val="1"/>
                <w:bCs w:val="1"/>
                <w:color w:val="51555C"/>
              </w:rPr>
              <w:t>Non-GAAP adjusted free cash flow</w:t>
            </w:r>
            <w:r>
              <w:rPr>
                <w:rFonts w:ascii="Arial" w:cs="Arial" w:eastAsia="Arial" w:hAnsi="Arial"/>
                <w:sz w:val="23"/>
                <w:szCs w:val="23"/>
                <w:b w:val="1"/>
                <w:bCs w:val="1"/>
                <w:color w:val="51555C"/>
                <w:vertAlign w:val="superscript"/>
              </w:rPr>
              <w:t>(1)</w:t>
            </w:r>
          </w:p>
        </w:tc>
        <w:tc>
          <w:tcPr>
            <w:tcW w:w="460" w:type="dxa"/>
            <w:vAlign w:val="bottom"/>
            <w:tcBorders>
              <w:top w:val="single" w:sz="8" w:color="51555C"/>
              <w:bottom w:val="single" w:sz="8" w:color="51555C"/>
            </w:tcBorders>
          </w:tcPr>
          <w:p>
            <w:pPr>
              <w:jc w:val="right"/>
              <w:ind w:right="270"/>
              <w:spacing w:after="0"/>
              <w:rPr>
                <w:sz w:val="20"/>
                <w:szCs w:val="20"/>
                <w:color w:val="auto"/>
              </w:rPr>
            </w:pPr>
            <w:r>
              <w:rPr>
                <w:rFonts w:ascii="Arial" w:cs="Arial" w:eastAsia="Arial" w:hAnsi="Arial"/>
                <w:sz w:val="18"/>
                <w:szCs w:val="18"/>
                <w:color w:val="51555C"/>
                <w:w w:val="79"/>
              </w:rPr>
              <w:t>$</w:t>
            </w:r>
          </w:p>
        </w:tc>
        <w:tc>
          <w:tcPr>
            <w:tcW w:w="1060" w:type="dxa"/>
            <w:vAlign w:val="bottom"/>
            <w:tcBorders>
              <w:top w:val="single" w:sz="8" w:color="51555C"/>
              <w:bottom w:val="single" w:sz="8" w:color="51555C"/>
            </w:tcBorders>
          </w:tcPr>
          <w:p>
            <w:pPr>
              <w:jc w:val="right"/>
              <w:ind w:right="153"/>
              <w:spacing w:after="0"/>
              <w:rPr>
                <w:sz w:val="20"/>
                <w:szCs w:val="20"/>
                <w:color w:val="auto"/>
              </w:rPr>
            </w:pPr>
            <w:r>
              <w:rPr>
                <w:rFonts w:ascii="Arial" w:cs="Arial" w:eastAsia="Arial" w:hAnsi="Arial"/>
                <w:sz w:val="18"/>
                <w:szCs w:val="18"/>
                <w:color w:val="51555C"/>
              </w:rPr>
              <w:t>208.2</w:t>
            </w:r>
          </w:p>
        </w:tc>
        <w:tc>
          <w:tcPr>
            <w:tcW w:w="480" w:type="dxa"/>
            <w:vAlign w:val="bottom"/>
            <w:tcBorders>
              <w:top w:val="single" w:sz="8" w:color="51555C"/>
              <w:bottom w:val="single" w:sz="8" w:color="51555C"/>
            </w:tcBorders>
          </w:tcPr>
          <w:p>
            <w:pPr>
              <w:jc w:val="right"/>
              <w:ind w:right="270"/>
              <w:spacing w:after="0"/>
              <w:rPr>
                <w:sz w:val="20"/>
                <w:szCs w:val="20"/>
                <w:color w:val="auto"/>
              </w:rPr>
            </w:pPr>
            <w:r>
              <w:rPr>
                <w:rFonts w:ascii="Arial" w:cs="Arial" w:eastAsia="Arial" w:hAnsi="Arial"/>
                <w:sz w:val="18"/>
                <w:szCs w:val="18"/>
                <w:color w:val="51555C"/>
                <w:w w:val="99"/>
              </w:rPr>
              <w:t>$</w:t>
            </w:r>
          </w:p>
        </w:tc>
        <w:tc>
          <w:tcPr>
            <w:tcW w:w="1060" w:type="dxa"/>
            <w:vAlign w:val="bottom"/>
            <w:tcBorders>
              <w:top w:val="single" w:sz="8" w:color="51555C"/>
              <w:bottom w:val="single" w:sz="8" w:color="51555C"/>
            </w:tcBorders>
          </w:tcPr>
          <w:p>
            <w:pPr>
              <w:jc w:val="right"/>
              <w:ind w:right="152"/>
              <w:spacing w:after="0"/>
              <w:rPr>
                <w:sz w:val="20"/>
                <w:szCs w:val="20"/>
                <w:color w:val="auto"/>
              </w:rPr>
            </w:pPr>
            <w:r>
              <w:rPr>
                <w:rFonts w:ascii="Arial" w:cs="Arial" w:eastAsia="Arial" w:hAnsi="Arial"/>
                <w:sz w:val="18"/>
                <w:szCs w:val="18"/>
                <w:color w:val="51555C"/>
              </w:rPr>
              <w:t>244.7</w:t>
            </w:r>
          </w:p>
        </w:tc>
      </w:tr>
      <w:tr>
        <w:trPr>
          <w:trHeight w:val="311"/>
        </w:trPr>
        <w:tc>
          <w:tcPr>
            <w:tcW w:w="7860" w:type="dxa"/>
            <w:vAlign w:val="bottom"/>
            <w:tcBorders>
              <w:bottom w:val="single" w:sz="8" w:color="0CD973"/>
              <w:right w:val="single" w:sz="8" w:color="EBFBFF"/>
            </w:tcBorders>
            <w:shd w:val="clear" w:color="auto" w:fill="EBFBFF"/>
          </w:tcPr>
          <w:p>
            <w:pPr>
              <w:ind w:left="240"/>
              <w:spacing w:after="0"/>
              <w:rPr>
                <w:sz w:val="20"/>
                <w:szCs w:val="20"/>
                <w:color w:val="auto"/>
              </w:rPr>
            </w:pPr>
            <w:r>
              <w:rPr>
                <w:rFonts w:ascii="Arial" w:cs="Arial" w:eastAsia="Arial" w:hAnsi="Arial"/>
                <w:sz w:val="18"/>
                <w:szCs w:val="18"/>
                <w:b w:val="1"/>
                <w:bCs w:val="1"/>
                <w:color w:val="51555C"/>
              </w:rPr>
              <w:t>Non-GAAP adjusted free cash flow margin</w:t>
            </w:r>
          </w:p>
        </w:tc>
        <w:tc>
          <w:tcPr>
            <w:tcW w:w="460" w:type="dxa"/>
            <w:vAlign w:val="bottom"/>
            <w:tcBorders>
              <w:bottom w:val="single" w:sz="8" w:color="0CD973"/>
            </w:tcBorders>
            <w:shd w:val="clear" w:color="auto" w:fill="EBFBFF"/>
          </w:tcPr>
          <w:p>
            <w:pPr>
              <w:spacing w:after="0"/>
              <w:rPr>
                <w:sz w:val="24"/>
                <w:szCs w:val="24"/>
                <w:color w:val="auto"/>
              </w:rPr>
            </w:pPr>
          </w:p>
        </w:tc>
        <w:tc>
          <w:tcPr>
            <w:tcW w:w="106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18.5 %</w:t>
            </w:r>
          </w:p>
        </w:tc>
        <w:tc>
          <w:tcPr>
            <w:tcW w:w="480" w:type="dxa"/>
            <w:vAlign w:val="bottom"/>
            <w:tcBorders>
              <w:bottom w:val="single" w:sz="8" w:color="0CD973"/>
            </w:tcBorders>
            <w:shd w:val="clear" w:color="auto" w:fill="EBFBFF"/>
          </w:tcPr>
          <w:p>
            <w:pPr>
              <w:spacing w:after="0"/>
              <w:rPr>
                <w:sz w:val="24"/>
                <w:szCs w:val="24"/>
                <w:color w:val="auto"/>
              </w:rPr>
            </w:pPr>
          </w:p>
        </w:tc>
        <w:tc>
          <w:tcPr>
            <w:tcW w:w="106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21.2 %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-2468245</wp:posOffset>
            </wp:positionV>
            <wp:extent cx="196278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65"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4"/>
          <w:szCs w:val="14"/>
          <w:color w:val="51555C"/>
        </w:rPr>
      </w:pPr>
      <w:r>
        <w:rPr>
          <w:rFonts w:ascii="Arial" w:cs="Arial" w:eastAsia="Arial" w:hAnsi="Arial"/>
          <w:sz w:val="14"/>
          <w:szCs w:val="14"/>
          <w:color w:val="51555C"/>
        </w:rPr>
        <w:t>The individual amounts for each year may not sum to non-GAAP free cash flow or non-GAAP adjusted free cash flow due to rounding.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88</w:t>
      </w:r>
      <w:r>
        <w:rPr>
          <w:sz w:val="20"/>
          <w:szCs w:val="20"/>
          <w:color w:val="auto"/>
        </w:rPr>
        <w:tab/>
      </w:r>
      <w:r>
        <w:rPr>
          <w:sz w:val="1"/>
          <w:szCs w:val="1"/>
          <w:color w:val="auto"/>
        </w:rPr>
        <w:drawing>
          <wp:inline distT="0" distB="0" distL="0" distR="0">
            <wp:extent cx="702945" cy="111760"/>
            <wp:effectExtent l="0" t="0" r="0" b="0"/>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02945" cy="111760"/>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155575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90" w:name="page91"/>
    <w:bookmarkEnd w:id="90"/>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9440"/>
        <w:spacing w:after="0"/>
        <w:rPr>
          <w:sz w:val="20"/>
          <w:szCs w:val="20"/>
          <w:color w:val="auto"/>
        </w:rPr>
      </w:pPr>
      <w:r>
        <w:rPr>
          <w:rFonts w:ascii="Arial" w:cs="Arial" w:eastAsia="Arial" w:hAnsi="Arial"/>
          <w:sz w:val="18"/>
          <w:szCs w:val="18"/>
          <w:b w:val="1"/>
          <w:bCs w:val="1"/>
          <w:color w:val="51555C"/>
        </w:rPr>
        <w:t>APPENDICES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0"/>
        <w:spacing w:after="0" w:line="298" w:lineRule="auto"/>
        <w:rPr>
          <w:sz w:val="20"/>
          <w:szCs w:val="20"/>
          <w:color w:val="auto"/>
        </w:rPr>
      </w:pPr>
      <w:r>
        <w:rPr>
          <w:rFonts w:ascii="Arial" w:cs="Arial" w:eastAsia="Arial" w:hAnsi="Arial"/>
          <w:sz w:val="29"/>
          <w:szCs w:val="29"/>
          <w:b w:val="1"/>
          <w:bCs w:val="1"/>
          <w:color w:val="004054"/>
        </w:rPr>
        <w:t>APPENDIX B—AMENDED AND RESTATED BLACKBAUD, INC. 2016 EQUITY AND INCENTIVE COMPENSATION PLAN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2016 EQUITY AND INCENTIVE COMPENSATION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AMENDED AND RESTATED AS OF JUNE 10, 2026</w:t>
      </w:r>
    </w:p>
    <w:p>
      <w:pPr>
        <w:spacing w:after="0" w:line="200" w:lineRule="exact"/>
        <w:rPr>
          <w:sz w:val="20"/>
          <w:szCs w:val="20"/>
          <w:color w:val="auto"/>
        </w:rPr>
      </w:pPr>
    </w:p>
    <w:p>
      <w:pPr>
        <w:spacing w:after="0" w:line="376" w:lineRule="exact"/>
        <w:rPr>
          <w:sz w:val="20"/>
          <w:szCs w:val="20"/>
          <w:color w:val="auto"/>
        </w:rPr>
      </w:pPr>
    </w:p>
    <w:p>
      <w:pPr>
        <w:ind w:left="360" w:hanging="352"/>
        <w:spacing w:after="0"/>
        <w:tabs>
          <w:tab w:leader="none" w:pos="360" w:val="left"/>
        </w:tabs>
        <w:numPr>
          <w:ilvl w:val="0"/>
          <w:numId w:val="106"/>
        </w:numPr>
        <w:rPr>
          <w:rFonts w:ascii="Arial" w:cs="Arial" w:eastAsia="Arial" w:hAnsi="Arial"/>
          <w:sz w:val="18"/>
          <w:szCs w:val="18"/>
          <w:b w:val="1"/>
          <w:bCs w:val="1"/>
          <w:color w:val="51555C"/>
        </w:rPr>
      </w:pPr>
      <w:r>
        <w:rPr>
          <w:rFonts w:ascii="Arial" w:cs="Arial" w:eastAsia="Arial" w:hAnsi="Arial"/>
          <w:sz w:val="18"/>
          <w:szCs w:val="18"/>
          <w:b w:val="1"/>
          <w:bCs w:val="1"/>
          <w:color w:val="51555C"/>
        </w:rPr>
        <w:t>GENERAL</w:t>
      </w:r>
    </w:p>
    <w:p>
      <w:pPr>
        <w:spacing w:after="0" w:line="171" w:lineRule="exact"/>
        <w:rPr>
          <w:rFonts w:ascii="Arial" w:cs="Arial" w:eastAsia="Arial" w:hAnsi="Arial"/>
          <w:sz w:val="18"/>
          <w:szCs w:val="18"/>
          <w:b w:val="1"/>
          <w:bCs w:val="1"/>
          <w:color w:val="51555C"/>
        </w:rPr>
      </w:pPr>
    </w:p>
    <w:p>
      <w:pPr>
        <w:jc w:val="both"/>
        <w:ind w:firstLine="656"/>
        <w:spacing w:after="0" w:line="265" w:lineRule="auto"/>
        <w:tabs>
          <w:tab w:leader="none" w:pos="1176" w:val="left"/>
        </w:tabs>
        <w:numPr>
          <w:ilvl w:val="1"/>
          <w:numId w:val="106"/>
        </w:numPr>
        <w:rPr>
          <w:rFonts w:ascii="Arial" w:cs="Arial" w:eastAsia="Arial" w:hAnsi="Arial"/>
          <w:sz w:val="18"/>
          <w:szCs w:val="18"/>
          <w:b w:val="1"/>
          <w:bCs w:val="1"/>
          <w:color w:val="51555C"/>
        </w:rPr>
      </w:pPr>
      <w:r>
        <w:rPr>
          <w:rFonts w:ascii="Arial" w:cs="Arial" w:eastAsia="Arial" w:hAnsi="Arial"/>
          <w:sz w:val="18"/>
          <w:szCs w:val="18"/>
          <w:b w:val="1"/>
          <w:bCs w:val="1"/>
          <w:color w:val="51555C"/>
        </w:rPr>
        <w:t>Original Establishment</w:t>
      </w:r>
      <w:r>
        <w:rPr>
          <w:rFonts w:ascii="Arial" w:cs="Arial" w:eastAsia="Arial" w:hAnsi="Arial"/>
          <w:sz w:val="18"/>
          <w:szCs w:val="18"/>
          <w:color w:val="51555C"/>
        </w:rPr>
        <w:t>. Blackbaud, Inc., a Delaware corporation (the “</w:t>
      </w:r>
      <w:r>
        <w:rPr>
          <w:rFonts w:ascii="Arial" w:cs="Arial" w:eastAsia="Arial" w:hAnsi="Arial"/>
          <w:sz w:val="18"/>
          <w:szCs w:val="18"/>
          <w:b w:val="1"/>
          <w:bCs w:val="1"/>
          <w:i w:val="1"/>
          <w:iCs w:val="1"/>
          <w:color w:val="51555C"/>
        </w:rPr>
        <w:t>Company</w:t>
      </w:r>
      <w:r>
        <w:rPr>
          <w:rFonts w:ascii="Arial" w:cs="Arial" w:eastAsia="Arial" w:hAnsi="Arial"/>
          <w:sz w:val="18"/>
          <w:szCs w:val="18"/>
          <w:color w:val="51555C"/>
        </w:rPr>
        <w:t>”), established the Blackbaud, Inc. 2016</w:t>
      </w:r>
      <w:r>
        <w:rPr>
          <w:rFonts w:ascii="Arial" w:cs="Arial" w:eastAsia="Arial" w:hAnsi="Arial"/>
          <w:sz w:val="18"/>
          <w:szCs w:val="18"/>
          <w:b w:val="1"/>
          <w:bCs w:val="1"/>
          <w:color w:val="51555C"/>
        </w:rPr>
        <w:t xml:space="preserve"> </w:t>
      </w:r>
      <w:r>
        <w:rPr>
          <w:rFonts w:ascii="Arial" w:cs="Arial" w:eastAsia="Arial" w:hAnsi="Arial"/>
          <w:sz w:val="18"/>
          <w:szCs w:val="18"/>
          <w:color w:val="51555C"/>
        </w:rPr>
        <w:t>Equity and Incentive Compensation Plan (the “</w:t>
      </w:r>
      <w:r>
        <w:rPr>
          <w:rFonts w:ascii="Arial" w:cs="Arial" w:eastAsia="Arial" w:hAnsi="Arial"/>
          <w:sz w:val="18"/>
          <w:szCs w:val="18"/>
          <w:b w:val="1"/>
          <w:bCs w:val="1"/>
          <w:i w:val="1"/>
          <w:iCs w:val="1"/>
          <w:color w:val="51555C"/>
        </w:rPr>
        <w:t>Plan</w:t>
      </w:r>
      <w:r>
        <w:rPr>
          <w:rFonts w:ascii="Arial" w:cs="Arial" w:eastAsia="Arial" w:hAnsi="Arial"/>
          <w:sz w:val="18"/>
          <w:szCs w:val="18"/>
          <w:color w:val="51555C"/>
        </w:rPr>
        <w:t>”) on March 8, 2016, subject to and effective upon the requisite approval of the Company’s stockholders at the 2016 Annual Meeting of Stockholders (the date of such 2016 Annual Meeting of Stockholders, the “</w:t>
      </w:r>
      <w:r>
        <w:rPr>
          <w:rFonts w:ascii="Arial" w:cs="Arial" w:eastAsia="Arial" w:hAnsi="Arial"/>
          <w:sz w:val="18"/>
          <w:szCs w:val="18"/>
          <w:b w:val="1"/>
          <w:bCs w:val="1"/>
          <w:i w:val="1"/>
          <w:iCs w:val="1"/>
          <w:color w:val="51555C"/>
        </w:rPr>
        <w:t>Effective</w:t>
      </w:r>
      <w:r>
        <w:rPr>
          <w:rFonts w:ascii="Arial" w:cs="Arial" w:eastAsia="Arial" w:hAnsi="Arial"/>
          <w:sz w:val="18"/>
          <w:szCs w:val="18"/>
          <w:color w:val="51555C"/>
        </w:rPr>
        <w:t xml:space="preserve"> </w:t>
      </w:r>
      <w:r>
        <w:rPr>
          <w:rFonts w:ascii="Arial" w:cs="Arial" w:eastAsia="Arial" w:hAnsi="Arial"/>
          <w:sz w:val="18"/>
          <w:szCs w:val="18"/>
          <w:b w:val="1"/>
          <w:bCs w:val="1"/>
          <w:i w:val="1"/>
          <w:iCs w:val="1"/>
          <w:color w:val="51555C"/>
        </w:rPr>
        <w:t>Date</w:t>
      </w:r>
      <w:r>
        <w:rPr>
          <w:rFonts w:ascii="Arial" w:cs="Arial" w:eastAsia="Arial" w:hAnsi="Arial"/>
          <w:sz w:val="18"/>
          <w:szCs w:val="18"/>
          <w:color w:val="51555C"/>
        </w:rPr>
        <w:t>”). No Awards could be granted prior to stockholder approval of the Plan.</w:t>
      </w:r>
    </w:p>
    <w:p>
      <w:pPr>
        <w:spacing w:after="0" w:line="112" w:lineRule="exact"/>
        <w:rPr>
          <w:sz w:val="20"/>
          <w:szCs w:val="20"/>
          <w:color w:val="auto"/>
        </w:rPr>
      </w:pPr>
    </w:p>
    <w:p>
      <w:pPr>
        <w:jc w:val="both"/>
        <w:ind w:firstLine="8"/>
        <w:spacing w:after="0" w:line="253" w:lineRule="auto"/>
        <w:tabs>
          <w:tab w:leader="none" w:pos="433" w:val="left"/>
        </w:tabs>
        <w:numPr>
          <w:ilvl w:val="0"/>
          <w:numId w:val="107"/>
        </w:numPr>
        <w:rPr>
          <w:rFonts w:ascii="Arial" w:cs="Arial" w:eastAsia="Arial" w:hAnsi="Arial"/>
          <w:sz w:val="18"/>
          <w:szCs w:val="18"/>
          <w:color w:val="51555C"/>
        </w:rPr>
      </w:pPr>
      <w:r>
        <w:rPr>
          <w:rFonts w:ascii="Arial" w:cs="Arial" w:eastAsia="Arial" w:hAnsi="Arial"/>
          <w:sz w:val="18"/>
          <w:szCs w:val="18"/>
          <w:color w:val="51555C"/>
        </w:rPr>
        <w:t>Restatement Effective Dates. The Plan was first amended and restated effective as of June 13, 2019 upon the requisite approval of the Company’s stockholders at the 2019 Annual Meeting of Stockholders. The Plan was subsequently amended and restated effective as of June 10, 2021 upon the requisite approval of the Company’s stockholders at the 2021 Annual Meeting of Stockholders. The Plan was again amended and restated effective as of June 9, 2022 upon the requisite approval of the Company’s stockholders at the 2022 Annual Meeting of Stockholders. The Plan was again amended and restated effective as of June 14, 2023 upon the requisite approval of the Company’s stockholders at the 2023 Annual Meeting of Stockholders. The Plan was subsequently amended and restated effective as of June 12, 2024 upon the requisite approval of the Company’s stockholders at the 2024 Annual Meeting of Stockholders. The Plan was then further amended and restated effective as of June 11, 2025 upon the requisite approval of the Company’s stockholders at the 2025 Annual Meeting of Stockholders. This seventh amendment and restatement is a continuation of the Plan and shall be effective as of June 10, 2026, subject to and effective upon the requisite approval of the Company’s stockholders at the 2026 Annual Meeting of Stockholders. For the avoidance of doubt, this seventh amendment and restatement of the Plan shall not materially affect the terms or conditions of any Award subject to the Section 162(m) Exception to the extent that compliance with the Section 162(m) Exception is required for the deductibility of such Award, and any such Awards made pursuant to a written binding contract in effect on November 2, 2017 shall not be deemed to be modified in any material respect as a result of this amendment and restatement of the Plan.</w:t>
      </w:r>
    </w:p>
    <w:p>
      <w:pPr>
        <w:spacing w:after="0" w:line="131" w:lineRule="exact"/>
        <w:rPr>
          <w:rFonts w:ascii="Arial" w:cs="Arial" w:eastAsia="Arial" w:hAnsi="Arial"/>
          <w:sz w:val="18"/>
          <w:szCs w:val="18"/>
          <w:color w:val="51555C"/>
        </w:rPr>
      </w:pPr>
    </w:p>
    <w:p>
      <w:pPr>
        <w:jc w:val="both"/>
        <w:ind w:firstLine="656"/>
        <w:spacing w:after="0" w:line="256" w:lineRule="auto"/>
        <w:tabs>
          <w:tab w:leader="none" w:pos="1068" w:val="left"/>
        </w:tabs>
        <w:numPr>
          <w:ilvl w:val="1"/>
          <w:numId w:val="107"/>
        </w:numPr>
        <w:rPr>
          <w:rFonts w:ascii="Arial" w:cs="Arial" w:eastAsia="Arial" w:hAnsi="Arial"/>
          <w:sz w:val="18"/>
          <w:szCs w:val="18"/>
          <w:b w:val="1"/>
          <w:bCs w:val="1"/>
          <w:color w:val="51555C"/>
        </w:rPr>
      </w:pPr>
      <w:r>
        <w:rPr>
          <w:rFonts w:ascii="Arial" w:cs="Arial" w:eastAsia="Arial" w:hAnsi="Arial"/>
          <w:sz w:val="18"/>
          <w:szCs w:val="18"/>
          <w:b w:val="1"/>
          <w:bCs w:val="1"/>
          <w:color w:val="51555C"/>
        </w:rPr>
        <w:t>Successor to Prior Plan</w:t>
      </w:r>
      <w:r>
        <w:rPr>
          <w:rFonts w:ascii="Arial" w:cs="Arial" w:eastAsia="Arial" w:hAnsi="Arial"/>
          <w:sz w:val="18"/>
          <w:szCs w:val="18"/>
          <w:color w:val="51555C"/>
        </w:rPr>
        <w:t>. The Plan was established as the successor to the Company’s 2008 Incentive Plan (the “</w:t>
      </w:r>
      <w:r>
        <w:rPr>
          <w:rFonts w:ascii="Arial" w:cs="Arial" w:eastAsia="Arial" w:hAnsi="Arial"/>
          <w:sz w:val="18"/>
          <w:szCs w:val="18"/>
          <w:b w:val="1"/>
          <w:bCs w:val="1"/>
          <w:i w:val="1"/>
          <w:iCs w:val="1"/>
          <w:color w:val="51555C"/>
        </w:rPr>
        <w:t>Prior Plan</w:t>
      </w:r>
      <w:r>
        <w:rPr>
          <w:rFonts w:ascii="Arial" w:cs="Arial" w:eastAsia="Arial" w:hAnsi="Arial"/>
          <w:sz w:val="18"/>
          <w:szCs w:val="18"/>
          <w:color w:val="51555C"/>
        </w:rPr>
        <w:t>”).</w:t>
      </w:r>
      <w:r>
        <w:rPr>
          <w:rFonts w:ascii="Arial" w:cs="Arial" w:eastAsia="Arial" w:hAnsi="Arial"/>
          <w:sz w:val="18"/>
          <w:szCs w:val="18"/>
          <w:b w:val="1"/>
          <w:bCs w:val="1"/>
          <w:color w:val="51555C"/>
        </w:rPr>
        <w:t xml:space="preserve"> </w:t>
      </w:r>
      <w:r>
        <w:rPr>
          <w:rFonts w:ascii="Arial" w:cs="Arial" w:eastAsia="Arial" w:hAnsi="Arial"/>
          <w:sz w:val="18"/>
          <w:szCs w:val="18"/>
          <w:color w:val="51555C"/>
        </w:rPr>
        <w:t>Following the Effective Date, no additional stock awards may be granted under the Prior Plan. Any shares remaining available for issuance pursuant to the exercise of options or settlement of stock awards under the Prior Plan shall become available for issuance pursuant to Stock Awards granted hereunder, as provided in Section 3(a) hereof. Any shares subject to outstanding stock awards granted under the Prior Plan that expire or terminate for any reason prior to exercise or settlement shall become available for issuance pursuant to Stock Awards granted hereunder, as provided in Section 3(b) hereof. All outstanding stock awards granted under the Prior Plan shall remain subject to the terms of the Prior Plan with respect to which they were originally granted.</w:t>
      </w:r>
    </w:p>
    <w:p>
      <w:pPr>
        <w:spacing w:after="0" w:line="128" w:lineRule="exact"/>
        <w:rPr>
          <w:rFonts w:ascii="Arial" w:cs="Arial" w:eastAsia="Arial" w:hAnsi="Arial"/>
          <w:sz w:val="18"/>
          <w:szCs w:val="18"/>
          <w:b w:val="1"/>
          <w:bCs w:val="1"/>
          <w:color w:val="51555C"/>
        </w:rPr>
      </w:pPr>
    </w:p>
    <w:p>
      <w:pPr>
        <w:ind w:firstLine="656"/>
        <w:spacing w:after="0" w:line="287" w:lineRule="auto"/>
        <w:tabs>
          <w:tab w:leader="none" w:pos="1131" w:val="left"/>
        </w:tabs>
        <w:numPr>
          <w:ilvl w:val="1"/>
          <w:numId w:val="107"/>
        </w:numPr>
        <w:rPr>
          <w:rFonts w:ascii="Arial" w:cs="Arial" w:eastAsia="Arial" w:hAnsi="Arial"/>
          <w:sz w:val="18"/>
          <w:szCs w:val="18"/>
          <w:b w:val="1"/>
          <w:bCs w:val="1"/>
          <w:color w:val="51555C"/>
        </w:rPr>
      </w:pPr>
      <w:r>
        <w:rPr>
          <w:rFonts w:ascii="Arial" w:cs="Arial" w:eastAsia="Arial" w:hAnsi="Arial"/>
          <w:sz w:val="18"/>
          <w:szCs w:val="18"/>
          <w:b w:val="1"/>
          <w:bCs w:val="1"/>
          <w:color w:val="51555C"/>
        </w:rPr>
        <w:t>Eligible Award Recipients</w:t>
      </w:r>
      <w:r>
        <w:rPr>
          <w:rFonts w:ascii="Arial" w:cs="Arial" w:eastAsia="Arial" w:hAnsi="Arial"/>
          <w:sz w:val="18"/>
          <w:szCs w:val="18"/>
          <w:color w:val="51555C"/>
        </w:rPr>
        <w:t>. The persons eligible to receive Stock Awards are Employees, Directors and Consultants. Cash</w:t>
      </w:r>
      <w:r>
        <w:rPr>
          <w:rFonts w:ascii="Arial" w:cs="Arial" w:eastAsia="Arial" w:hAnsi="Arial"/>
          <w:sz w:val="18"/>
          <w:szCs w:val="18"/>
          <w:b w:val="1"/>
          <w:bCs w:val="1"/>
          <w:color w:val="51555C"/>
        </w:rPr>
        <w:t xml:space="preserve"> </w:t>
      </w:r>
      <w:r>
        <w:rPr>
          <w:rFonts w:ascii="Arial" w:cs="Arial" w:eastAsia="Arial" w:hAnsi="Arial"/>
          <w:sz w:val="18"/>
          <w:szCs w:val="18"/>
          <w:color w:val="51555C"/>
        </w:rPr>
        <w:t>Incentive Awards may be granted only to Employees.</w:t>
      </w:r>
    </w:p>
    <w:p>
      <w:pPr>
        <w:spacing w:after="0" w:line="98" w:lineRule="exact"/>
        <w:rPr>
          <w:rFonts w:ascii="Arial" w:cs="Arial" w:eastAsia="Arial" w:hAnsi="Arial"/>
          <w:sz w:val="18"/>
          <w:szCs w:val="18"/>
          <w:b w:val="1"/>
          <w:bCs w:val="1"/>
          <w:color w:val="51555C"/>
        </w:rPr>
      </w:pPr>
    </w:p>
    <w:p>
      <w:pPr>
        <w:jc w:val="both"/>
        <w:ind w:firstLine="656"/>
        <w:spacing w:after="0" w:line="268" w:lineRule="auto"/>
        <w:tabs>
          <w:tab w:leader="none" w:pos="1081" w:val="left"/>
        </w:tabs>
        <w:numPr>
          <w:ilvl w:val="1"/>
          <w:numId w:val="107"/>
        </w:numPr>
        <w:rPr>
          <w:rFonts w:ascii="Arial" w:cs="Arial" w:eastAsia="Arial" w:hAnsi="Arial"/>
          <w:sz w:val="18"/>
          <w:szCs w:val="18"/>
          <w:b w:val="1"/>
          <w:bCs w:val="1"/>
          <w:color w:val="51555C"/>
        </w:rPr>
      </w:pPr>
      <w:r>
        <w:rPr>
          <w:rFonts w:ascii="Arial" w:cs="Arial" w:eastAsia="Arial" w:hAnsi="Arial"/>
          <w:sz w:val="18"/>
          <w:szCs w:val="18"/>
          <w:b w:val="1"/>
          <w:bCs w:val="1"/>
          <w:color w:val="51555C"/>
        </w:rPr>
        <w:t>Available Awards</w:t>
      </w:r>
      <w:r>
        <w:rPr>
          <w:rFonts w:ascii="Arial" w:cs="Arial" w:eastAsia="Arial" w:hAnsi="Arial"/>
          <w:sz w:val="18"/>
          <w:szCs w:val="18"/>
          <w:color w:val="51555C"/>
        </w:rPr>
        <w:t>. The Plan provides for the grant of the following Stock Awards: (i) Incentive Stock Options, (ii) Nonstatutory</w:t>
      </w:r>
      <w:r>
        <w:rPr>
          <w:rFonts w:ascii="Arial" w:cs="Arial" w:eastAsia="Arial" w:hAnsi="Arial"/>
          <w:sz w:val="18"/>
          <w:szCs w:val="18"/>
          <w:b w:val="1"/>
          <w:bCs w:val="1"/>
          <w:color w:val="51555C"/>
        </w:rPr>
        <w:t xml:space="preserve"> </w:t>
      </w:r>
      <w:r>
        <w:rPr>
          <w:rFonts w:ascii="Arial" w:cs="Arial" w:eastAsia="Arial" w:hAnsi="Arial"/>
          <w:sz w:val="18"/>
          <w:szCs w:val="18"/>
          <w:color w:val="51555C"/>
        </w:rPr>
        <w:t>Stock Options, (iii) Restricted Stock Awards, (iv) Restricted Stock Unit Awards, (v) Stock Appreciation Rights, (vi) Performance Stock Awards and (vii) Other Stock Awards. The Plan also provides for the grant of Cash Incentive Awards.</w:t>
      </w:r>
    </w:p>
    <w:p>
      <w:pPr>
        <w:spacing w:after="0" w:line="116" w:lineRule="exact"/>
        <w:rPr>
          <w:rFonts w:ascii="Arial" w:cs="Arial" w:eastAsia="Arial" w:hAnsi="Arial"/>
          <w:sz w:val="18"/>
          <w:szCs w:val="18"/>
          <w:b w:val="1"/>
          <w:bCs w:val="1"/>
          <w:color w:val="51555C"/>
        </w:rPr>
      </w:pPr>
    </w:p>
    <w:p>
      <w:pPr>
        <w:jc w:val="both"/>
        <w:ind w:right="20" w:firstLine="656"/>
        <w:spacing w:after="0" w:line="268" w:lineRule="auto"/>
        <w:tabs>
          <w:tab w:leader="none" w:pos="1189" w:val="left"/>
        </w:tabs>
        <w:numPr>
          <w:ilvl w:val="1"/>
          <w:numId w:val="107"/>
        </w:numPr>
        <w:rPr>
          <w:rFonts w:ascii="Arial" w:cs="Arial" w:eastAsia="Arial" w:hAnsi="Arial"/>
          <w:sz w:val="18"/>
          <w:szCs w:val="18"/>
          <w:b w:val="1"/>
          <w:bCs w:val="1"/>
          <w:color w:val="51555C"/>
        </w:rPr>
      </w:pPr>
      <w:r>
        <w:rPr>
          <w:rFonts w:ascii="Arial" w:cs="Arial" w:eastAsia="Arial" w:hAnsi="Arial"/>
          <w:sz w:val="18"/>
          <w:szCs w:val="18"/>
          <w:b w:val="1"/>
          <w:bCs w:val="1"/>
          <w:color w:val="51555C"/>
        </w:rPr>
        <w:t>Purpose</w:t>
      </w:r>
      <w:r>
        <w:rPr>
          <w:rFonts w:ascii="Arial" w:cs="Arial" w:eastAsia="Arial" w:hAnsi="Arial"/>
          <w:sz w:val="18"/>
          <w:szCs w:val="18"/>
          <w:color w:val="51555C"/>
        </w:rPr>
        <w:t>. The purpose of the Plan is to advance the interests of the Company and its stockholders by enhancing the</w:t>
      </w:r>
      <w:r>
        <w:rPr>
          <w:rFonts w:ascii="Arial" w:cs="Arial" w:eastAsia="Arial" w:hAnsi="Arial"/>
          <w:sz w:val="18"/>
          <w:szCs w:val="18"/>
          <w:b w:val="1"/>
          <w:bCs w:val="1"/>
          <w:color w:val="51555C"/>
        </w:rPr>
        <w:t xml:space="preserve"> </w:t>
      </w:r>
      <w:r>
        <w:rPr>
          <w:rFonts w:ascii="Arial" w:cs="Arial" w:eastAsia="Arial" w:hAnsi="Arial"/>
          <w:sz w:val="18"/>
          <w:szCs w:val="18"/>
          <w:color w:val="51555C"/>
        </w:rPr>
        <w:t>Company’s ability to attract, retain and reward persons eligible to receive Stock Awards and Cash Incentive Awards as set forth in Section 1(d), and by motivating such persons with incentives to contribute to the growth and profitability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222885</wp:posOffset>
            </wp:positionV>
            <wp:extent cx="702945" cy="11112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89</w:t>
            </w:r>
          </w:p>
        </w:tc>
      </w:tr>
      <w:tr>
        <w:trPr>
          <w:trHeight w:val="271"/>
        </w:trPr>
        <w:tc>
          <w:tcPr>
            <w:tcW w:w="1020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91" w:name="page92"/>
    <w:bookmarkEnd w:id="91"/>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APPENDICES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360" w:hanging="352"/>
        <w:spacing w:after="0"/>
        <w:tabs>
          <w:tab w:leader="none" w:pos="360" w:val="left"/>
        </w:tabs>
        <w:numPr>
          <w:ilvl w:val="0"/>
          <w:numId w:val="108"/>
        </w:numPr>
        <w:rPr>
          <w:rFonts w:ascii="Arial" w:cs="Arial" w:eastAsia="Arial" w:hAnsi="Arial"/>
          <w:sz w:val="18"/>
          <w:szCs w:val="18"/>
          <w:b w:val="1"/>
          <w:bCs w:val="1"/>
          <w:color w:val="51555C"/>
        </w:rPr>
      </w:pPr>
      <w:r>
        <w:rPr>
          <w:rFonts w:ascii="Arial" w:cs="Arial" w:eastAsia="Arial" w:hAnsi="Arial"/>
          <w:sz w:val="18"/>
          <w:szCs w:val="18"/>
          <w:b w:val="1"/>
          <w:bCs w:val="1"/>
          <w:color w:val="51555C"/>
        </w:rPr>
        <w:t>ADMINISTRATION</w:t>
      </w:r>
    </w:p>
    <w:p>
      <w:pPr>
        <w:spacing w:after="0" w:line="171" w:lineRule="exact"/>
        <w:rPr>
          <w:rFonts w:ascii="Arial" w:cs="Arial" w:eastAsia="Arial" w:hAnsi="Arial"/>
          <w:sz w:val="18"/>
          <w:szCs w:val="18"/>
          <w:b w:val="1"/>
          <w:bCs w:val="1"/>
          <w:color w:val="51555C"/>
        </w:rPr>
      </w:pPr>
    </w:p>
    <w:p>
      <w:pPr>
        <w:ind w:right="20" w:firstLine="656"/>
        <w:spacing w:after="0" w:line="287" w:lineRule="auto"/>
        <w:tabs>
          <w:tab w:leader="none" w:pos="1135" w:val="left"/>
        </w:tabs>
        <w:numPr>
          <w:ilvl w:val="1"/>
          <w:numId w:val="108"/>
        </w:numPr>
        <w:rPr>
          <w:rFonts w:ascii="Arial" w:cs="Arial" w:eastAsia="Arial" w:hAnsi="Arial"/>
          <w:sz w:val="18"/>
          <w:szCs w:val="18"/>
          <w:b w:val="1"/>
          <w:bCs w:val="1"/>
          <w:color w:val="51555C"/>
        </w:rPr>
      </w:pPr>
      <w:r>
        <w:rPr>
          <w:rFonts w:ascii="Arial" w:cs="Arial" w:eastAsia="Arial" w:hAnsi="Arial"/>
          <w:sz w:val="18"/>
          <w:szCs w:val="18"/>
          <w:b w:val="1"/>
          <w:bCs w:val="1"/>
          <w:color w:val="51555C"/>
        </w:rPr>
        <w:t>Plan Administration and Powers of Committee</w:t>
      </w:r>
      <w:r>
        <w:rPr>
          <w:rFonts w:ascii="Arial" w:cs="Arial" w:eastAsia="Arial" w:hAnsi="Arial"/>
          <w:sz w:val="18"/>
          <w:szCs w:val="18"/>
          <w:color w:val="51555C"/>
        </w:rPr>
        <w:t>. The Committee shall administer the Plan. The Committee shall have the</w:t>
      </w:r>
      <w:r>
        <w:rPr>
          <w:rFonts w:ascii="Arial" w:cs="Arial" w:eastAsia="Arial" w:hAnsi="Arial"/>
          <w:sz w:val="18"/>
          <w:szCs w:val="18"/>
          <w:b w:val="1"/>
          <w:bCs w:val="1"/>
          <w:color w:val="51555C"/>
        </w:rPr>
        <w:t xml:space="preserve"> </w:t>
      </w:r>
      <w:r>
        <w:rPr>
          <w:rFonts w:ascii="Arial" w:cs="Arial" w:eastAsia="Arial" w:hAnsi="Arial"/>
          <w:sz w:val="18"/>
          <w:szCs w:val="18"/>
          <w:color w:val="51555C"/>
        </w:rPr>
        <w:t>sole discretion and power, subject to, and within the limitations of, the express provisions of the Plan:</w:t>
      </w:r>
    </w:p>
    <w:p>
      <w:pPr>
        <w:spacing w:after="0" w:line="98" w:lineRule="exact"/>
        <w:rPr>
          <w:rFonts w:ascii="Arial" w:cs="Arial" w:eastAsia="Arial" w:hAnsi="Arial"/>
          <w:sz w:val="18"/>
          <w:szCs w:val="18"/>
          <w:b w:val="1"/>
          <w:bCs w:val="1"/>
          <w:color w:val="51555C"/>
        </w:rPr>
      </w:pPr>
    </w:p>
    <w:p>
      <w:pPr>
        <w:jc w:val="both"/>
        <w:ind w:firstLine="1304"/>
        <w:spacing w:after="0" w:line="260" w:lineRule="auto"/>
        <w:tabs>
          <w:tab w:leader="none" w:pos="1688" w:val="left"/>
        </w:tabs>
        <w:numPr>
          <w:ilvl w:val="2"/>
          <w:numId w:val="108"/>
        </w:numPr>
        <w:rPr>
          <w:rFonts w:ascii="Arial" w:cs="Arial" w:eastAsia="Arial" w:hAnsi="Arial"/>
          <w:sz w:val="18"/>
          <w:szCs w:val="18"/>
          <w:b w:val="1"/>
          <w:bCs w:val="1"/>
          <w:color w:val="51555C"/>
        </w:rPr>
      </w:pPr>
      <w:r>
        <w:rPr>
          <w:rFonts w:ascii="Arial" w:cs="Arial" w:eastAsia="Arial" w:hAnsi="Arial"/>
          <w:sz w:val="18"/>
          <w:szCs w:val="18"/>
          <w:color w:val="51555C"/>
        </w:rPr>
        <w:t>To determine from time to time (A) which of the persons eligible under the Plan shall be granted Awards; (B) when and how each Award shall be granted; (C) what type or combination of types of Stock Awards and Cash Incentive Awards shall be granted; and</w:t>
      </w:r>
    </w:p>
    <w:p>
      <w:pPr>
        <w:spacing w:after="0" w:line="1" w:lineRule="exact"/>
        <w:rPr>
          <w:rFonts w:ascii="Arial" w:cs="Arial" w:eastAsia="Arial" w:hAnsi="Arial"/>
          <w:sz w:val="18"/>
          <w:szCs w:val="18"/>
          <w:b w:val="1"/>
          <w:bCs w:val="1"/>
          <w:color w:val="51555C"/>
        </w:rPr>
      </w:pPr>
    </w:p>
    <w:p>
      <w:pPr>
        <w:spacing w:after="0"/>
        <w:rPr>
          <w:rFonts w:ascii="Arial" w:cs="Arial" w:eastAsia="Arial" w:hAnsi="Arial"/>
          <w:sz w:val="18"/>
          <w:szCs w:val="18"/>
          <w:b w:val="1"/>
          <w:bCs w:val="1"/>
          <w:color w:val="51555C"/>
        </w:rPr>
      </w:pPr>
      <w:r>
        <w:rPr>
          <w:rFonts w:ascii="Arial" w:cs="Arial" w:eastAsia="Arial" w:hAnsi="Arial"/>
          <w:sz w:val="18"/>
          <w:szCs w:val="18"/>
          <w:color w:val="51555C"/>
        </w:rPr>
        <w:t>(D) the number of shares of Common Stock with respect to which a Stock Award shall be granted to each such person.</w:t>
      </w:r>
    </w:p>
    <w:p>
      <w:pPr>
        <w:spacing w:after="0" w:line="153" w:lineRule="exact"/>
        <w:rPr>
          <w:rFonts w:ascii="Arial" w:cs="Arial" w:eastAsia="Arial" w:hAnsi="Arial"/>
          <w:sz w:val="18"/>
          <w:szCs w:val="18"/>
          <w:b w:val="1"/>
          <w:bCs w:val="1"/>
          <w:color w:val="51555C"/>
        </w:rPr>
      </w:pPr>
    </w:p>
    <w:p>
      <w:pPr>
        <w:jc w:val="both"/>
        <w:ind w:firstLine="1304"/>
        <w:spacing w:after="0" w:line="254" w:lineRule="auto"/>
        <w:tabs>
          <w:tab w:leader="none" w:pos="1756" w:val="left"/>
        </w:tabs>
        <w:numPr>
          <w:ilvl w:val="2"/>
          <w:numId w:val="108"/>
        </w:numPr>
        <w:rPr>
          <w:rFonts w:ascii="Arial" w:cs="Arial" w:eastAsia="Arial" w:hAnsi="Arial"/>
          <w:sz w:val="18"/>
          <w:szCs w:val="18"/>
          <w:b w:val="1"/>
          <w:bCs w:val="1"/>
          <w:color w:val="51555C"/>
        </w:rPr>
      </w:pPr>
      <w:r>
        <w:rPr>
          <w:rFonts w:ascii="Arial" w:cs="Arial" w:eastAsia="Arial" w:hAnsi="Arial"/>
          <w:sz w:val="18"/>
          <w:szCs w:val="18"/>
          <w:color w:val="51555C"/>
        </w:rPr>
        <w:t>To determine the provisions of each Award granted (which need not be identical), including, without limitation, (A) the exercise or purchase price of shares of Common Stock purchased pursuant to any Stock Award; (B) the time or times when a person shall be permitted to receive cash or Common Stock pursuant to a Stock Award; (C) the method of payment for shares of Common Stock purchased pursuant to any Stock Award; (D) the method for satisfaction of any tax withholding obligation arising in connection with a Stock Award, including by the withholding or delivery of shares of Common Stock; (E) the timing, terms and conditions of the exercisability or vesting of any Stock Award or any shares acquired pursuant thereto or any Cash Incentive Award; (F) the Performance Criteria necessary to satisfy Performance Goals applicable to any Award and the extent to which such Performance Goals have been attained; (G) the time of the expiration of any Stock Award; (H) the effect of the Participant’s termination of Continuous Service on any of the foregoing; (I) any restrictions or covenants upon which a Participant’s rights to receive, exercise or retain an Award or cash, Common Stock or other gains related thereto shall be contingent; and (J) all other terms, conditions and restrictions applicable to any Award or shares acquired pursuant thereto not inconsistent with the terms of the Plan.</w:t>
      </w:r>
    </w:p>
    <w:p>
      <w:pPr>
        <w:spacing w:after="0" w:line="128" w:lineRule="exact"/>
        <w:rPr>
          <w:rFonts w:ascii="Arial" w:cs="Arial" w:eastAsia="Arial" w:hAnsi="Arial"/>
          <w:sz w:val="18"/>
          <w:szCs w:val="18"/>
          <w:b w:val="1"/>
          <w:bCs w:val="1"/>
          <w:color w:val="51555C"/>
        </w:rPr>
      </w:pPr>
    </w:p>
    <w:p>
      <w:pPr>
        <w:jc w:val="both"/>
        <w:ind w:firstLine="1304"/>
        <w:spacing w:after="0" w:line="259" w:lineRule="auto"/>
        <w:tabs>
          <w:tab w:leader="none" w:pos="1781" w:val="left"/>
        </w:tabs>
        <w:numPr>
          <w:ilvl w:val="2"/>
          <w:numId w:val="108"/>
        </w:numPr>
        <w:rPr>
          <w:rFonts w:ascii="Arial" w:cs="Arial" w:eastAsia="Arial" w:hAnsi="Arial"/>
          <w:sz w:val="18"/>
          <w:szCs w:val="18"/>
          <w:b w:val="1"/>
          <w:bCs w:val="1"/>
          <w:color w:val="51555C"/>
        </w:rPr>
      </w:pPr>
      <w:r>
        <w:rPr>
          <w:rFonts w:ascii="Arial" w:cs="Arial" w:eastAsia="Arial" w:hAnsi="Arial"/>
          <w:sz w:val="18"/>
          <w:szCs w:val="18"/>
          <w:color w:val="51555C"/>
        </w:rPr>
        <w:t>To construe and interpret the Plan, and Awards granted under it, and to establish, amend, waive and revoke rules and regulations for its administration, and to make all other determinations and to take all other actions that may be necessary or advisable in the Committee’s opinion for the administration of the Plan. The Committee, in the exercise of this power, may correct any defect, omission or inconsistency in the Plan or in any Award in a manner and to the extent it shall deem necessary or expedient to make the Plan or any Award fully effective.</w:t>
      </w:r>
    </w:p>
    <w:p>
      <w:pPr>
        <w:spacing w:after="0" w:line="125" w:lineRule="exact"/>
        <w:rPr>
          <w:rFonts w:ascii="Arial" w:cs="Arial" w:eastAsia="Arial" w:hAnsi="Arial"/>
          <w:sz w:val="18"/>
          <w:szCs w:val="18"/>
          <w:b w:val="1"/>
          <w:bCs w:val="1"/>
          <w:color w:val="51555C"/>
        </w:rPr>
      </w:pPr>
    </w:p>
    <w:p>
      <w:pPr>
        <w:ind w:left="1780" w:hanging="476"/>
        <w:spacing w:after="0"/>
        <w:tabs>
          <w:tab w:leader="none" w:pos="1780" w:val="left"/>
        </w:tabs>
        <w:numPr>
          <w:ilvl w:val="2"/>
          <w:numId w:val="108"/>
        </w:numPr>
        <w:rPr>
          <w:rFonts w:ascii="Arial" w:cs="Arial" w:eastAsia="Arial" w:hAnsi="Arial"/>
          <w:sz w:val="18"/>
          <w:szCs w:val="18"/>
          <w:b w:val="1"/>
          <w:bCs w:val="1"/>
          <w:color w:val="51555C"/>
        </w:rPr>
      </w:pPr>
      <w:r>
        <w:rPr>
          <w:rFonts w:ascii="Arial" w:cs="Arial" w:eastAsia="Arial" w:hAnsi="Arial"/>
          <w:sz w:val="18"/>
          <w:szCs w:val="18"/>
          <w:color w:val="51555C"/>
        </w:rPr>
        <w:t>To resolve all questions and settle all controversies regarding the Plan and Awards granted under it.</w:t>
      </w:r>
    </w:p>
    <w:p>
      <w:pPr>
        <w:spacing w:after="0" w:line="171" w:lineRule="exact"/>
        <w:rPr>
          <w:rFonts w:ascii="Arial" w:cs="Arial" w:eastAsia="Arial" w:hAnsi="Arial"/>
          <w:sz w:val="18"/>
          <w:szCs w:val="18"/>
          <w:b w:val="1"/>
          <w:bCs w:val="1"/>
          <w:color w:val="51555C"/>
        </w:rPr>
      </w:pPr>
    </w:p>
    <w:p>
      <w:pPr>
        <w:jc w:val="both"/>
        <w:ind w:firstLine="1304"/>
        <w:spacing w:after="0" w:line="268" w:lineRule="auto"/>
        <w:tabs>
          <w:tab w:leader="none" w:pos="1796" w:val="left"/>
        </w:tabs>
        <w:numPr>
          <w:ilvl w:val="2"/>
          <w:numId w:val="108"/>
        </w:numPr>
        <w:rPr>
          <w:rFonts w:ascii="Arial" w:cs="Arial" w:eastAsia="Arial" w:hAnsi="Arial"/>
          <w:sz w:val="18"/>
          <w:szCs w:val="18"/>
          <w:b w:val="1"/>
          <w:bCs w:val="1"/>
          <w:color w:val="51555C"/>
        </w:rPr>
      </w:pPr>
      <w:r>
        <w:rPr>
          <w:rFonts w:ascii="Arial" w:cs="Arial" w:eastAsia="Arial" w:hAnsi="Arial"/>
          <w:sz w:val="18"/>
          <w:szCs w:val="18"/>
          <w:color w:val="51555C"/>
        </w:rPr>
        <w:t>To accelerate, continue, extend or defer the time at which a Stock Award may first be exercised or the time during which a Stock Award or any part thereof will vest in accordance with the Plan, notwithstanding the provisions in the Stock Award stating the time at which it may first be exercised or the time during which it will vest.</w:t>
      </w:r>
    </w:p>
    <w:p>
      <w:pPr>
        <w:spacing w:after="0" w:line="116" w:lineRule="exact"/>
        <w:rPr>
          <w:rFonts w:ascii="Arial" w:cs="Arial" w:eastAsia="Arial" w:hAnsi="Arial"/>
          <w:sz w:val="18"/>
          <w:szCs w:val="18"/>
          <w:b w:val="1"/>
          <w:bCs w:val="1"/>
          <w:color w:val="51555C"/>
        </w:rPr>
      </w:pPr>
    </w:p>
    <w:p>
      <w:pPr>
        <w:jc w:val="both"/>
        <w:ind w:firstLine="1304"/>
        <w:spacing w:after="0" w:line="268" w:lineRule="auto"/>
        <w:tabs>
          <w:tab w:leader="none" w:pos="1775" w:val="left"/>
        </w:tabs>
        <w:numPr>
          <w:ilvl w:val="2"/>
          <w:numId w:val="108"/>
        </w:numPr>
        <w:rPr>
          <w:rFonts w:ascii="Arial" w:cs="Arial" w:eastAsia="Arial" w:hAnsi="Arial"/>
          <w:sz w:val="18"/>
          <w:szCs w:val="18"/>
          <w:b w:val="1"/>
          <w:bCs w:val="1"/>
          <w:color w:val="51555C"/>
        </w:rPr>
      </w:pPr>
      <w:r>
        <w:rPr>
          <w:rFonts w:ascii="Arial" w:cs="Arial" w:eastAsia="Arial" w:hAnsi="Arial"/>
          <w:sz w:val="18"/>
          <w:szCs w:val="18"/>
          <w:color w:val="51555C"/>
        </w:rPr>
        <w:t>To approve such forms of agreements, including Stock Award Agreements, for use under the Plan as it may determine in its sole discretion, which may include a master agreement with respect to all or any types of Stock Awards supplemented by a Stock Award notice issued by the Company;</w:t>
      </w:r>
    </w:p>
    <w:p>
      <w:pPr>
        <w:spacing w:after="0" w:line="116" w:lineRule="exact"/>
        <w:rPr>
          <w:rFonts w:ascii="Arial" w:cs="Arial" w:eastAsia="Arial" w:hAnsi="Arial"/>
          <w:sz w:val="18"/>
          <w:szCs w:val="18"/>
          <w:b w:val="1"/>
          <w:bCs w:val="1"/>
          <w:color w:val="51555C"/>
        </w:rPr>
      </w:pPr>
    </w:p>
    <w:p>
      <w:pPr>
        <w:jc w:val="both"/>
        <w:ind w:firstLine="1304"/>
        <w:spacing w:after="0" w:line="255" w:lineRule="auto"/>
        <w:tabs>
          <w:tab w:leader="none" w:pos="1890" w:val="left"/>
        </w:tabs>
        <w:numPr>
          <w:ilvl w:val="2"/>
          <w:numId w:val="108"/>
        </w:numPr>
        <w:rPr>
          <w:rFonts w:ascii="Arial" w:cs="Arial" w:eastAsia="Arial" w:hAnsi="Arial"/>
          <w:sz w:val="18"/>
          <w:szCs w:val="18"/>
          <w:b w:val="1"/>
          <w:bCs w:val="1"/>
          <w:color w:val="51555C"/>
        </w:rPr>
      </w:pPr>
      <w:r>
        <w:rPr>
          <w:rFonts w:ascii="Arial" w:cs="Arial" w:eastAsia="Arial" w:hAnsi="Arial"/>
          <w:sz w:val="18"/>
          <w:szCs w:val="18"/>
          <w:color w:val="51555C"/>
        </w:rPr>
        <w:t xml:space="preserve">To amend the terms of any one or more Awards, including, but not limited to, amendments to provide terms more favorable than previously provided, subject to any specified limits in the Plan that are not subject to Committee discretion or if applicable, subject to restrictions applicable to Performance-Based Compensation Awards under the Section 162(m) Exception; </w:t>
      </w:r>
      <w:r>
        <w:rPr>
          <w:rFonts w:ascii="Arial" w:cs="Arial" w:eastAsia="Arial" w:hAnsi="Arial"/>
          <w:sz w:val="18"/>
          <w:szCs w:val="18"/>
          <w:i w:val="1"/>
          <w:iCs w:val="1"/>
          <w:color w:val="51555C"/>
        </w:rPr>
        <w:t>provided, however,</w:t>
      </w:r>
      <w:r>
        <w:rPr>
          <w:rFonts w:ascii="Arial" w:cs="Arial" w:eastAsia="Arial" w:hAnsi="Arial"/>
          <w:sz w:val="18"/>
          <w:szCs w:val="18"/>
          <w:color w:val="51555C"/>
        </w:rPr>
        <w:t xml:space="preserve"> that a Participant’s rights under any Award shall not be materially impaired by any such amendment unless (A) the Company requests the consent of the affected Participant, and (B) such Participant consents in writing. Notwithstanding the foregoing, subject to the limitations of applicable law, if any, the Committee may amend the terms of any one or more Awards without the affected Participant’s consent (1) if necessary to maintain the qualified status of the Stock Award as an Incentive Stock Option or to bring the Award into compliance with the Section 162(m) Exception or Section 409A of the Code or any other applicable laws, regulations, or exchange listing requirements (including changes thereto); or (2) the Committee determines that the amendment is in the best interest of the affected Participant.</w:t>
      </w:r>
    </w:p>
    <w:p>
      <w:pPr>
        <w:spacing w:after="0" w:line="126" w:lineRule="exact"/>
        <w:rPr>
          <w:rFonts w:ascii="Arial" w:cs="Arial" w:eastAsia="Arial" w:hAnsi="Arial"/>
          <w:sz w:val="18"/>
          <w:szCs w:val="18"/>
          <w:b w:val="1"/>
          <w:bCs w:val="1"/>
          <w:color w:val="51555C"/>
        </w:rPr>
      </w:pPr>
    </w:p>
    <w:p>
      <w:pPr>
        <w:jc w:val="both"/>
        <w:ind w:firstLine="1304"/>
        <w:spacing w:after="0" w:line="268" w:lineRule="auto"/>
        <w:tabs>
          <w:tab w:leader="none" w:pos="1934" w:val="left"/>
        </w:tabs>
        <w:numPr>
          <w:ilvl w:val="2"/>
          <w:numId w:val="108"/>
        </w:numPr>
        <w:rPr>
          <w:rFonts w:ascii="Arial" w:cs="Arial" w:eastAsia="Arial" w:hAnsi="Arial"/>
          <w:sz w:val="18"/>
          <w:szCs w:val="18"/>
          <w:b w:val="1"/>
          <w:bCs w:val="1"/>
          <w:color w:val="51555C"/>
        </w:rPr>
      </w:pPr>
      <w:r>
        <w:rPr>
          <w:rFonts w:ascii="Arial" w:cs="Arial" w:eastAsia="Arial" w:hAnsi="Arial"/>
          <w:sz w:val="18"/>
          <w:szCs w:val="18"/>
          <w:color w:val="51555C"/>
        </w:rPr>
        <w:t>Generally, to delegate administrative responsibilities under the Plan, to exercise such powers and to perform such acts as the Committee deems necessary or expedient to promote the best interests of the Company or for the administration of the Plan and that are not in conflict with the provisions of the Plan or Awards.</w:t>
      </w:r>
    </w:p>
    <w:p>
      <w:pPr>
        <w:spacing w:after="0" w:line="116" w:lineRule="exact"/>
        <w:rPr>
          <w:rFonts w:ascii="Arial" w:cs="Arial" w:eastAsia="Arial" w:hAnsi="Arial"/>
          <w:sz w:val="18"/>
          <w:szCs w:val="18"/>
          <w:b w:val="1"/>
          <w:bCs w:val="1"/>
          <w:color w:val="51555C"/>
        </w:rPr>
      </w:pPr>
    </w:p>
    <w:p>
      <w:pPr>
        <w:jc w:val="both"/>
        <w:ind w:firstLine="1304"/>
        <w:spacing w:after="0" w:line="257" w:lineRule="auto"/>
        <w:tabs>
          <w:tab w:leader="none" w:pos="1802" w:val="left"/>
        </w:tabs>
        <w:numPr>
          <w:ilvl w:val="2"/>
          <w:numId w:val="108"/>
        </w:numPr>
        <w:rPr>
          <w:rFonts w:ascii="Arial" w:cs="Arial" w:eastAsia="Arial" w:hAnsi="Arial"/>
          <w:sz w:val="18"/>
          <w:szCs w:val="18"/>
          <w:b w:val="1"/>
          <w:bCs w:val="1"/>
          <w:color w:val="51555C"/>
        </w:rPr>
      </w:pPr>
      <w:r>
        <w:rPr>
          <w:rFonts w:ascii="Arial" w:cs="Arial" w:eastAsia="Arial" w:hAnsi="Arial"/>
          <w:sz w:val="18"/>
          <w:szCs w:val="18"/>
          <w:color w:val="51555C"/>
        </w:rPr>
        <w:t>To adopt such rules, procedures and sub-plans as are necessary or appropriate to permit participation in the Plan by Employees, Directors or Consultants who are foreign nationals or employed outside the United States or to facilitate the operation of the Plan in such foreign jurisdictions. The Committee also may vary, modify or amend the terms of Awards made to or held by a Participant in any manner deemed by the Committee to be necessary or appropriate in order that such Award shall conform to or accommodate differences in laws, rules, regulations, customs or policies of each jurisdiction outside of the United States where the Participant is located or employed or so that the value and other benefits of the Award</w:t>
      </w:r>
    </w:p>
    <w:p>
      <w:pPr>
        <w:spacing w:after="0" w:line="339"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90</w:t>
      </w:r>
      <w:r>
        <w:rPr>
          <w:sz w:val="20"/>
          <w:szCs w:val="20"/>
          <w:color w:val="auto"/>
        </w:rPr>
        <w:tab/>
      </w:r>
      <w:r>
        <w:rPr>
          <w:sz w:val="1"/>
          <w:szCs w:val="1"/>
          <w:color w:val="auto"/>
        </w:rPr>
        <w:drawing>
          <wp:inline distT="0" distB="0" distL="0" distR="0">
            <wp:extent cx="702945" cy="111760"/>
            <wp:effectExtent l="0" t="0" r="0" b="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02945" cy="111760"/>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92" w:name="page93"/>
    <w:bookmarkEnd w:id="92"/>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9440"/>
        <w:spacing w:after="0"/>
        <w:rPr>
          <w:sz w:val="20"/>
          <w:szCs w:val="20"/>
          <w:color w:val="auto"/>
        </w:rPr>
      </w:pPr>
      <w:r>
        <w:rPr>
          <w:rFonts w:ascii="Arial" w:cs="Arial" w:eastAsia="Arial" w:hAnsi="Arial"/>
          <w:sz w:val="18"/>
          <w:szCs w:val="18"/>
          <w:b w:val="1"/>
          <w:bCs w:val="1"/>
          <w:color w:val="51555C"/>
        </w:rPr>
        <w:t>APPENDICES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to the Participant, as affected by foreign tax laws and other restrictions applicable as a result of the Participant’s residence or employment abroad, shall be comparable to the value of such Award to a Participant who is a resident or primarily employed in the United States. The Committee also may establish administrative rules and procedures to facilitate the operation of the Plan in such foreign jurisdictions. An Award made pursuant to this Section 2(a)(ix) may have terms that are inconsistent with the express terms of the Plan, so long as such modifications will not contravene any applicable law or regulation or result in actual liability under Section 16(b) of the Exchange Act for the affected Participant.</w:t>
      </w:r>
    </w:p>
    <w:p>
      <w:pPr>
        <w:spacing w:after="0" w:line="128" w:lineRule="exact"/>
        <w:rPr>
          <w:sz w:val="20"/>
          <w:szCs w:val="20"/>
          <w:color w:val="auto"/>
        </w:rPr>
      </w:pPr>
    </w:p>
    <w:p>
      <w:pPr>
        <w:ind w:left="1080" w:hanging="424"/>
        <w:spacing w:after="0"/>
        <w:tabs>
          <w:tab w:leader="none" w:pos="1080" w:val="left"/>
        </w:tabs>
        <w:numPr>
          <w:ilvl w:val="1"/>
          <w:numId w:val="109"/>
        </w:numPr>
        <w:rPr>
          <w:rFonts w:ascii="Arial" w:cs="Arial" w:eastAsia="Arial" w:hAnsi="Arial"/>
          <w:sz w:val="18"/>
          <w:szCs w:val="18"/>
          <w:b w:val="1"/>
          <w:bCs w:val="1"/>
          <w:color w:val="51555C"/>
        </w:rPr>
      </w:pPr>
      <w:r>
        <w:rPr>
          <w:rFonts w:ascii="Arial" w:cs="Arial" w:eastAsia="Arial" w:hAnsi="Arial"/>
          <w:sz w:val="18"/>
          <w:szCs w:val="18"/>
          <w:b w:val="1"/>
          <w:bCs w:val="1"/>
          <w:color w:val="51555C"/>
        </w:rPr>
        <w:t>Delegation by Committee</w:t>
      </w:r>
      <w:r>
        <w:rPr>
          <w:rFonts w:ascii="Arial" w:cs="Arial" w:eastAsia="Arial" w:hAnsi="Arial"/>
          <w:sz w:val="18"/>
          <w:szCs w:val="18"/>
          <w:color w:val="51555C"/>
        </w:rPr>
        <w:t>.</w:t>
      </w:r>
    </w:p>
    <w:p>
      <w:pPr>
        <w:spacing w:after="0" w:line="171" w:lineRule="exact"/>
        <w:rPr>
          <w:rFonts w:ascii="Arial" w:cs="Arial" w:eastAsia="Arial" w:hAnsi="Arial"/>
          <w:sz w:val="18"/>
          <w:szCs w:val="18"/>
          <w:b w:val="1"/>
          <w:bCs w:val="1"/>
          <w:color w:val="51555C"/>
        </w:rPr>
      </w:pPr>
    </w:p>
    <w:p>
      <w:pPr>
        <w:jc w:val="both"/>
        <w:ind w:firstLine="1304"/>
        <w:spacing w:after="0" w:line="257" w:lineRule="auto"/>
        <w:tabs>
          <w:tab w:leader="none" w:pos="1868" w:val="left"/>
        </w:tabs>
        <w:numPr>
          <w:ilvl w:val="2"/>
          <w:numId w:val="109"/>
        </w:numPr>
        <w:rPr>
          <w:rFonts w:ascii="Arial" w:cs="Arial" w:eastAsia="Arial" w:hAnsi="Arial"/>
          <w:sz w:val="18"/>
          <w:szCs w:val="18"/>
          <w:b w:val="1"/>
          <w:bCs w:val="1"/>
          <w:color w:val="51555C"/>
        </w:rPr>
      </w:pPr>
      <w:r>
        <w:rPr>
          <w:rFonts w:ascii="Arial" w:cs="Arial" w:eastAsia="Arial" w:hAnsi="Arial"/>
          <w:sz w:val="18"/>
          <w:szCs w:val="18"/>
          <w:b w:val="1"/>
          <w:bCs w:val="1"/>
          <w:color w:val="51555C"/>
        </w:rPr>
        <w:t>General</w:t>
      </w:r>
      <w:r>
        <w:rPr>
          <w:rFonts w:ascii="Arial" w:cs="Arial" w:eastAsia="Arial" w:hAnsi="Arial"/>
          <w:sz w:val="18"/>
          <w:szCs w:val="18"/>
          <w:color w:val="51555C"/>
        </w:rPr>
        <w:t>. The Committee may delegate some or all of the administration of the Plan to a subcommittee. If</w:t>
      </w:r>
      <w:r>
        <w:rPr>
          <w:rFonts w:ascii="Arial" w:cs="Arial" w:eastAsia="Arial" w:hAnsi="Arial"/>
          <w:sz w:val="18"/>
          <w:szCs w:val="18"/>
          <w:b w:val="1"/>
          <w:bCs w:val="1"/>
          <w:color w:val="51555C"/>
        </w:rPr>
        <w:t xml:space="preserve"> </w:t>
      </w:r>
      <w:r>
        <w:rPr>
          <w:rFonts w:ascii="Arial" w:cs="Arial" w:eastAsia="Arial" w:hAnsi="Arial"/>
          <w:sz w:val="18"/>
          <w:szCs w:val="18"/>
          <w:color w:val="51555C"/>
        </w:rPr>
        <w:t>administration is delegated to a subcommittee, the subcommittee shall have, in connection with the administration of the Plan, the powers theretofore possessed by the Committee that have been delegated to the subcommittee, subject, however, to such resolutions, not inconsistent with the provisions of the Plan, as may be adopted from time to time by the Committee. The Committee may retain the authority to concurrently administer the Plan with the subcommittee and may, at any time, revest in the Committee some or all of the powers previously delegated.</w:t>
      </w:r>
    </w:p>
    <w:p>
      <w:pPr>
        <w:spacing w:after="0" w:line="128" w:lineRule="exact"/>
        <w:rPr>
          <w:rFonts w:ascii="Arial" w:cs="Arial" w:eastAsia="Arial" w:hAnsi="Arial"/>
          <w:sz w:val="18"/>
          <w:szCs w:val="18"/>
          <w:b w:val="1"/>
          <w:bCs w:val="1"/>
          <w:color w:val="51555C"/>
        </w:rPr>
      </w:pPr>
    </w:p>
    <w:p>
      <w:pPr>
        <w:jc w:val="both"/>
        <w:ind w:firstLine="1304"/>
        <w:spacing w:after="0" w:line="254" w:lineRule="auto"/>
        <w:tabs>
          <w:tab w:leader="none" w:pos="1756" w:val="left"/>
        </w:tabs>
        <w:numPr>
          <w:ilvl w:val="2"/>
          <w:numId w:val="109"/>
        </w:numPr>
        <w:rPr>
          <w:rFonts w:ascii="Arial" w:cs="Arial" w:eastAsia="Arial" w:hAnsi="Arial"/>
          <w:sz w:val="18"/>
          <w:szCs w:val="18"/>
          <w:b w:val="1"/>
          <w:bCs w:val="1"/>
          <w:color w:val="51555C"/>
        </w:rPr>
      </w:pPr>
      <w:r>
        <w:rPr>
          <w:rFonts w:ascii="Arial" w:cs="Arial" w:eastAsia="Arial" w:hAnsi="Arial"/>
          <w:sz w:val="18"/>
          <w:szCs w:val="18"/>
          <w:b w:val="1"/>
          <w:bCs w:val="1"/>
          <w:color w:val="51555C"/>
        </w:rPr>
        <w:t>Section 162(m) and Rule 16b-3 Compliance</w:t>
      </w:r>
      <w:r>
        <w:rPr>
          <w:rFonts w:ascii="Arial" w:cs="Arial" w:eastAsia="Arial" w:hAnsi="Arial"/>
          <w:sz w:val="18"/>
          <w:szCs w:val="18"/>
          <w:color w:val="51555C"/>
        </w:rPr>
        <w:t>. Notwithstanding any provision of the Plan to the contrary, (A) for any</w:t>
      </w:r>
      <w:r>
        <w:rPr>
          <w:rFonts w:ascii="Arial" w:cs="Arial" w:eastAsia="Arial" w:hAnsi="Arial"/>
          <w:sz w:val="18"/>
          <w:szCs w:val="18"/>
          <w:b w:val="1"/>
          <w:bCs w:val="1"/>
          <w:color w:val="51555C"/>
        </w:rPr>
        <w:t xml:space="preserve"> </w:t>
      </w:r>
      <w:r>
        <w:rPr>
          <w:rFonts w:ascii="Arial" w:cs="Arial" w:eastAsia="Arial" w:hAnsi="Arial"/>
          <w:sz w:val="18"/>
          <w:szCs w:val="18"/>
          <w:color w:val="51555C"/>
        </w:rPr>
        <w:t>Performance-Based Compensation Awards, references in the Plan to the Committee shall mean a Committee that consists solely of two or more Outside Directors, in accordance with the Section 162(m) Exception, and (B) to the extent required for Stock Awards to be exempt from Section 16 of the Exchange Act pursuant to Rule 16b-3, references in the Plan to the Committee shall mean a Committee that consists solely of two or more Non-Employee Directors, in accordance with Rule 16b-3. In addition, the Committee, in its sole discretion, may (1) delegate to a subcommittee who need not be Outside Directors the authority to grant Awards to eligible persons who are either (I) not then Covered Employees and are not expected to be Covered Employees at the time of recognition of income resulting from such Award, or (II) not persons with respect to whom the Company wishes to comply with the Section 162(m) Exception, or (2) delegate to a subcommittee who need not be Non-Employee Directors the authority to grant Stock Awards to eligible persons who are not then subject to Section 16 of the Exchange Act.</w:t>
      </w:r>
    </w:p>
    <w:p>
      <w:pPr>
        <w:spacing w:after="0" w:line="131" w:lineRule="exact"/>
        <w:rPr>
          <w:rFonts w:ascii="Arial" w:cs="Arial" w:eastAsia="Arial" w:hAnsi="Arial"/>
          <w:sz w:val="18"/>
          <w:szCs w:val="18"/>
          <w:b w:val="1"/>
          <w:bCs w:val="1"/>
          <w:color w:val="51555C"/>
        </w:rPr>
      </w:pPr>
    </w:p>
    <w:p>
      <w:pPr>
        <w:jc w:val="both"/>
        <w:ind w:firstLine="656"/>
        <w:spacing w:after="0" w:line="253" w:lineRule="auto"/>
        <w:tabs>
          <w:tab w:leader="none" w:pos="1095" w:val="left"/>
        </w:tabs>
        <w:numPr>
          <w:ilvl w:val="1"/>
          <w:numId w:val="109"/>
        </w:numPr>
        <w:rPr>
          <w:rFonts w:ascii="Arial" w:cs="Arial" w:eastAsia="Arial" w:hAnsi="Arial"/>
          <w:sz w:val="18"/>
          <w:szCs w:val="18"/>
          <w:b w:val="1"/>
          <w:bCs w:val="1"/>
          <w:color w:val="51555C"/>
        </w:rPr>
      </w:pPr>
      <w:r>
        <w:rPr>
          <w:rFonts w:ascii="Arial" w:cs="Arial" w:eastAsia="Arial" w:hAnsi="Arial"/>
          <w:sz w:val="18"/>
          <w:szCs w:val="18"/>
          <w:b w:val="1"/>
          <w:bCs w:val="1"/>
          <w:color w:val="51555C"/>
        </w:rPr>
        <w:t>Delegation to Officers</w:t>
      </w:r>
      <w:r>
        <w:rPr>
          <w:rFonts w:ascii="Arial" w:cs="Arial" w:eastAsia="Arial" w:hAnsi="Arial"/>
          <w:sz w:val="18"/>
          <w:szCs w:val="18"/>
          <w:color w:val="51555C"/>
        </w:rPr>
        <w:t>. Subject to the requirements for compliance with the Section 162(m) Exception and Rule 16b-3 of the</w:t>
      </w:r>
      <w:r>
        <w:rPr>
          <w:rFonts w:ascii="Arial" w:cs="Arial" w:eastAsia="Arial" w:hAnsi="Arial"/>
          <w:sz w:val="18"/>
          <w:szCs w:val="18"/>
          <w:b w:val="1"/>
          <w:bCs w:val="1"/>
          <w:color w:val="51555C"/>
        </w:rPr>
        <w:t xml:space="preserve"> </w:t>
      </w:r>
      <w:r>
        <w:rPr>
          <w:rFonts w:ascii="Arial" w:cs="Arial" w:eastAsia="Arial" w:hAnsi="Arial"/>
          <w:sz w:val="18"/>
          <w:szCs w:val="18"/>
          <w:color w:val="51555C"/>
        </w:rPr>
        <w:t xml:space="preserve">Exchange Act described in Section 2(b) above, the Committee may delegate to one or more Officers the authority to do one or both of the following (i) designate Employees of the Company or any of its Subsidiaries to be recipients of Options (and, to the extent permitted by, and subject to the requirements of, Delaware law, other Stock Awards) and the terms thereof; and (ii) determine the number of shares of Common Stock to be subject to such Stock Awards granted to such Employees; </w:t>
      </w:r>
      <w:r>
        <w:rPr>
          <w:rFonts w:ascii="Arial" w:cs="Arial" w:eastAsia="Arial" w:hAnsi="Arial"/>
          <w:sz w:val="18"/>
          <w:szCs w:val="18"/>
          <w:i w:val="1"/>
          <w:iCs w:val="1"/>
          <w:color w:val="51555C"/>
        </w:rPr>
        <w:t>provided, however,</w:t>
      </w:r>
      <w:r>
        <w:rPr>
          <w:rFonts w:ascii="Arial" w:cs="Arial" w:eastAsia="Arial" w:hAnsi="Arial"/>
          <w:sz w:val="18"/>
          <w:szCs w:val="18"/>
          <w:color w:val="51555C"/>
        </w:rPr>
        <w:t xml:space="preserve"> that the Committee resolutions regarding such delegation shall specify the total number of shares of Common Stock that may be subject to the Stock Awards granted by such Officer and that such Officer may not grant a Stock Award to himself or herself. Notwithstanding anything to the contrary in this Section 2(c), the Committee may not delegate to an Officer authority to determine the Fair Market Value of the Common Stock pursuant to Section 14(w)</w:t>
      </w:r>
    </w:p>
    <w:p>
      <w:pPr>
        <w:ind w:left="260" w:hanging="252"/>
        <w:spacing w:after="0"/>
        <w:tabs>
          <w:tab w:leader="none" w:pos="260" w:val="left"/>
        </w:tabs>
        <w:numPr>
          <w:ilvl w:val="0"/>
          <w:numId w:val="110"/>
        </w:numPr>
        <w:rPr>
          <w:rFonts w:ascii="Arial" w:cs="Arial" w:eastAsia="Arial" w:hAnsi="Arial"/>
          <w:sz w:val="18"/>
          <w:szCs w:val="18"/>
          <w:color w:val="51555C"/>
        </w:rPr>
      </w:pPr>
      <w:r>
        <w:rPr>
          <w:rFonts w:ascii="Arial" w:cs="Arial" w:eastAsia="Arial" w:hAnsi="Arial"/>
          <w:sz w:val="18"/>
          <w:szCs w:val="18"/>
          <w:color w:val="51555C"/>
        </w:rPr>
        <w:t>below, and any delegation under this Plan to any Officer shall be permitted only to the extent allowed under Delaware law.</w:t>
      </w:r>
    </w:p>
    <w:p>
      <w:pPr>
        <w:spacing w:after="0" w:line="153" w:lineRule="exact"/>
        <w:rPr>
          <w:rFonts w:ascii="Arial" w:cs="Arial" w:eastAsia="Arial" w:hAnsi="Arial"/>
          <w:sz w:val="18"/>
          <w:szCs w:val="18"/>
          <w:color w:val="51555C"/>
        </w:rPr>
      </w:pPr>
    </w:p>
    <w:p>
      <w:pPr>
        <w:jc w:val="both"/>
        <w:ind w:firstLine="656"/>
        <w:spacing w:after="0" w:line="254" w:lineRule="auto"/>
        <w:tabs>
          <w:tab w:leader="none" w:pos="1212" w:val="left"/>
        </w:tabs>
        <w:numPr>
          <w:ilvl w:val="1"/>
          <w:numId w:val="110"/>
        </w:numPr>
        <w:rPr>
          <w:rFonts w:ascii="Arial" w:cs="Arial" w:eastAsia="Arial" w:hAnsi="Arial"/>
          <w:sz w:val="18"/>
          <w:szCs w:val="18"/>
          <w:b w:val="1"/>
          <w:bCs w:val="1"/>
          <w:color w:val="51555C"/>
        </w:rPr>
      </w:pPr>
      <w:r>
        <w:rPr>
          <w:rFonts w:ascii="Arial" w:cs="Arial" w:eastAsia="Arial" w:hAnsi="Arial"/>
          <w:sz w:val="18"/>
          <w:szCs w:val="18"/>
          <w:b w:val="1"/>
          <w:bCs w:val="1"/>
          <w:color w:val="51555C"/>
        </w:rPr>
        <w:t>Repricing</w:t>
      </w:r>
      <w:r>
        <w:rPr>
          <w:rFonts w:ascii="Arial" w:cs="Arial" w:eastAsia="Arial" w:hAnsi="Arial"/>
          <w:sz w:val="18"/>
          <w:szCs w:val="18"/>
          <w:color w:val="51555C"/>
        </w:rPr>
        <w:t>. The terms of outstanding Options and Stock Appreciation Rights may not be amended, and action may not</w:t>
      </w:r>
      <w:r>
        <w:rPr>
          <w:rFonts w:ascii="Arial" w:cs="Arial" w:eastAsia="Arial" w:hAnsi="Arial"/>
          <w:sz w:val="18"/>
          <w:szCs w:val="18"/>
          <w:b w:val="1"/>
          <w:bCs w:val="1"/>
          <w:color w:val="51555C"/>
        </w:rPr>
        <w:t xml:space="preserve"> </w:t>
      </w:r>
      <w:r>
        <w:rPr>
          <w:rFonts w:ascii="Arial" w:cs="Arial" w:eastAsia="Arial" w:hAnsi="Arial"/>
          <w:sz w:val="18"/>
          <w:szCs w:val="18"/>
          <w:color w:val="51555C"/>
        </w:rPr>
        <w:t>otherwise be taken, without requisite stockholder approval to (i) reduce the exercise price of outstanding Options or strike price of outstanding Stock Appreciation Rights; (ii) cancel outstanding Options or Stock Appreciation Rights in exchange for Options or Stock Appreciation Rights with an exercise price or strike price that is less than the exercise price of the original Options or strike price of the original Stock Appreciation Rights; (iii) cancel outstanding Options or Stock Appreciation Rights with an exercise price or strike price that is less than the then current Fair Market Value of a share of the Common Stock in exchange for other Awards, cash or other property; or (iv) otherwise effect a transaction that would be considered a “repricing” for purposes of the stockholder approval rules of the applicable securities exchange or inter-dealer quotation system on which the Common Stock is listed or quoted. This Section 2(d) shall not be construed to apply to “issuing or assuming a stock option in a transaction to which Section 424(a) applies,” within the meaning of Section 424 of the Code.</w:t>
      </w:r>
    </w:p>
    <w:p>
      <w:pPr>
        <w:spacing w:after="0" w:line="131" w:lineRule="exact"/>
        <w:rPr>
          <w:rFonts w:ascii="Arial" w:cs="Arial" w:eastAsia="Arial" w:hAnsi="Arial"/>
          <w:sz w:val="18"/>
          <w:szCs w:val="18"/>
          <w:b w:val="1"/>
          <w:bCs w:val="1"/>
          <w:color w:val="51555C"/>
        </w:rPr>
      </w:pPr>
    </w:p>
    <w:p>
      <w:pPr>
        <w:ind w:firstLine="656"/>
        <w:spacing w:after="0" w:line="287" w:lineRule="auto"/>
        <w:tabs>
          <w:tab w:leader="none" w:pos="1216" w:val="left"/>
        </w:tabs>
        <w:numPr>
          <w:ilvl w:val="1"/>
          <w:numId w:val="110"/>
        </w:numPr>
        <w:rPr>
          <w:rFonts w:ascii="Arial" w:cs="Arial" w:eastAsia="Arial" w:hAnsi="Arial"/>
          <w:sz w:val="18"/>
          <w:szCs w:val="18"/>
          <w:b w:val="1"/>
          <w:bCs w:val="1"/>
          <w:color w:val="51555C"/>
        </w:rPr>
      </w:pPr>
      <w:r>
        <w:rPr>
          <w:rFonts w:ascii="Arial" w:cs="Arial" w:eastAsia="Arial" w:hAnsi="Arial"/>
          <w:sz w:val="18"/>
          <w:szCs w:val="18"/>
          <w:b w:val="1"/>
          <w:bCs w:val="1"/>
          <w:color w:val="51555C"/>
        </w:rPr>
        <w:t>Effect of Committee’s Decision</w:t>
      </w:r>
      <w:r>
        <w:rPr>
          <w:rFonts w:ascii="Arial" w:cs="Arial" w:eastAsia="Arial" w:hAnsi="Arial"/>
          <w:sz w:val="18"/>
          <w:szCs w:val="18"/>
          <w:color w:val="51555C"/>
        </w:rPr>
        <w:t>. All determinations, interpretations and constructions made by the Committee or any</w:t>
      </w:r>
      <w:r>
        <w:rPr>
          <w:rFonts w:ascii="Arial" w:cs="Arial" w:eastAsia="Arial" w:hAnsi="Arial"/>
          <w:sz w:val="18"/>
          <w:szCs w:val="18"/>
          <w:b w:val="1"/>
          <w:bCs w:val="1"/>
          <w:color w:val="51555C"/>
        </w:rPr>
        <w:t xml:space="preserve"> </w:t>
      </w:r>
      <w:r>
        <w:rPr>
          <w:rFonts w:ascii="Arial" w:cs="Arial" w:eastAsia="Arial" w:hAnsi="Arial"/>
          <w:sz w:val="18"/>
          <w:szCs w:val="18"/>
          <w:color w:val="51555C"/>
        </w:rPr>
        <w:t>subcommittee in good faith shall not be subject to review by any person and shall be final, binding and conclusive on all persons.</w:t>
      </w:r>
    </w:p>
    <w:p>
      <w:pPr>
        <w:spacing w:after="0" w:line="98" w:lineRule="exact"/>
        <w:rPr>
          <w:rFonts w:ascii="Arial" w:cs="Arial" w:eastAsia="Arial" w:hAnsi="Arial"/>
          <w:sz w:val="18"/>
          <w:szCs w:val="18"/>
          <w:b w:val="1"/>
          <w:bCs w:val="1"/>
          <w:color w:val="51555C"/>
        </w:rPr>
      </w:pPr>
    </w:p>
    <w:p>
      <w:pPr>
        <w:jc w:val="both"/>
        <w:ind w:firstLine="656"/>
        <w:spacing w:after="0" w:line="257" w:lineRule="auto"/>
        <w:tabs>
          <w:tab w:leader="none" w:pos="1176" w:val="left"/>
        </w:tabs>
        <w:numPr>
          <w:ilvl w:val="1"/>
          <w:numId w:val="110"/>
        </w:numPr>
        <w:rPr>
          <w:rFonts w:ascii="Arial" w:cs="Arial" w:eastAsia="Arial" w:hAnsi="Arial"/>
          <w:sz w:val="18"/>
          <w:szCs w:val="18"/>
          <w:b w:val="1"/>
          <w:bCs w:val="1"/>
          <w:color w:val="51555C"/>
        </w:rPr>
      </w:pPr>
      <w:r>
        <w:rPr>
          <w:rFonts w:ascii="Arial" w:cs="Arial" w:eastAsia="Arial" w:hAnsi="Arial"/>
          <w:sz w:val="18"/>
          <w:szCs w:val="18"/>
          <w:b w:val="1"/>
          <w:bCs w:val="1"/>
          <w:color w:val="51555C"/>
        </w:rPr>
        <w:t>Indemnification</w:t>
      </w:r>
      <w:r>
        <w:rPr>
          <w:rFonts w:ascii="Arial" w:cs="Arial" w:eastAsia="Arial" w:hAnsi="Arial"/>
          <w:sz w:val="18"/>
          <w:szCs w:val="18"/>
          <w:color w:val="51555C"/>
        </w:rPr>
        <w:t>. In addition to such other rights of indemnification as they may have as members of the Board or the</w:t>
      </w:r>
      <w:r>
        <w:rPr>
          <w:rFonts w:ascii="Arial" w:cs="Arial" w:eastAsia="Arial" w:hAnsi="Arial"/>
          <w:sz w:val="18"/>
          <w:szCs w:val="18"/>
          <w:b w:val="1"/>
          <w:bCs w:val="1"/>
          <w:color w:val="51555C"/>
        </w:rPr>
        <w:t xml:space="preserve"> </w:t>
      </w:r>
      <w:r>
        <w:rPr>
          <w:rFonts w:ascii="Arial" w:cs="Arial" w:eastAsia="Arial" w:hAnsi="Arial"/>
          <w:sz w:val="18"/>
          <w:szCs w:val="18"/>
          <w:color w:val="51555C"/>
        </w:rPr>
        <w:t>Committee or as officers or employees of the Company, members of the Board or the Committee and any officers or employees of the Company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221615</wp:posOffset>
            </wp:positionV>
            <wp:extent cx="702945" cy="11112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91</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93" w:name="page94"/>
    <w:bookmarkEnd w:id="93"/>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APPENDICES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 xml:space="preserve">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w:t>
      </w:r>
      <w:r>
        <w:rPr>
          <w:rFonts w:ascii="Arial" w:cs="Arial" w:eastAsia="Arial" w:hAnsi="Arial"/>
          <w:sz w:val="18"/>
          <w:szCs w:val="18"/>
          <w:i w:val="1"/>
          <w:iCs w:val="1"/>
          <w:color w:val="51555C"/>
        </w:rPr>
        <w:t>provided, however,</w:t>
      </w:r>
      <w:r>
        <w:rPr>
          <w:rFonts w:ascii="Arial" w:cs="Arial" w:eastAsia="Arial" w:hAnsi="Arial"/>
          <w:sz w:val="18"/>
          <w:szCs w:val="18"/>
          <w:color w:val="51555C"/>
        </w:rPr>
        <w:t xml:space="preserve"> that within sixty (60) days after the institution of such action, suit or proceeding, such person shall offer to the Company, in writing, the opportunity at its own expense to handle and defend the same.</w:t>
      </w:r>
    </w:p>
    <w:p>
      <w:pPr>
        <w:spacing w:after="0" w:line="125" w:lineRule="exact"/>
        <w:rPr>
          <w:sz w:val="20"/>
          <w:szCs w:val="20"/>
          <w:color w:val="auto"/>
        </w:rPr>
      </w:pPr>
    </w:p>
    <w:p>
      <w:pPr>
        <w:ind w:left="360" w:hanging="352"/>
        <w:spacing w:after="0"/>
        <w:tabs>
          <w:tab w:leader="none" w:pos="360" w:val="left"/>
        </w:tabs>
        <w:numPr>
          <w:ilvl w:val="0"/>
          <w:numId w:val="111"/>
        </w:numPr>
        <w:rPr>
          <w:rFonts w:ascii="Arial" w:cs="Arial" w:eastAsia="Arial" w:hAnsi="Arial"/>
          <w:sz w:val="18"/>
          <w:szCs w:val="18"/>
          <w:b w:val="1"/>
          <w:bCs w:val="1"/>
          <w:color w:val="51555C"/>
        </w:rPr>
      </w:pPr>
      <w:r>
        <w:rPr>
          <w:rFonts w:ascii="Arial" w:cs="Arial" w:eastAsia="Arial" w:hAnsi="Arial"/>
          <w:sz w:val="18"/>
          <w:szCs w:val="18"/>
          <w:b w:val="1"/>
          <w:bCs w:val="1"/>
          <w:color w:val="51555C"/>
        </w:rPr>
        <w:t>SHARES SUBJECT TO THE PLAN AND AWARD LIMITATIONS</w:t>
      </w:r>
    </w:p>
    <w:p>
      <w:pPr>
        <w:spacing w:after="0" w:line="171" w:lineRule="exact"/>
        <w:rPr>
          <w:rFonts w:ascii="Arial" w:cs="Arial" w:eastAsia="Arial" w:hAnsi="Arial"/>
          <w:sz w:val="18"/>
          <w:szCs w:val="18"/>
          <w:b w:val="1"/>
          <w:bCs w:val="1"/>
          <w:color w:val="51555C"/>
        </w:rPr>
      </w:pPr>
    </w:p>
    <w:p>
      <w:pPr>
        <w:jc w:val="both"/>
        <w:ind w:firstLine="656"/>
        <w:spacing w:after="0" w:line="251" w:lineRule="auto"/>
        <w:tabs>
          <w:tab w:leader="none" w:pos="1149" w:val="left"/>
        </w:tabs>
        <w:numPr>
          <w:ilvl w:val="1"/>
          <w:numId w:val="111"/>
        </w:numPr>
        <w:rPr>
          <w:rFonts w:ascii="Arial" w:cs="Arial" w:eastAsia="Arial" w:hAnsi="Arial"/>
          <w:sz w:val="18"/>
          <w:szCs w:val="18"/>
          <w:b w:val="1"/>
          <w:bCs w:val="1"/>
          <w:color w:val="51555C"/>
        </w:rPr>
      </w:pPr>
      <w:r>
        <w:rPr>
          <w:rFonts w:ascii="Arial" w:cs="Arial" w:eastAsia="Arial" w:hAnsi="Arial"/>
          <w:sz w:val="18"/>
          <w:szCs w:val="18"/>
          <w:b w:val="1"/>
          <w:bCs w:val="1"/>
          <w:color w:val="51555C"/>
        </w:rPr>
        <w:t>Share Reserve</w:t>
      </w:r>
      <w:r>
        <w:rPr>
          <w:rFonts w:ascii="Arial" w:cs="Arial" w:eastAsia="Arial" w:hAnsi="Arial"/>
          <w:sz w:val="18"/>
          <w:szCs w:val="18"/>
          <w:color w:val="51555C"/>
        </w:rPr>
        <w:t>. Subject to the provisions of Section 11(a) relating to Capitalization Adjustments, the aggregate number of</w:t>
      </w:r>
      <w:r>
        <w:rPr>
          <w:rFonts w:ascii="Arial" w:cs="Arial" w:eastAsia="Arial" w:hAnsi="Arial"/>
          <w:sz w:val="18"/>
          <w:szCs w:val="18"/>
          <w:b w:val="1"/>
          <w:bCs w:val="1"/>
          <w:color w:val="51555C"/>
        </w:rPr>
        <w:t xml:space="preserve"> </w:t>
      </w:r>
      <w:r>
        <w:rPr>
          <w:rFonts w:ascii="Arial" w:cs="Arial" w:eastAsia="Arial" w:hAnsi="Arial"/>
          <w:sz w:val="18"/>
          <w:szCs w:val="18"/>
          <w:color w:val="51555C"/>
        </w:rPr>
        <w:t>shares of Common Stock that may be issued pursuant to Stock Awards under the Plan is equal to (i) the number of unallocated shares of Common Stock remaining available for issuance under the Prior Plan as of the Effective Date, plus (ii) five million (5,000,000) shares of Common Stock as initially approved under the Plan as of the Effective Date, plus (iii) five million (5,000,000) shares of Common Stock as approved under the Plan effective with stockholder approval of the first amendment and restatement of the Plan on June 13, 2019, plus (iv) one million five hundred thousand (1,500,000) shares of Common Stock as approved under the Plan effective with stockholder approval of the second amendment and restatement of the Plan on June 10, 2021, plus (v) one million four hundred thousand (1,400,000) shares of Common Stock as approved under the Plan effective with stockholder approval of the third amendment and restatement of the Plan on June 9, 2022, plus (vi) two million one hundred thousand (2,100,000) shares of Common Stock as approved under the Plan effective with stockholder approval of the fourth amendment and restatement of the Plan on June 14, 2023, plus (vii) two million sixty thousand (2,060,000) shares of Common Stock as approved under the Plan effective with stockholder approval of the fifth amendment and restatement of the Plan on June 12, 2024, plus (viii) one million four hundred fifty thousand (1,450,000) shares of Common Stock as approved under the Plan effective with stockholder approval of the sixth amendment and restatement of the Plan on June 11, 2025, plus (ix) two million five hundred thousand (2,500,000) shares of Common Stock as approved under the Plan effective with stockholder approval of this seventh amendment and restatement of the Plan on June 10, 2026 (collectively, the “</w:t>
      </w:r>
      <w:r>
        <w:rPr>
          <w:rFonts w:ascii="Arial" w:cs="Arial" w:eastAsia="Arial" w:hAnsi="Arial"/>
          <w:sz w:val="18"/>
          <w:szCs w:val="18"/>
          <w:b w:val="1"/>
          <w:bCs w:val="1"/>
          <w:i w:val="1"/>
          <w:iCs w:val="1"/>
          <w:color w:val="51555C"/>
        </w:rPr>
        <w:t>Share Reserve</w:t>
      </w:r>
      <w:r>
        <w:rPr>
          <w:rFonts w:ascii="Arial" w:cs="Arial" w:eastAsia="Arial" w:hAnsi="Arial"/>
          <w:sz w:val="18"/>
          <w:szCs w:val="18"/>
          <w:color w:val="51555C"/>
        </w:rPr>
        <w:t>”). With respect to Stock Awards granted prior to June 10, 2021, the number of shares of Common Stock available for issuance under the Plan shall be reduced (A) by one (1) share for each share subject to Options or Stock Appreciation Rights, and (B) by two (2) shares for each share subject to Stock Awards other than those described in the preceding clause (A). With respect to Stock Awards granted on or after June 10, 2021, the number of shares of Common Stock available for issuance under the Plan shall be reduced by one (1) share for each share subject to the Stock Award. To the extent that all or a portion of an outstanding Stock Award for any reason expires, lapses or is forfeited, terminated or canceled without having been exercised or settled in full (including without limitation by reason of failure to meet time-based and/or performance-based vesting requirements), or if shares of Common Stock acquired pursuant to a Stock Award subject to forfeiture or repurchase are forfeited or repurchased by the Company at the Participant’s purchase price to effect a forfeiture of unvested shares upon termination of Continuous Service, the unissued or forfeited shares of Common Stock that were subject thereto or such forfeited or repurchased shares of Common Stock shall be added back to the Share Reserve in an amount corresponding to the reduction in such Share Reserve previously made in accordance with the rules described above in this Section 3(a) and again be available for issuance under the Plan. For the avoidance of doubt, the number of shares of Common Stock that again become available for the grant of Stock Awards under the Plan pursuant to the foregoing shall be returned to the Share Reserve on a one-for-one basis, except that shares of Common Stock subject to Stock Awards granted under the Plan prior to June 10, 2021 (other than Options or Stock Appreciation Rights), shall be returned as two (2) shares for each one (1) share subject to such Stock Award.</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51555C"/>
        </w:rPr>
        <w:t>Shares of Common Stock shall not be deemed to have been issued pursuant to the Plan with respect to a substitute award (within the meaning of Section 4(d) below) or any portion of a Stock Award (other than a Stock Appreciation Right that may be settled in shares of Common Stock and/or cash) that is settled in cash. Shares withheld in satisfaction of tax withholding obligations pursuant to Section 10(g) shall not again become available for issuance under the Plan.</w:t>
      </w:r>
    </w:p>
    <w:p>
      <w:pPr>
        <w:spacing w:after="0" w:line="1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51555C"/>
        </w:rPr>
        <w:t>Notwithstanding the foregoing, upon exercise of a Stock Appreciation Right, whether in cash or shares of Common Stock, the number of shares available for issuance under the Plan shall be reduced by the gross number of shares for which the Stock Appreciation Right is exercised. If the exercise price of an Option is paid by “net exercise” (as described in Section 5(g)(iv)) or tender to the Company, or attestation to the ownership, of shares of Common Stock owned by the Participant, the number of shares available for issuance under the Plan shall be reduced by the gross number of shares for which the Option is exercised.</w:t>
      </w:r>
    </w:p>
    <w:p>
      <w:pPr>
        <w:spacing w:after="0" w:line="125" w:lineRule="exact"/>
        <w:rPr>
          <w:sz w:val="20"/>
          <w:szCs w:val="20"/>
          <w:color w:val="auto"/>
        </w:rPr>
      </w:pPr>
    </w:p>
    <w:p>
      <w:pPr>
        <w:jc w:val="both"/>
        <w:ind w:firstLine="656"/>
        <w:spacing w:after="0" w:line="262" w:lineRule="auto"/>
        <w:tabs>
          <w:tab w:leader="none" w:pos="1104" w:val="left"/>
        </w:tabs>
        <w:numPr>
          <w:ilvl w:val="0"/>
          <w:numId w:val="112"/>
        </w:numPr>
        <w:rPr>
          <w:rFonts w:ascii="Arial" w:cs="Arial" w:eastAsia="Arial" w:hAnsi="Arial"/>
          <w:sz w:val="18"/>
          <w:szCs w:val="18"/>
          <w:b w:val="1"/>
          <w:bCs w:val="1"/>
          <w:color w:val="51555C"/>
        </w:rPr>
      </w:pPr>
      <w:r>
        <w:rPr>
          <w:rFonts w:ascii="Arial" w:cs="Arial" w:eastAsia="Arial" w:hAnsi="Arial"/>
          <w:sz w:val="18"/>
          <w:szCs w:val="18"/>
          <w:b w:val="1"/>
          <w:bCs w:val="1"/>
          <w:color w:val="51555C"/>
        </w:rPr>
        <w:t>Additions to the Share Reserve</w:t>
      </w:r>
      <w:r>
        <w:rPr>
          <w:rFonts w:ascii="Arial" w:cs="Arial" w:eastAsia="Arial" w:hAnsi="Arial"/>
          <w:sz w:val="18"/>
          <w:szCs w:val="18"/>
          <w:color w:val="51555C"/>
        </w:rPr>
        <w:t>. The Share Reserve also shall be increased from time to time by a number of shares equal</w:t>
      </w:r>
      <w:r>
        <w:rPr>
          <w:rFonts w:ascii="Arial" w:cs="Arial" w:eastAsia="Arial" w:hAnsi="Arial"/>
          <w:sz w:val="18"/>
          <w:szCs w:val="18"/>
          <w:b w:val="1"/>
          <w:bCs w:val="1"/>
          <w:color w:val="51555C"/>
        </w:rPr>
        <w:t xml:space="preserve"> </w:t>
      </w:r>
      <w:r>
        <w:rPr>
          <w:rFonts w:ascii="Arial" w:cs="Arial" w:eastAsia="Arial" w:hAnsi="Arial"/>
          <w:sz w:val="18"/>
          <w:szCs w:val="18"/>
          <w:color w:val="51555C"/>
        </w:rPr>
        <w:t>to the number of shares of Common Stock that (i) are issuable pursuant to awards outstanding under the Prior Plan as of the Effective Date and (ii) but for the termination of the Prior Plan as of the Effective Date, would otherwise have reverted to the share reserve of the Prior Plan pursuant to the provisions thereof.</w:t>
      </w:r>
    </w:p>
    <w:p>
      <w:pPr>
        <w:spacing w:after="0" w:line="333"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92</w:t>
      </w:r>
      <w:r>
        <w:rPr>
          <w:sz w:val="20"/>
          <w:szCs w:val="20"/>
          <w:color w:val="auto"/>
        </w:rPr>
        <w:tab/>
      </w:r>
      <w:r>
        <w:rPr>
          <w:sz w:val="1"/>
          <w:szCs w:val="1"/>
          <w:color w:val="auto"/>
        </w:rPr>
        <w:drawing>
          <wp:inline distT="0" distB="0" distL="0" distR="0">
            <wp:extent cx="702945" cy="111125"/>
            <wp:effectExtent l="0" t="0" r="0" b="0"/>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94" w:name="page95"/>
    <w:bookmarkEnd w:id="94"/>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9440"/>
        <w:spacing w:after="0"/>
        <w:rPr>
          <w:sz w:val="20"/>
          <w:szCs w:val="20"/>
          <w:color w:val="auto"/>
        </w:rPr>
      </w:pPr>
      <w:r>
        <w:rPr>
          <w:rFonts w:ascii="Arial" w:cs="Arial" w:eastAsia="Arial" w:hAnsi="Arial"/>
          <w:sz w:val="18"/>
          <w:szCs w:val="18"/>
          <w:b w:val="1"/>
          <w:bCs w:val="1"/>
          <w:color w:val="51555C"/>
        </w:rPr>
        <w:t>APPENDICES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firstLine="656"/>
        <w:spacing w:after="0" w:line="287" w:lineRule="auto"/>
        <w:tabs>
          <w:tab w:leader="none" w:pos="1149" w:val="left"/>
        </w:tabs>
        <w:numPr>
          <w:ilvl w:val="0"/>
          <w:numId w:val="113"/>
        </w:numPr>
        <w:rPr>
          <w:rFonts w:ascii="Arial" w:cs="Arial" w:eastAsia="Arial" w:hAnsi="Arial"/>
          <w:sz w:val="18"/>
          <w:szCs w:val="18"/>
          <w:b w:val="1"/>
          <w:bCs w:val="1"/>
          <w:color w:val="51555C"/>
        </w:rPr>
      </w:pPr>
      <w:r>
        <w:rPr>
          <w:rFonts w:ascii="Arial" w:cs="Arial" w:eastAsia="Arial" w:hAnsi="Arial"/>
          <w:sz w:val="18"/>
          <w:szCs w:val="18"/>
          <w:b w:val="1"/>
          <w:bCs w:val="1"/>
          <w:color w:val="51555C"/>
        </w:rPr>
        <w:t>Source of Shares</w:t>
      </w:r>
      <w:r>
        <w:rPr>
          <w:rFonts w:ascii="Arial" w:cs="Arial" w:eastAsia="Arial" w:hAnsi="Arial"/>
          <w:sz w:val="18"/>
          <w:szCs w:val="18"/>
          <w:color w:val="51555C"/>
        </w:rPr>
        <w:t>. The stock issuable under the Plan shall be shares of authorized but unissued or reacquired Common</w:t>
      </w:r>
      <w:r>
        <w:rPr>
          <w:rFonts w:ascii="Arial" w:cs="Arial" w:eastAsia="Arial" w:hAnsi="Arial"/>
          <w:sz w:val="18"/>
          <w:szCs w:val="18"/>
          <w:b w:val="1"/>
          <w:bCs w:val="1"/>
          <w:color w:val="51555C"/>
        </w:rPr>
        <w:t xml:space="preserve"> </w:t>
      </w:r>
      <w:r>
        <w:rPr>
          <w:rFonts w:ascii="Arial" w:cs="Arial" w:eastAsia="Arial" w:hAnsi="Arial"/>
          <w:sz w:val="18"/>
          <w:szCs w:val="18"/>
          <w:color w:val="51555C"/>
        </w:rPr>
        <w:t>Stock, including shares repurchased by the Company on the open market.</w:t>
      </w:r>
    </w:p>
    <w:p>
      <w:pPr>
        <w:spacing w:after="0" w:line="98" w:lineRule="exact"/>
        <w:rPr>
          <w:rFonts w:ascii="Arial" w:cs="Arial" w:eastAsia="Arial" w:hAnsi="Arial"/>
          <w:sz w:val="18"/>
          <w:szCs w:val="18"/>
          <w:b w:val="1"/>
          <w:bCs w:val="1"/>
          <w:color w:val="51555C"/>
        </w:rPr>
      </w:pPr>
    </w:p>
    <w:p>
      <w:pPr>
        <w:jc w:val="both"/>
        <w:ind w:firstLine="656"/>
        <w:spacing w:after="0" w:line="268" w:lineRule="auto"/>
        <w:tabs>
          <w:tab w:leader="none" w:pos="1212" w:val="left"/>
        </w:tabs>
        <w:numPr>
          <w:ilvl w:val="0"/>
          <w:numId w:val="113"/>
        </w:numPr>
        <w:rPr>
          <w:rFonts w:ascii="Arial" w:cs="Arial" w:eastAsia="Arial" w:hAnsi="Arial"/>
          <w:sz w:val="18"/>
          <w:szCs w:val="18"/>
          <w:b w:val="1"/>
          <w:bCs w:val="1"/>
          <w:color w:val="51555C"/>
        </w:rPr>
      </w:pPr>
      <w:r>
        <w:rPr>
          <w:rFonts w:ascii="Arial" w:cs="Arial" w:eastAsia="Arial" w:hAnsi="Arial"/>
          <w:sz w:val="18"/>
          <w:szCs w:val="18"/>
          <w:b w:val="1"/>
          <w:bCs w:val="1"/>
          <w:color w:val="51555C"/>
        </w:rPr>
        <w:t>Incentive Stock Option Limit</w:t>
      </w:r>
      <w:r>
        <w:rPr>
          <w:rFonts w:ascii="Arial" w:cs="Arial" w:eastAsia="Arial" w:hAnsi="Arial"/>
          <w:sz w:val="18"/>
          <w:szCs w:val="18"/>
          <w:color w:val="51555C"/>
        </w:rPr>
        <w:t>. Notwithstanding anything to the contrary in this Section 3, subject to the provisions of</w:t>
      </w:r>
      <w:r>
        <w:rPr>
          <w:rFonts w:ascii="Arial" w:cs="Arial" w:eastAsia="Arial" w:hAnsi="Arial"/>
          <w:sz w:val="18"/>
          <w:szCs w:val="18"/>
          <w:b w:val="1"/>
          <w:bCs w:val="1"/>
          <w:color w:val="51555C"/>
        </w:rPr>
        <w:t xml:space="preserve"> </w:t>
      </w:r>
      <w:r>
        <w:rPr>
          <w:rFonts w:ascii="Arial" w:cs="Arial" w:eastAsia="Arial" w:hAnsi="Arial"/>
          <w:sz w:val="18"/>
          <w:szCs w:val="18"/>
          <w:color w:val="51555C"/>
        </w:rPr>
        <w:t>Section 11(a) relating to Capitalization Adjustments, the aggregate maximum number of shares of Common Stock that may be issued pursuant to the exercise of Incentive Stock Options shall be five million (5,000,000) shares of Common Stock.</w:t>
      </w:r>
    </w:p>
    <w:p>
      <w:pPr>
        <w:spacing w:after="0" w:line="116" w:lineRule="exact"/>
        <w:rPr>
          <w:rFonts w:ascii="Arial" w:cs="Arial" w:eastAsia="Arial" w:hAnsi="Arial"/>
          <w:sz w:val="18"/>
          <w:szCs w:val="18"/>
          <w:b w:val="1"/>
          <w:bCs w:val="1"/>
          <w:color w:val="51555C"/>
        </w:rPr>
      </w:pPr>
    </w:p>
    <w:p>
      <w:pPr>
        <w:ind w:left="1080" w:hanging="424"/>
        <w:spacing w:after="0"/>
        <w:tabs>
          <w:tab w:leader="none" w:pos="1080" w:val="left"/>
        </w:tabs>
        <w:numPr>
          <w:ilvl w:val="0"/>
          <w:numId w:val="113"/>
        </w:numPr>
        <w:rPr>
          <w:rFonts w:ascii="Arial" w:cs="Arial" w:eastAsia="Arial" w:hAnsi="Arial"/>
          <w:sz w:val="18"/>
          <w:szCs w:val="18"/>
          <w:b w:val="1"/>
          <w:bCs w:val="1"/>
          <w:color w:val="51555C"/>
        </w:rPr>
      </w:pPr>
      <w:r>
        <w:rPr>
          <w:rFonts w:ascii="Arial" w:cs="Arial" w:eastAsia="Arial" w:hAnsi="Arial"/>
          <w:sz w:val="18"/>
          <w:szCs w:val="18"/>
          <w:b w:val="1"/>
          <w:bCs w:val="1"/>
          <w:color w:val="51555C"/>
        </w:rPr>
        <w:t>Award Limitations for Individuals</w:t>
      </w:r>
      <w:r>
        <w:rPr>
          <w:rFonts w:ascii="Arial" w:cs="Arial" w:eastAsia="Arial" w:hAnsi="Arial"/>
          <w:sz w:val="18"/>
          <w:szCs w:val="18"/>
          <w:color w:val="51555C"/>
        </w:rPr>
        <w:t>. Awards granted under the Plan shall be subject to the following limitations:</w:t>
      </w:r>
    </w:p>
    <w:p>
      <w:pPr>
        <w:spacing w:after="0" w:line="171" w:lineRule="exact"/>
        <w:rPr>
          <w:rFonts w:ascii="Arial" w:cs="Arial" w:eastAsia="Arial" w:hAnsi="Arial"/>
          <w:sz w:val="18"/>
          <w:szCs w:val="18"/>
          <w:b w:val="1"/>
          <w:bCs w:val="1"/>
          <w:color w:val="51555C"/>
        </w:rPr>
      </w:pPr>
    </w:p>
    <w:p>
      <w:pPr>
        <w:jc w:val="both"/>
        <w:ind w:firstLine="1304"/>
        <w:spacing w:after="0" w:line="268" w:lineRule="auto"/>
        <w:tabs>
          <w:tab w:leader="none" w:pos="1720" w:val="left"/>
        </w:tabs>
        <w:numPr>
          <w:ilvl w:val="1"/>
          <w:numId w:val="113"/>
        </w:numPr>
        <w:rPr>
          <w:rFonts w:ascii="Arial" w:cs="Arial" w:eastAsia="Arial" w:hAnsi="Arial"/>
          <w:sz w:val="18"/>
          <w:szCs w:val="18"/>
          <w:b w:val="1"/>
          <w:bCs w:val="1"/>
          <w:color w:val="51555C"/>
        </w:rPr>
      </w:pPr>
      <w:r>
        <w:rPr>
          <w:rFonts w:ascii="Arial" w:cs="Arial" w:eastAsia="Arial" w:hAnsi="Arial"/>
          <w:sz w:val="18"/>
          <w:szCs w:val="18"/>
          <w:color w:val="51555C"/>
        </w:rPr>
        <w:t>No Participant shall be granted, during any one (1) calendar year, Options and/or Stock Appreciation Rights (whether such Stock Appreciation Rights may be settled in shares of Common Stock, cash or a combination thereof) in respect of or covering in the aggregate more than One Million (1,000,000) shares of Common Stock.</w:t>
      </w:r>
    </w:p>
    <w:p>
      <w:pPr>
        <w:spacing w:after="0" w:line="116" w:lineRule="exact"/>
        <w:rPr>
          <w:rFonts w:ascii="Arial" w:cs="Arial" w:eastAsia="Arial" w:hAnsi="Arial"/>
          <w:sz w:val="18"/>
          <w:szCs w:val="18"/>
          <w:b w:val="1"/>
          <w:bCs w:val="1"/>
          <w:color w:val="51555C"/>
        </w:rPr>
      </w:pPr>
    </w:p>
    <w:p>
      <w:pPr>
        <w:jc w:val="both"/>
        <w:ind w:firstLine="1304"/>
        <w:spacing w:after="0" w:line="268" w:lineRule="auto"/>
        <w:tabs>
          <w:tab w:leader="none" w:pos="1824" w:val="left"/>
        </w:tabs>
        <w:numPr>
          <w:ilvl w:val="1"/>
          <w:numId w:val="113"/>
        </w:numPr>
        <w:rPr>
          <w:rFonts w:ascii="Arial" w:cs="Arial" w:eastAsia="Arial" w:hAnsi="Arial"/>
          <w:sz w:val="18"/>
          <w:szCs w:val="18"/>
          <w:b w:val="1"/>
          <w:bCs w:val="1"/>
          <w:color w:val="51555C"/>
        </w:rPr>
      </w:pPr>
      <w:r>
        <w:rPr>
          <w:rFonts w:ascii="Arial" w:cs="Arial" w:eastAsia="Arial" w:hAnsi="Arial"/>
          <w:sz w:val="18"/>
          <w:szCs w:val="18"/>
          <w:color w:val="51555C"/>
        </w:rPr>
        <w:t>No Participant shall be granted, during any one (1) calendar year, Stock Awards other than Options and/or Stock Appreciation Rights (whether such Stock Awards may be settled in shares of Common Stock, cash or a combination thereof) consisting of, covering or relating to in the aggregate more than one million (1,000,000) shares of Common Stock.</w:t>
      </w:r>
    </w:p>
    <w:p>
      <w:pPr>
        <w:spacing w:after="0" w:line="116" w:lineRule="exact"/>
        <w:rPr>
          <w:rFonts w:ascii="Arial" w:cs="Arial" w:eastAsia="Arial" w:hAnsi="Arial"/>
          <w:sz w:val="18"/>
          <w:szCs w:val="18"/>
          <w:b w:val="1"/>
          <w:bCs w:val="1"/>
          <w:color w:val="51555C"/>
        </w:rPr>
      </w:pPr>
    </w:p>
    <w:p>
      <w:pPr>
        <w:jc w:val="both"/>
        <w:ind w:firstLine="1304"/>
        <w:spacing w:after="0" w:line="268" w:lineRule="auto"/>
        <w:tabs>
          <w:tab w:leader="none" w:pos="1821" w:val="left"/>
        </w:tabs>
        <w:numPr>
          <w:ilvl w:val="1"/>
          <w:numId w:val="113"/>
        </w:numPr>
        <w:rPr>
          <w:rFonts w:ascii="Arial" w:cs="Arial" w:eastAsia="Arial" w:hAnsi="Arial"/>
          <w:sz w:val="18"/>
          <w:szCs w:val="18"/>
          <w:b w:val="1"/>
          <w:bCs w:val="1"/>
          <w:color w:val="51555C"/>
        </w:rPr>
      </w:pPr>
      <w:r>
        <w:rPr>
          <w:rFonts w:ascii="Arial" w:cs="Arial" w:eastAsia="Arial" w:hAnsi="Arial"/>
          <w:sz w:val="18"/>
          <w:szCs w:val="18"/>
          <w:color w:val="51555C"/>
        </w:rPr>
        <w:t>The maximum amount that can be paid to any Participant pursuant to a Cash Incentive Award with respect to (A) a Performance Period that is twelve (12) months or less shall be fifteen million dollars ($15,000,000) and (B) a Performance Period that is more than twelve (12) months shall be twenty million dollars ($20,000,000).</w:t>
      </w:r>
    </w:p>
    <w:p>
      <w:pPr>
        <w:spacing w:after="0" w:line="116" w:lineRule="exact"/>
        <w:rPr>
          <w:rFonts w:ascii="Arial" w:cs="Arial" w:eastAsia="Arial" w:hAnsi="Arial"/>
          <w:sz w:val="18"/>
          <w:szCs w:val="18"/>
          <w:b w:val="1"/>
          <w:bCs w:val="1"/>
          <w:color w:val="51555C"/>
        </w:rPr>
      </w:pPr>
    </w:p>
    <w:p>
      <w:pPr>
        <w:jc w:val="both"/>
        <w:ind w:firstLine="1304"/>
        <w:spacing w:after="0" w:line="268" w:lineRule="auto"/>
        <w:tabs>
          <w:tab w:leader="none" w:pos="1839" w:val="left"/>
        </w:tabs>
        <w:numPr>
          <w:ilvl w:val="1"/>
          <w:numId w:val="113"/>
        </w:numPr>
        <w:rPr>
          <w:rFonts w:ascii="Arial" w:cs="Arial" w:eastAsia="Arial" w:hAnsi="Arial"/>
          <w:sz w:val="18"/>
          <w:szCs w:val="18"/>
          <w:b w:val="1"/>
          <w:bCs w:val="1"/>
          <w:color w:val="51555C"/>
        </w:rPr>
      </w:pPr>
      <w:r>
        <w:rPr>
          <w:rFonts w:ascii="Arial" w:cs="Arial" w:eastAsia="Arial" w:hAnsi="Arial"/>
          <w:sz w:val="18"/>
          <w:szCs w:val="18"/>
          <w:color w:val="51555C"/>
        </w:rPr>
        <w:t>Notwithstanding the foregoing, no Participant who is a Non-Employee Director shall be granted, during any one (1) calendar year, Stock Awards (whether such Stock Awards may be settled in shares of Common Stock, cash or a combination thereof) consisting of, covering or relating to in the aggregate more than three hundred thousand (300,000) shares of Common Stock.</w:t>
      </w:r>
    </w:p>
    <w:p>
      <w:pPr>
        <w:spacing w:after="0" w:line="117" w:lineRule="exact"/>
        <w:rPr>
          <w:sz w:val="20"/>
          <w:szCs w:val="20"/>
          <w:color w:val="auto"/>
        </w:rPr>
      </w:pPr>
    </w:p>
    <w:p>
      <w:pPr>
        <w:jc w:val="both"/>
        <w:ind w:firstLine="251"/>
        <w:spacing w:after="0" w:line="268" w:lineRule="auto"/>
        <w:rPr>
          <w:sz w:val="20"/>
          <w:szCs w:val="20"/>
          <w:color w:val="auto"/>
        </w:rPr>
      </w:pPr>
      <w:r>
        <w:rPr>
          <w:rFonts w:ascii="Arial" w:cs="Arial" w:eastAsia="Arial" w:hAnsi="Arial"/>
          <w:sz w:val="18"/>
          <w:szCs w:val="18"/>
          <w:color w:val="51555C"/>
        </w:rPr>
        <w:t>The maximum individual limits in this Section 3(e) shall be subject to adjustment as provided in Section 11(a). The foregoing limitations shall apply to all Awards and also shall be applied in a manner that will permit Awards that are intended to satisfy the Section 162(m) Exception to meet the applicable requirements thereunder.</w:t>
      </w:r>
    </w:p>
    <w:p>
      <w:pPr>
        <w:spacing w:after="0" w:line="117" w:lineRule="exact"/>
        <w:rPr>
          <w:sz w:val="20"/>
          <w:szCs w:val="20"/>
          <w:color w:val="auto"/>
        </w:rPr>
      </w:pPr>
    </w:p>
    <w:p>
      <w:pPr>
        <w:jc w:val="both"/>
        <w:ind w:firstLine="656"/>
        <w:spacing w:after="0" w:line="254" w:lineRule="auto"/>
        <w:tabs>
          <w:tab w:leader="none" w:pos="1122" w:val="left"/>
        </w:tabs>
        <w:numPr>
          <w:ilvl w:val="1"/>
          <w:numId w:val="114"/>
        </w:numPr>
        <w:rPr>
          <w:rFonts w:ascii="Arial" w:cs="Arial" w:eastAsia="Arial" w:hAnsi="Arial"/>
          <w:sz w:val="18"/>
          <w:szCs w:val="18"/>
          <w:b w:val="1"/>
          <w:bCs w:val="1"/>
          <w:color w:val="51555C"/>
        </w:rPr>
      </w:pPr>
      <w:r>
        <w:rPr>
          <w:rFonts w:ascii="Arial" w:cs="Arial" w:eastAsia="Arial" w:hAnsi="Arial"/>
          <w:sz w:val="18"/>
          <w:szCs w:val="18"/>
          <w:b w:val="1"/>
          <w:bCs w:val="1"/>
          <w:color w:val="51555C"/>
        </w:rPr>
        <w:t>Minimum Vesting Requirements</w:t>
      </w:r>
      <w:r>
        <w:rPr>
          <w:rFonts w:ascii="Arial" w:cs="Arial" w:eastAsia="Arial" w:hAnsi="Arial"/>
          <w:sz w:val="18"/>
          <w:szCs w:val="18"/>
          <w:color w:val="51555C"/>
        </w:rPr>
        <w:t>. The Committee shall determine the time or times at which an Award will vest, become</w:t>
      </w:r>
      <w:r>
        <w:rPr>
          <w:rFonts w:ascii="Arial" w:cs="Arial" w:eastAsia="Arial" w:hAnsi="Arial"/>
          <w:sz w:val="18"/>
          <w:szCs w:val="18"/>
          <w:b w:val="1"/>
          <w:bCs w:val="1"/>
          <w:color w:val="51555C"/>
        </w:rPr>
        <w:t xml:space="preserve"> </w:t>
      </w:r>
      <w:r>
        <w:rPr>
          <w:rFonts w:ascii="Arial" w:cs="Arial" w:eastAsia="Arial" w:hAnsi="Arial"/>
          <w:sz w:val="18"/>
          <w:szCs w:val="18"/>
          <w:color w:val="51555C"/>
        </w:rPr>
        <w:t xml:space="preserve">exercisable or the restrictions thereon shall lapse and the terms on which an Award requiring exercise will become and remain exercisable; </w:t>
      </w:r>
      <w:r>
        <w:rPr>
          <w:rFonts w:ascii="Arial" w:cs="Arial" w:eastAsia="Arial" w:hAnsi="Arial"/>
          <w:sz w:val="18"/>
          <w:szCs w:val="18"/>
          <w:i w:val="1"/>
          <w:iCs w:val="1"/>
          <w:color w:val="51555C"/>
        </w:rPr>
        <w:t>provided, however</w:t>
      </w:r>
      <w:r>
        <w:rPr>
          <w:rFonts w:ascii="Arial" w:cs="Arial" w:eastAsia="Arial" w:hAnsi="Arial"/>
          <w:sz w:val="18"/>
          <w:szCs w:val="18"/>
          <w:color w:val="51555C"/>
        </w:rPr>
        <w:t>, that except in the case of substitute Awards granted pursuant to Section 4(d) or as otherwise provided herein, an Award</w:t>
      </w:r>
      <w:r>
        <w:rPr>
          <w:rFonts w:ascii="Arial" w:cs="Arial" w:eastAsia="Arial" w:hAnsi="Arial"/>
          <w:sz w:val="18"/>
          <w:szCs w:val="18"/>
          <w:i w:val="1"/>
          <w:iCs w:val="1"/>
          <w:color w:val="51555C"/>
        </w:rPr>
        <w:t xml:space="preserve"> </w:t>
      </w:r>
      <w:r>
        <w:rPr>
          <w:rFonts w:ascii="Arial" w:cs="Arial" w:eastAsia="Arial" w:hAnsi="Arial"/>
          <w:sz w:val="18"/>
          <w:szCs w:val="18"/>
          <w:color w:val="51555C"/>
        </w:rPr>
        <w:t>shall not vest (or the restrictions shall not lapse) in less than one (1) year. Awards to Non-Employee Directors that vest on the earlier of the one-year anniversary of the date of grant and the next annual meeting of stockholders shall be deemed to meet this requirement. Notwithstanding the foregoing, the Committee may provide at the time of grant of an Award or thereafter for accelerated vesting (or lapse of restrictions) in connection with the Participant’s death, Disability, a Change in Control, changes in applicable laws, or, subject to the minimum vesting period above, at any other time. Notwithstanding anything herein to the contrary, up to a maximum of five percent (5%) of the aggregate shares of Common Stock authorized for issuance under Section 3(a) of the Plan (as subject to adjustment in accordance with Section 11 of the Plan) may be subject to Awards that do not satisfy the minimum vesting periods and/or that provide for acceleration upon other circumstances.</w:t>
      </w:r>
    </w:p>
    <w:p>
      <w:pPr>
        <w:spacing w:after="0" w:line="128" w:lineRule="exact"/>
        <w:rPr>
          <w:rFonts w:ascii="Arial" w:cs="Arial" w:eastAsia="Arial" w:hAnsi="Arial"/>
          <w:sz w:val="18"/>
          <w:szCs w:val="18"/>
          <w:b w:val="1"/>
          <w:bCs w:val="1"/>
          <w:color w:val="51555C"/>
        </w:rPr>
      </w:pPr>
    </w:p>
    <w:p>
      <w:pPr>
        <w:ind w:left="360" w:hanging="352"/>
        <w:spacing w:after="0"/>
        <w:tabs>
          <w:tab w:leader="none" w:pos="360" w:val="left"/>
        </w:tabs>
        <w:numPr>
          <w:ilvl w:val="0"/>
          <w:numId w:val="115"/>
        </w:numPr>
        <w:rPr>
          <w:rFonts w:ascii="Arial" w:cs="Arial" w:eastAsia="Arial" w:hAnsi="Arial"/>
          <w:sz w:val="18"/>
          <w:szCs w:val="18"/>
          <w:b w:val="1"/>
          <w:bCs w:val="1"/>
          <w:color w:val="51555C"/>
        </w:rPr>
      </w:pPr>
      <w:r>
        <w:rPr>
          <w:rFonts w:ascii="Arial" w:cs="Arial" w:eastAsia="Arial" w:hAnsi="Arial"/>
          <w:sz w:val="18"/>
          <w:szCs w:val="18"/>
          <w:b w:val="1"/>
          <w:bCs w:val="1"/>
          <w:color w:val="51555C"/>
        </w:rPr>
        <w:t>ELIGIBILITY</w:t>
      </w:r>
    </w:p>
    <w:p>
      <w:pPr>
        <w:spacing w:after="0" w:line="171" w:lineRule="exact"/>
        <w:rPr>
          <w:rFonts w:ascii="Arial" w:cs="Arial" w:eastAsia="Arial" w:hAnsi="Arial"/>
          <w:sz w:val="18"/>
          <w:szCs w:val="18"/>
          <w:b w:val="1"/>
          <w:bCs w:val="1"/>
          <w:color w:val="51555C"/>
        </w:rPr>
      </w:pPr>
    </w:p>
    <w:p>
      <w:pPr>
        <w:jc w:val="both"/>
        <w:ind w:firstLine="656"/>
        <w:spacing w:after="0" w:line="254" w:lineRule="auto"/>
        <w:tabs>
          <w:tab w:leader="none" w:pos="1108" w:val="left"/>
        </w:tabs>
        <w:numPr>
          <w:ilvl w:val="1"/>
          <w:numId w:val="115"/>
        </w:numPr>
        <w:rPr>
          <w:rFonts w:ascii="Arial" w:cs="Arial" w:eastAsia="Arial" w:hAnsi="Arial"/>
          <w:sz w:val="18"/>
          <w:szCs w:val="18"/>
          <w:b w:val="1"/>
          <w:bCs w:val="1"/>
          <w:color w:val="51555C"/>
        </w:rPr>
      </w:pPr>
      <w:r>
        <w:rPr>
          <w:rFonts w:ascii="Arial" w:cs="Arial" w:eastAsia="Arial" w:hAnsi="Arial"/>
          <w:sz w:val="18"/>
          <w:szCs w:val="18"/>
          <w:b w:val="1"/>
          <w:bCs w:val="1"/>
          <w:color w:val="51555C"/>
        </w:rPr>
        <w:t>Eligibility for Specific Stock Awards</w:t>
      </w:r>
      <w:r>
        <w:rPr>
          <w:rFonts w:ascii="Arial" w:cs="Arial" w:eastAsia="Arial" w:hAnsi="Arial"/>
          <w:sz w:val="18"/>
          <w:szCs w:val="18"/>
          <w:color w:val="51555C"/>
        </w:rPr>
        <w:t>. Incentive Stock Options may be granted only to Employees. Stock Awards other than</w:t>
      </w:r>
      <w:r>
        <w:rPr>
          <w:rFonts w:ascii="Arial" w:cs="Arial" w:eastAsia="Arial" w:hAnsi="Arial"/>
          <w:sz w:val="18"/>
          <w:szCs w:val="18"/>
          <w:b w:val="1"/>
          <w:bCs w:val="1"/>
          <w:color w:val="51555C"/>
        </w:rPr>
        <w:t xml:space="preserve"> </w:t>
      </w:r>
      <w:r>
        <w:rPr>
          <w:rFonts w:ascii="Arial" w:cs="Arial" w:eastAsia="Arial" w:hAnsi="Arial"/>
          <w:sz w:val="18"/>
          <w:szCs w:val="18"/>
          <w:color w:val="51555C"/>
        </w:rPr>
        <w:t>Incentive Stock Options may be granted to Employees, Directors and Consultants. Cash Incentive Awards may be granted only to Employees. In determining the individuals to whom an Award shall be granted and the terms and conditions of such Award, the Committee may take into account any factors it deems relevant, including the duties of the individual, the Committee’s assessment of the individual’s present and potential contributions to the success of the Company or its Affiliates and such other factors as the Committee shall deem appropriate in connection with accomplishing the purposes of the Plan. Such determinations made by the Committee under the Plan need not be uniform and may be made selectively among eligible individuals under the Plan, whether or not such individuals are similarly situated. No person shall have the right to be selected to receive an Award under this Plan. Subject to the Award limits set forth in Section 3(e), a Participant may be granted more than one (1) Award under the Plan, and a grant made hereunder in any one (1) year to a Participant shall neither guarantee nor preclude a further grant to such Participant in that year or any subsequent years.</w:t>
      </w:r>
    </w:p>
    <w:p>
      <w:pPr>
        <w:spacing w:after="0" w:line="131" w:lineRule="exact"/>
        <w:rPr>
          <w:rFonts w:ascii="Arial" w:cs="Arial" w:eastAsia="Arial" w:hAnsi="Arial"/>
          <w:sz w:val="18"/>
          <w:szCs w:val="18"/>
          <w:b w:val="1"/>
          <w:bCs w:val="1"/>
          <w:color w:val="51555C"/>
        </w:rPr>
      </w:pPr>
    </w:p>
    <w:p>
      <w:pPr>
        <w:jc w:val="both"/>
        <w:ind w:firstLine="656"/>
        <w:spacing w:after="0" w:line="268" w:lineRule="auto"/>
        <w:tabs>
          <w:tab w:leader="none" w:pos="1131" w:val="left"/>
        </w:tabs>
        <w:numPr>
          <w:ilvl w:val="1"/>
          <w:numId w:val="115"/>
        </w:numPr>
        <w:rPr>
          <w:rFonts w:ascii="Arial" w:cs="Arial" w:eastAsia="Arial" w:hAnsi="Arial"/>
          <w:sz w:val="18"/>
          <w:szCs w:val="18"/>
          <w:b w:val="1"/>
          <w:bCs w:val="1"/>
          <w:color w:val="51555C"/>
        </w:rPr>
      </w:pPr>
      <w:r>
        <w:rPr>
          <w:rFonts w:ascii="Arial" w:cs="Arial" w:eastAsia="Arial" w:hAnsi="Arial"/>
          <w:sz w:val="18"/>
          <w:szCs w:val="18"/>
          <w:b w:val="1"/>
          <w:bCs w:val="1"/>
          <w:color w:val="51555C"/>
        </w:rPr>
        <w:t>Ten Percent Stockholders</w:t>
      </w:r>
      <w:r>
        <w:rPr>
          <w:rFonts w:ascii="Arial" w:cs="Arial" w:eastAsia="Arial" w:hAnsi="Arial"/>
          <w:sz w:val="18"/>
          <w:szCs w:val="18"/>
          <w:color w:val="51555C"/>
        </w:rPr>
        <w:t>. A Ten Percent Stockholder shall not be granted an Incentive Stock Option unless the exercise</w:t>
      </w:r>
      <w:r>
        <w:rPr>
          <w:rFonts w:ascii="Arial" w:cs="Arial" w:eastAsia="Arial" w:hAnsi="Arial"/>
          <w:sz w:val="18"/>
          <w:szCs w:val="18"/>
          <w:b w:val="1"/>
          <w:bCs w:val="1"/>
          <w:color w:val="51555C"/>
        </w:rPr>
        <w:t xml:space="preserve"> </w:t>
      </w:r>
      <w:r>
        <w:rPr>
          <w:rFonts w:ascii="Arial" w:cs="Arial" w:eastAsia="Arial" w:hAnsi="Arial"/>
          <w:sz w:val="18"/>
          <w:szCs w:val="18"/>
          <w:color w:val="51555C"/>
        </w:rPr>
        <w:t>price of such Option is at least one hundred ten percent (110%) of the Fair Market Value of the Common Stock on the date of grant of the Option and the Option is not exercisable after the expiration of five (5) years from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214630</wp:posOffset>
            </wp:positionV>
            <wp:extent cx="702945" cy="11112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93</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95" w:name="page96"/>
    <w:bookmarkEnd w:id="95"/>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APPENDICES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both"/>
        <w:ind w:firstLine="656"/>
        <w:spacing w:after="0" w:line="268" w:lineRule="auto"/>
        <w:tabs>
          <w:tab w:leader="none" w:pos="1081" w:val="left"/>
        </w:tabs>
        <w:numPr>
          <w:ilvl w:val="1"/>
          <w:numId w:val="116"/>
        </w:numPr>
        <w:rPr>
          <w:rFonts w:ascii="Arial" w:cs="Arial" w:eastAsia="Arial" w:hAnsi="Arial"/>
          <w:sz w:val="18"/>
          <w:szCs w:val="18"/>
          <w:b w:val="1"/>
          <w:bCs w:val="1"/>
          <w:color w:val="51555C"/>
        </w:rPr>
      </w:pPr>
      <w:r>
        <w:rPr>
          <w:rFonts w:ascii="Arial" w:cs="Arial" w:eastAsia="Arial" w:hAnsi="Arial"/>
          <w:sz w:val="18"/>
          <w:szCs w:val="18"/>
          <w:b w:val="1"/>
          <w:bCs w:val="1"/>
          <w:color w:val="51555C"/>
        </w:rPr>
        <w:t>Consultants</w:t>
      </w:r>
      <w:r>
        <w:rPr>
          <w:rFonts w:ascii="Arial" w:cs="Arial" w:eastAsia="Arial" w:hAnsi="Arial"/>
          <w:sz w:val="18"/>
          <w:szCs w:val="18"/>
          <w:color w:val="51555C"/>
        </w:rPr>
        <w:t>. A Consultant shall be eligible for the grant of a Stock Award only if, at the time of grant, a Form S-8 Registration</w:t>
      </w:r>
      <w:r>
        <w:rPr>
          <w:rFonts w:ascii="Arial" w:cs="Arial" w:eastAsia="Arial" w:hAnsi="Arial"/>
          <w:sz w:val="18"/>
          <w:szCs w:val="18"/>
          <w:b w:val="1"/>
          <w:bCs w:val="1"/>
          <w:color w:val="51555C"/>
        </w:rPr>
        <w:t xml:space="preserve"> </w:t>
      </w:r>
      <w:r>
        <w:rPr>
          <w:rFonts w:ascii="Arial" w:cs="Arial" w:eastAsia="Arial" w:hAnsi="Arial"/>
          <w:sz w:val="18"/>
          <w:szCs w:val="18"/>
          <w:color w:val="51555C"/>
        </w:rPr>
        <w:t>Statement under the Securities Act (“</w:t>
      </w:r>
      <w:r>
        <w:rPr>
          <w:rFonts w:ascii="Arial" w:cs="Arial" w:eastAsia="Arial" w:hAnsi="Arial"/>
          <w:sz w:val="18"/>
          <w:szCs w:val="18"/>
          <w:b w:val="1"/>
          <w:bCs w:val="1"/>
          <w:i w:val="1"/>
          <w:iCs w:val="1"/>
          <w:color w:val="51555C"/>
        </w:rPr>
        <w:t>Form S-8</w:t>
      </w:r>
      <w:r>
        <w:rPr>
          <w:rFonts w:ascii="Arial" w:cs="Arial" w:eastAsia="Arial" w:hAnsi="Arial"/>
          <w:sz w:val="18"/>
          <w:szCs w:val="18"/>
          <w:color w:val="51555C"/>
        </w:rPr>
        <w:t>”) is available to register either the offer or the sale of the Company’s securities to such Consultant.</w:t>
      </w:r>
    </w:p>
    <w:p>
      <w:pPr>
        <w:spacing w:after="0" w:line="116" w:lineRule="exact"/>
        <w:rPr>
          <w:rFonts w:ascii="Arial" w:cs="Arial" w:eastAsia="Arial" w:hAnsi="Arial"/>
          <w:sz w:val="18"/>
          <w:szCs w:val="18"/>
          <w:b w:val="1"/>
          <w:bCs w:val="1"/>
          <w:color w:val="51555C"/>
        </w:rPr>
      </w:pPr>
    </w:p>
    <w:p>
      <w:pPr>
        <w:jc w:val="both"/>
        <w:ind w:firstLine="656"/>
        <w:spacing w:after="0" w:line="259" w:lineRule="auto"/>
        <w:tabs>
          <w:tab w:leader="none" w:pos="1077" w:val="left"/>
        </w:tabs>
        <w:numPr>
          <w:ilvl w:val="1"/>
          <w:numId w:val="116"/>
        </w:numPr>
        <w:rPr>
          <w:rFonts w:ascii="Arial" w:cs="Arial" w:eastAsia="Arial" w:hAnsi="Arial"/>
          <w:sz w:val="18"/>
          <w:szCs w:val="18"/>
          <w:b w:val="1"/>
          <w:bCs w:val="1"/>
          <w:color w:val="51555C"/>
        </w:rPr>
      </w:pPr>
      <w:r>
        <w:rPr>
          <w:rFonts w:ascii="Arial" w:cs="Arial" w:eastAsia="Arial" w:hAnsi="Arial"/>
          <w:sz w:val="18"/>
          <w:szCs w:val="18"/>
          <w:b w:val="1"/>
          <w:bCs w:val="1"/>
          <w:color w:val="51555C"/>
        </w:rPr>
        <w:t>Substitute Awards</w:t>
      </w:r>
      <w:r>
        <w:rPr>
          <w:rFonts w:ascii="Arial" w:cs="Arial" w:eastAsia="Arial" w:hAnsi="Arial"/>
          <w:sz w:val="18"/>
          <w:szCs w:val="18"/>
          <w:color w:val="51555C"/>
        </w:rPr>
        <w:t>. The Committee may grant Awards under the Plan in substitution for stock and stock-based awards held by</w:t>
      </w:r>
      <w:r>
        <w:rPr>
          <w:rFonts w:ascii="Arial" w:cs="Arial" w:eastAsia="Arial" w:hAnsi="Arial"/>
          <w:sz w:val="18"/>
          <w:szCs w:val="18"/>
          <w:b w:val="1"/>
          <w:bCs w:val="1"/>
          <w:color w:val="51555C"/>
        </w:rPr>
        <w:t xml:space="preserve"> </w:t>
      </w:r>
      <w:r>
        <w:rPr>
          <w:rFonts w:ascii="Arial" w:cs="Arial" w:eastAsia="Arial" w:hAnsi="Arial"/>
          <w:sz w:val="18"/>
          <w:szCs w:val="18"/>
          <w:color w:val="51555C"/>
        </w:rPr>
        <w:t>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125" w:lineRule="exact"/>
        <w:rPr>
          <w:rFonts w:ascii="Arial" w:cs="Arial" w:eastAsia="Arial" w:hAnsi="Arial"/>
          <w:sz w:val="18"/>
          <w:szCs w:val="18"/>
          <w:b w:val="1"/>
          <w:bCs w:val="1"/>
          <w:color w:val="51555C"/>
        </w:rPr>
      </w:pPr>
    </w:p>
    <w:p>
      <w:pPr>
        <w:ind w:left="360" w:hanging="352"/>
        <w:spacing w:after="0"/>
        <w:tabs>
          <w:tab w:leader="none" w:pos="360" w:val="left"/>
        </w:tabs>
        <w:numPr>
          <w:ilvl w:val="0"/>
          <w:numId w:val="117"/>
        </w:numPr>
        <w:rPr>
          <w:rFonts w:ascii="Arial" w:cs="Arial" w:eastAsia="Arial" w:hAnsi="Arial"/>
          <w:sz w:val="18"/>
          <w:szCs w:val="18"/>
          <w:b w:val="1"/>
          <w:bCs w:val="1"/>
          <w:color w:val="51555C"/>
        </w:rPr>
      </w:pPr>
      <w:r>
        <w:rPr>
          <w:rFonts w:ascii="Arial" w:cs="Arial" w:eastAsia="Arial" w:hAnsi="Arial"/>
          <w:sz w:val="18"/>
          <w:szCs w:val="18"/>
          <w:b w:val="1"/>
          <w:bCs w:val="1"/>
          <w:color w:val="51555C"/>
        </w:rPr>
        <w:t>OPTIONS AND STOCK APPRECIATION RIGHTS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51555C"/>
        </w:rPr>
        <w:t xml:space="preserve">Each Option and Stock Appreciation Right shall be in such form and shall contain such terms and conditions as the Committee shall deem appropriate. All Options shall be separately designated Incentive Stock Options or Nonstatutory Stock Options at the time of grant, and, if certificates are issued, a separate certificate or certificates shall be issued for shares of Common Stock purchased on exercise of each type of Option. If an Option is not specifically designated as an Incentive Stock Option, then the Option shall be a Nonstatutory Stock Option. Stock Appreciation Rights may be granted as stand-alone Stock Awards or in tandem with other Stock Awards. The provisions of separate Options and Stock Appreciation Rights need not be identical; </w:t>
      </w:r>
      <w:r>
        <w:rPr>
          <w:rFonts w:ascii="Arial" w:cs="Arial" w:eastAsia="Arial" w:hAnsi="Arial"/>
          <w:sz w:val="18"/>
          <w:szCs w:val="18"/>
          <w:i w:val="1"/>
          <w:iCs w:val="1"/>
          <w:color w:val="51555C"/>
        </w:rPr>
        <w:t>provided, however</w:t>
      </w:r>
      <w:r>
        <w:rPr>
          <w:rFonts w:ascii="Arial" w:cs="Arial" w:eastAsia="Arial" w:hAnsi="Arial"/>
          <w:sz w:val="18"/>
          <w:szCs w:val="18"/>
          <w:color w:val="51555C"/>
        </w:rPr>
        <w:t>, that each Option Agreement and Stock Appreciation Right Agreement shall conform to (through incorporation of provisions hereof by reference in the Stock Award Agreement or otherwise) the substance of each of the following provisions:</w:t>
      </w:r>
    </w:p>
    <w:p>
      <w:pPr>
        <w:spacing w:after="0" w:line="131" w:lineRule="exact"/>
        <w:rPr>
          <w:sz w:val="20"/>
          <w:szCs w:val="20"/>
          <w:color w:val="auto"/>
        </w:rPr>
      </w:pPr>
    </w:p>
    <w:p>
      <w:pPr>
        <w:jc w:val="both"/>
        <w:ind w:firstLine="656"/>
        <w:spacing w:after="0" w:line="268" w:lineRule="auto"/>
        <w:tabs>
          <w:tab w:leader="none" w:pos="1135" w:val="left"/>
        </w:tabs>
        <w:numPr>
          <w:ilvl w:val="0"/>
          <w:numId w:val="118"/>
        </w:numPr>
        <w:rPr>
          <w:rFonts w:ascii="Arial" w:cs="Arial" w:eastAsia="Arial" w:hAnsi="Arial"/>
          <w:sz w:val="18"/>
          <w:szCs w:val="18"/>
          <w:b w:val="1"/>
          <w:bCs w:val="1"/>
          <w:color w:val="51555C"/>
        </w:rPr>
      </w:pPr>
      <w:r>
        <w:rPr>
          <w:rFonts w:ascii="Arial" w:cs="Arial" w:eastAsia="Arial" w:hAnsi="Arial"/>
          <w:sz w:val="18"/>
          <w:szCs w:val="18"/>
          <w:b w:val="1"/>
          <w:bCs w:val="1"/>
          <w:color w:val="51555C"/>
        </w:rPr>
        <w:t>Term</w:t>
      </w:r>
      <w:r>
        <w:rPr>
          <w:rFonts w:ascii="Arial" w:cs="Arial" w:eastAsia="Arial" w:hAnsi="Arial"/>
          <w:sz w:val="18"/>
          <w:szCs w:val="18"/>
          <w:color w:val="51555C"/>
        </w:rPr>
        <w:t>. Subject to the provisions of Section 4(b) regarding Ten Percent Stockholders, no Option or Stock Appreciation Right</w:t>
      </w:r>
      <w:r>
        <w:rPr>
          <w:rFonts w:ascii="Arial" w:cs="Arial" w:eastAsia="Arial" w:hAnsi="Arial"/>
          <w:sz w:val="18"/>
          <w:szCs w:val="18"/>
          <w:b w:val="1"/>
          <w:bCs w:val="1"/>
          <w:color w:val="51555C"/>
        </w:rPr>
        <w:t xml:space="preserve"> </w:t>
      </w:r>
      <w:r>
        <w:rPr>
          <w:rFonts w:ascii="Arial" w:cs="Arial" w:eastAsia="Arial" w:hAnsi="Arial"/>
          <w:sz w:val="18"/>
          <w:szCs w:val="18"/>
          <w:color w:val="51555C"/>
        </w:rPr>
        <w:t>shall be exercisable after the expiration of ten (10) years from the date of its grant or such shorter period specified in the Stock Award Agreement. A Stock Appreciation Right granted in tandem with an Option shall have the same term as the Option to which it relates.</w:t>
      </w:r>
    </w:p>
    <w:p>
      <w:pPr>
        <w:spacing w:after="0" w:line="116" w:lineRule="exact"/>
        <w:rPr>
          <w:rFonts w:ascii="Arial" w:cs="Arial" w:eastAsia="Arial" w:hAnsi="Arial"/>
          <w:sz w:val="18"/>
          <w:szCs w:val="18"/>
          <w:b w:val="1"/>
          <w:bCs w:val="1"/>
          <w:color w:val="51555C"/>
        </w:rPr>
      </w:pPr>
    </w:p>
    <w:p>
      <w:pPr>
        <w:jc w:val="both"/>
        <w:ind w:firstLine="656"/>
        <w:spacing w:after="0" w:line="257" w:lineRule="auto"/>
        <w:tabs>
          <w:tab w:leader="none" w:pos="1104" w:val="left"/>
        </w:tabs>
        <w:numPr>
          <w:ilvl w:val="0"/>
          <w:numId w:val="118"/>
        </w:numPr>
        <w:rPr>
          <w:rFonts w:ascii="Arial" w:cs="Arial" w:eastAsia="Arial" w:hAnsi="Arial"/>
          <w:sz w:val="18"/>
          <w:szCs w:val="18"/>
          <w:b w:val="1"/>
          <w:bCs w:val="1"/>
          <w:color w:val="51555C"/>
        </w:rPr>
      </w:pPr>
      <w:r>
        <w:rPr>
          <w:rFonts w:ascii="Arial" w:cs="Arial" w:eastAsia="Arial" w:hAnsi="Arial"/>
          <w:sz w:val="18"/>
          <w:szCs w:val="18"/>
          <w:b w:val="1"/>
          <w:bCs w:val="1"/>
          <w:color w:val="51555C"/>
        </w:rPr>
        <w:t>Exercise Price for Options</w:t>
      </w:r>
      <w:r>
        <w:rPr>
          <w:rFonts w:ascii="Arial" w:cs="Arial" w:eastAsia="Arial" w:hAnsi="Arial"/>
          <w:sz w:val="18"/>
          <w:szCs w:val="18"/>
          <w:color w:val="51555C"/>
        </w:rPr>
        <w:t>. Subject to the provisions of Section 4(b) regarding Ten Percent Stockholders, the exercise price</w:t>
      </w:r>
      <w:r>
        <w:rPr>
          <w:rFonts w:ascii="Arial" w:cs="Arial" w:eastAsia="Arial" w:hAnsi="Arial"/>
          <w:sz w:val="18"/>
          <w:szCs w:val="18"/>
          <w:b w:val="1"/>
          <w:bCs w:val="1"/>
          <w:color w:val="51555C"/>
        </w:rPr>
        <w:t xml:space="preserve"> </w:t>
      </w:r>
      <w:r>
        <w:rPr>
          <w:rFonts w:ascii="Arial" w:cs="Arial" w:eastAsia="Arial" w:hAnsi="Arial"/>
          <w:sz w:val="18"/>
          <w:szCs w:val="18"/>
          <w:color w:val="51555C"/>
        </w:rPr>
        <w:t>of each Option shall be not less than one hundred percent (100%) of the Fair Market Value of the Common Stock subject to the Option on the date the Option is granted. Notwithstanding the foregoing, an Option may be granted with an exercise price lower than one hundred percent (100%) of the Fair Market Value of the Common Stock subject to the Option if such Option is granted pursuant to an assumption of or substitution for another option in a manner consistent with the provisions of Section 409A and Section 424(a) of the Code (whether or not such options are Incentive Stock Options).</w:t>
      </w:r>
    </w:p>
    <w:p>
      <w:pPr>
        <w:spacing w:after="0" w:line="128" w:lineRule="exact"/>
        <w:rPr>
          <w:rFonts w:ascii="Arial" w:cs="Arial" w:eastAsia="Arial" w:hAnsi="Arial"/>
          <w:sz w:val="18"/>
          <w:szCs w:val="18"/>
          <w:b w:val="1"/>
          <w:bCs w:val="1"/>
          <w:color w:val="51555C"/>
        </w:rPr>
      </w:pPr>
    </w:p>
    <w:p>
      <w:pPr>
        <w:jc w:val="both"/>
        <w:ind w:firstLine="656"/>
        <w:spacing w:after="0" w:line="268" w:lineRule="auto"/>
        <w:tabs>
          <w:tab w:leader="none" w:pos="1081" w:val="left"/>
        </w:tabs>
        <w:numPr>
          <w:ilvl w:val="0"/>
          <w:numId w:val="118"/>
        </w:numPr>
        <w:rPr>
          <w:rFonts w:ascii="Arial" w:cs="Arial" w:eastAsia="Arial" w:hAnsi="Arial"/>
          <w:sz w:val="18"/>
          <w:szCs w:val="18"/>
          <w:b w:val="1"/>
          <w:bCs w:val="1"/>
          <w:color w:val="51555C"/>
        </w:rPr>
      </w:pPr>
      <w:r>
        <w:rPr>
          <w:rFonts w:ascii="Arial" w:cs="Arial" w:eastAsia="Arial" w:hAnsi="Arial"/>
          <w:sz w:val="18"/>
          <w:szCs w:val="18"/>
          <w:b w:val="1"/>
          <w:bCs w:val="1"/>
          <w:color w:val="51555C"/>
        </w:rPr>
        <w:t>Strike Price for Stock Appreciation Rights</w:t>
      </w:r>
      <w:r>
        <w:rPr>
          <w:rFonts w:ascii="Arial" w:cs="Arial" w:eastAsia="Arial" w:hAnsi="Arial"/>
          <w:sz w:val="18"/>
          <w:szCs w:val="18"/>
          <w:color w:val="51555C"/>
        </w:rPr>
        <w:t>. Each Stock Appreciation Right will be denominated in shares of Common Stock</w:t>
      </w:r>
      <w:r>
        <w:rPr>
          <w:rFonts w:ascii="Arial" w:cs="Arial" w:eastAsia="Arial" w:hAnsi="Arial"/>
          <w:sz w:val="18"/>
          <w:szCs w:val="18"/>
          <w:b w:val="1"/>
          <w:bCs w:val="1"/>
          <w:color w:val="51555C"/>
        </w:rPr>
        <w:t xml:space="preserve"> </w:t>
      </w:r>
      <w:r>
        <w:rPr>
          <w:rFonts w:ascii="Arial" w:cs="Arial" w:eastAsia="Arial" w:hAnsi="Arial"/>
          <w:sz w:val="18"/>
          <w:szCs w:val="18"/>
          <w:color w:val="51555C"/>
        </w:rPr>
        <w:t>equivalents. The strike price of each Stock Appreciation Right shall not be less than one hundred percent (100%) of the Fair Market Value of the equivalent number of shares of Common Stock subject to the Stock Appreciation Right on the date of grant.</w:t>
      </w:r>
    </w:p>
    <w:p>
      <w:pPr>
        <w:spacing w:after="0" w:line="116" w:lineRule="exact"/>
        <w:rPr>
          <w:rFonts w:ascii="Arial" w:cs="Arial" w:eastAsia="Arial" w:hAnsi="Arial"/>
          <w:sz w:val="18"/>
          <w:szCs w:val="18"/>
          <w:b w:val="1"/>
          <w:bCs w:val="1"/>
          <w:color w:val="51555C"/>
        </w:rPr>
      </w:pPr>
    </w:p>
    <w:p>
      <w:pPr>
        <w:jc w:val="both"/>
        <w:ind w:firstLine="656"/>
        <w:spacing w:after="0" w:line="257" w:lineRule="auto"/>
        <w:tabs>
          <w:tab w:leader="none" w:pos="1077" w:val="left"/>
        </w:tabs>
        <w:numPr>
          <w:ilvl w:val="0"/>
          <w:numId w:val="118"/>
        </w:numPr>
        <w:rPr>
          <w:rFonts w:ascii="Arial" w:cs="Arial" w:eastAsia="Arial" w:hAnsi="Arial"/>
          <w:sz w:val="18"/>
          <w:szCs w:val="18"/>
          <w:b w:val="1"/>
          <w:bCs w:val="1"/>
          <w:color w:val="51555C"/>
        </w:rPr>
      </w:pPr>
      <w:r>
        <w:rPr>
          <w:rFonts w:ascii="Arial" w:cs="Arial" w:eastAsia="Arial" w:hAnsi="Arial"/>
          <w:sz w:val="18"/>
          <w:szCs w:val="18"/>
          <w:b w:val="1"/>
          <w:bCs w:val="1"/>
          <w:color w:val="51555C"/>
        </w:rPr>
        <w:t>Calculation of Appreciation for Stock Appreciation Rights</w:t>
      </w:r>
      <w:r>
        <w:rPr>
          <w:rFonts w:ascii="Arial" w:cs="Arial" w:eastAsia="Arial" w:hAnsi="Arial"/>
          <w:sz w:val="18"/>
          <w:szCs w:val="18"/>
          <w:color w:val="51555C"/>
        </w:rPr>
        <w:t>. The appreciation distribution payable on the exercise of a Stock</w:t>
      </w:r>
      <w:r>
        <w:rPr>
          <w:rFonts w:ascii="Arial" w:cs="Arial" w:eastAsia="Arial" w:hAnsi="Arial"/>
          <w:sz w:val="18"/>
          <w:szCs w:val="18"/>
          <w:b w:val="1"/>
          <w:bCs w:val="1"/>
          <w:color w:val="51555C"/>
        </w:rPr>
        <w:t xml:space="preserve"> </w:t>
      </w:r>
      <w:r>
        <w:rPr>
          <w:rFonts w:ascii="Arial" w:cs="Arial" w:eastAsia="Arial" w:hAnsi="Arial"/>
          <w:sz w:val="18"/>
          <w:szCs w:val="18"/>
          <w:color w:val="51555C"/>
        </w:rPr>
        <w:t>Appreciation Right will be not greater than an amount equal to the excess of (i) the aggregate Fair Market Value on the date of the exercise of the Stock Appreciation Right of a number of shares of Common Stock equal to the number of shares of Common Stock equivalents in which the Participant is vested under such Stock Appreciation Right, and with respect to which the Participant is exercising the Stock Appreciation Right on such date, over (ii) the strike price. Notwithstanding the foregoing, the Committee may specify in a Stock Appreciation Right Agreement that the amount payable upon the exercise of a Stock Appreciation Right shall not exceed a designated amount.</w:t>
      </w:r>
    </w:p>
    <w:p>
      <w:pPr>
        <w:spacing w:after="0" w:line="128" w:lineRule="exact"/>
        <w:rPr>
          <w:rFonts w:ascii="Arial" w:cs="Arial" w:eastAsia="Arial" w:hAnsi="Arial"/>
          <w:sz w:val="18"/>
          <w:szCs w:val="18"/>
          <w:b w:val="1"/>
          <w:bCs w:val="1"/>
          <w:color w:val="51555C"/>
        </w:rPr>
      </w:pPr>
    </w:p>
    <w:p>
      <w:pPr>
        <w:jc w:val="both"/>
        <w:ind w:firstLine="656"/>
        <w:spacing w:after="0" w:line="254" w:lineRule="auto"/>
        <w:tabs>
          <w:tab w:leader="none" w:pos="1135" w:val="left"/>
        </w:tabs>
        <w:numPr>
          <w:ilvl w:val="0"/>
          <w:numId w:val="118"/>
        </w:numPr>
        <w:rPr>
          <w:rFonts w:ascii="Arial" w:cs="Arial" w:eastAsia="Arial" w:hAnsi="Arial"/>
          <w:sz w:val="18"/>
          <w:szCs w:val="18"/>
          <w:b w:val="1"/>
          <w:bCs w:val="1"/>
          <w:color w:val="51555C"/>
        </w:rPr>
      </w:pPr>
      <w:r>
        <w:rPr>
          <w:rFonts w:ascii="Arial" w:cs="Arial" w:eastAsia="Arial" w:hAnsi="Arial"/>
          <w:sz w:val="18"/>
          <w:szCs w:val="18"/>
          <w:b w:val="1"/>
          <w:bCs w:val="1"/>
          <w:color w:val="51555C"/>
        </w:rPr>
        <w:t>Vesting</w:t>
      </w:r>
      <w:r>
        <w:rPr>
          <w:rFonts w:ascii="Arial" w:cs="Arial" w:eastAsia="Arial" w:hAnsi="Arial"/>
          <w:sz w:val="18"/>
          <w:szCs w:val="18"/>
          <w:color w:val="51555C"/>
        </w:rPr>
        <w:t>. Subject to Section 3(f), the total number of shares of Common Stock subject to an Option and an award of Stock</w:t>
      </w:r>
      <w:r>
        <w:rPr>
          <w:rFonts w:ascii="Arial" w:cs="Arial" w:eastAsia="Arial" w:hAnsi="Arial"/>
          <w:sz w:val="18"/>
          <w:szCs w:val="18"/>
          <w:b w:val="1"/>
          <w:bCs w:val="1"/>
          <w:color w:val="51555C"/>
        </w:rPr>
        <w:t xml:space="preserve"> </w:t>
      </w:r>
      <w:r>
        <w:rPr>
          <w:rFonts w:ascii="Arial" w:cs="Arial" w:eastAsia="Arial" w:hAnsi="Arial"/>
          <w:sz w:val="18"/>
          <w:szCs w:val="18"/>
          <w:color w:val="51555C"/>
        </w:rPr>
        <w:t>Appreciation Rights may vest in whole or in part (and therefore become exercisable in periodic installments that may or may not be equal) at such time(s) as set forth in the Stock Award Agreement. The Committee may impose such conditions and restrictions on the grant or vesting of an Option or Stock Appreciation Right as it determines, including but not limited to restrictions based upon the occurrence of a specific event, continued service for a period of time or other time-based restrictions, or the achievement of financial or other business objectives (including Performance Goals). The vesting provisions of individual Options or Stock Appreciation Rights may vary. Except as otherwise provided in the Stock Award Agreement, the right to purchase shares of Common Stock under Options that become exercisable in periodic installments shall be cumulative so that such shares of Common Stock (or any part thereof) may be purchased thereafter until the expiration or termination of the Option, and the right to exercise Stock Appreciation Rights that become exercisable in periodic installments shall be cumulative so that such Stock Appreciation Rights (or any part thereof) may be exercised thereafter until the expiration or termination of the Stock Appreciation Rights.</w:t>
      </w:r>
    </w:p>
    <w:p>
      <w:pPr>
        <w:spacing w:after="0" w:line="339"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94</w:t>
      </w:r>
      <w:r>
        <w:rPr>
          <w:sz w:val="20"/>
          <w:szCs w:val="20"/>
          <w:color w:val="auto"/>
        </w:rPr>
        <w:tab/>
      </w:r>
      <w:r>
        <w:rPr>
          <w:sz w:val="1"/>
          <w:szCs w:val="1"/>
          <w:color w:val="auto"/>
        </w:rPr>
        <w:drawing>
          <wp:inline distT="0" distB="0" distL="0" distR="0">
            <wp:extent cx="702945" cy="111760"/>
            <wp:effectExtent l="0" t="0" r="0" b="0"/>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02945" cy="111760"/>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96" w:name="page97"/>
    <w:bookmarkEnd w:id="96"/>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9440"/>
        <w:spacing w:after="0"/>
        <w:rPr>
          <w:sz w:val="20"/>
          <w:szCs w:val="20"/>
          <w:color w:val="auto"/>
        </w:rPr>
      </w:pPr>
      <w:r>
        <w:rPr>
          <w:rFonts w:ascii="Arial" w:cs="Arial" w:eastAsia="Arial" w:hAnsi="Arial"/>
          <w:sz w:val="18"/>
          <w:szCs w:val="18"/>
          <w:b w:val="1"/>
          <w:bCs w:val="1"/>
          <w:color w:val="51555C"/>
        </w:rPr>
        <w:t>APPENDICES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656"/>
        <w:spacing w:after="0" w:line="262" w:lineRule="auto"/>
        <w:tabs>
          <w:tab w:leader="none" w:pos="1041" w:val="left"/>
        </w:tabs>
        <w:numPr>
          <w:ilvl w:val="0"/>
          <w:numId w:val="119"/>
        </w:numPr>
        <w:rPr>
          <w:rFonts w:ascii="Arial" w:cs="Arial" w:eastAsia="Arial" w:hAnsi="Arial"/>
          <w:sz w:val="18"/>
          <w:szCs w:val="18"/>
          <w:b w:val="1"/>
          <w:bCs w:val="1"/>
          <w:color w:val="51555C"/>
        </w:rPr>
      </w:pPr>
      <w:r>
        <w:rPr>
          <w:rFonts w:ascii="Arial" w:cs="Arial" w:eastAsia="Arial" w:hAnsi="Arial"/>
          <w:sz w:val="18"/>
          <w:szCs w:val="18"/>
          <w:b w:val="1"/>
          <w:bCs w:val="1"/>
          <w:color w:val="51555C"/>
        </w:rPr>
        <w:t>Exercise of Options</w:t>
      </w:r>
      <w:r>
        <w:rPr>
          <w:rFonts w:ascii="Arial" w:cs="Arial" w:eastAsia="Arial" w:hAnsi="Arial"/>
          <w:sz w:val="18"/>
          <w:szCs w:val="18"/>
          <w:color w:val="51555C"/>
        </w:rPr>
        <w:t>. To exercise any outstanding vested Option, the Participant must provide written notice of exercise to the</w:t>
      </w:r>
      <w:r>
        <w:rPr>
          <w:rFonts w:ascii="Arial" w:cs="Arial" w:eastAsia="Arial" w:hAnsi="Arial"/>
          <w:sz w:val="18"/>
          <w:szCs w:val="18"/>
          <w:b w:val="1"/>
          <w:bCs w:val="1"/>
          <w:color w:val="51555C"/>
        </w:rPr>
        <w:t xml:space="preserve"> </w:t>
      </w:r>
      <w:r>
        <w:rPr>
          <w:rFonts w:ascii="Arial" w:cs="Arial" w:eastAsia="Arial" w:hAnsi="Arial"/>
          <w:sz w:val="18"/>
          <w:szCs w:val="18"/>
          <w:color w:val="51555C"/>
        </w:rPr>
        <w:t>Company (or its designated delegate) in compliance with the provisions of the Option Agreement evidencing such Option. The provisions of this Section 5(f) are subject to any Option provisions governing the minimum number of shares of Common Stock as to which an Option may be exercised at a given time.</w:t>
      </w:r>
    </w:p>
    <w:p>
      <w:pPr>
        <w:spacing w:after="0" w:line="122" w:lineRule="exact"/>
        <w:rPr>
          <w:rFonts w:ascii="Arial" w:cs="Arial" w:eastAsia="Arial" w:hAnsi="Arial"/>
          <w:sz w:val="18"/>
          <w:szCs w:val="18"/>
          <w:b w:val="1"/>
          <w:bCs w:val="1"/>
          <w:color w:val="51555C"/>
        </w:rPr>
      </w:pPr>
    </w:p>
    <w:p>
      <w:pPr>
        <w:jc w:val="both"/>
        <w:ind w:firstLine="656"/>
        <w:spacing w:after="0" w:line="257" w:lineRule="auto"/>
        <w:tabs>
          <w:tab w:leader="none" w:pos="1091" w:val="left"/>
        </w:tabs>
        <w:numPr>
          <w:ilvl w:val="0"/>
          <w:numId w:val="119"/>
        </w:numPr>
        <w:rPr>
          <w:rFonts w:ascii="Arial" w:cs="Arial" w:eastAsia="Arial" w:hAnsi="Arial"/>
          <w:sz w:val="18"/>
          <w:szCs w:val="18"/>
          <w:b w:val="1"/>
          <w:bCs w:val="1"/>
          <w:color w:val="51555C"/>
        </w:rPr>
      </w:pPr>
      <w:r>
        <w:rPr>
          <w:rFonts w:ascii="Arial" w:cs="Arial" w:eastAsia="Arial" w:hAnsi="Arial"/>
          <w:sz w:val="18"/>
          <w:szCs w:val="18"/>
          <w:b w:val="1"/>
          <w:bCs w:val="1"/>
          <w:color w:val="51555C"/>
        </w:rPr>
        <w:t>Payment Upon Option Exercise</w:t>
      </w:r>
      <w:r>
        <w:rPr>
          <w:rFonts w:ascii="Arial" w:cs="Arial" w:eastAsia="Arial" w:hAnsi="Arial"/>
          <w:sz w:val="18"/>
          <w:szCs w:val="18"/>
          <w:color w:val="51555C"/>
        </w:rPr>
        <w:t>. The purchase price of Common Stock acquired pursuant to the exercise of an Option shall</w:t>
      </w:r>
      <w:r>
        <w:rPr>
          <w:rFonts w:ascii="Arial" w:cs="Arial" w:eastAsia="Arial" w:hAnsi="Arial"/>
          <w:sz w:val="18"/>
          <w:szCs w:val="18"/>
          <w:b w:val="1"/>
          <w:bCs w:val="1"/>
          <w:color w:val="51555C"/>
        </w:rPr>
        <w:t xml:space="preserve"> </w:t>
      </w:r>
      <w:r>
        <w:rPr>
          <w:rFonts w:ascii="Arial" w:cs="Arial" w:eastAsia="Arial" w:hAnsi="Arial"/>
          <w:sz w:val="18"/>
          <w:szCs w:val="18"/>
          <w:color w:val="51555C"/>
        </w:rPr>
        <w:t>be paid, to the extent permitted by applicable law and as determined by the Committee in its sole discretion, by any combination of the methods of payment set forth below. The Committee shall have the authority to grant Options that do not permit all of the following methods of payment (or otherwise restrict the ability to use certain methods) and to grant Options that require the consent of the Committee (or for non-Exchange Act Persons, the Company) to utilize a particular method of payment. Subject to applicable law and such rules and procedures as may be established by the Committee, the methods of payment permitted by this Section 5(g) are:</w:t>
      </w:r>
    </w:p>
    <w:p>
      <w:pPr>
        <w:spacing w:after="0" w:line="128" w:lineRule="exact"/>
        <w:rPr>
          <w:rFonts w:ascii="Arial" w:cs="Arial" w:eastAsia="Arial" w:hAnsi="Arial"/>
          <w:sz w:val="18"/>
          <w:szCs w:val="18"/>
          <w:b w:val="1"/>
          <w:bCs w:val="1"/>
          <w:color w:val="51555C"/>
        </w:rPr>
      </w:pPr>
    </w:p>
    <w:p>
      <w:pPr>
        <w:ind w:left="1680" w:hanging="376"/>
        <w:spacing w:after="0"/>
        <w:tabs>
          <w:tab w:leader="none" w:pos="1680" w:val="left"/>
        </w:tabs>
        <w:numPr>
          <w:ilvl w:val="1"/>
          <w:numId w:val="119"/>
        </w:numPr>
        <w:rPr>
          <w:rFonts w:ascii="Arial" w:cs="Arial" w:eastAsia="Arial" w:hAnsi="Arial"/>
          <w:sz w:val="18"/>
          <w:szCs w:val="18"/>
          <w:b w:val="1"/>
          <w:bCs w:val="1"/>
          <w:color w:val="51555C"/>
        </w:rPr>
      </w:pPr>
      <w:r>
        <w:rPr>
          <w:rFonts w:ascii="Arial" w:cs="Arial" w:eastAsia="Arial" w:hAnsi="Arial"/>
          <w:sz w:val="18"/>
          <w:szCs w:val="18"/>
          <w:color w:val="51555C"/>
        </w:rPr>
        <w:t>by cash, check, bank draft or money order payable to the Company;</w:t>
      </w:r>
    </w:p>
    <w:p>
      <w:pPr>
        <w:spacing w:after="0" w:line="171" w:lineRule="exact"/>
        <w:rPr>
          <w:rFonts w:ascii="Arial" w:cs="Arial" w:eastAsia="Arial" w:hAnsi="Arial"/>
          <w:sz w:val="18"/>
          <w:szCs w:val="18"/>
          <w:b w:val="1"/>
          <w:bCs w:val="1"/>
          <w:color w:val="51555C"/>
        </w:rPr>
      </w:pPr>
    </w:p>
    <w:p>
      <w:pPr>
        <w:jc w:val="both"/>
        <w:ind w:firstLine="1304"/>
        <w:spacing w:after="0" w:line="268" w:lineRule="auto"/>
        <w:tabs>
          <w:tab w:leader="none" w:pos="1757" w:val="left"/>
        </w:tabs>
        <w:numPr>
          <w:ilvl w:val="1"/>
          <w:numId w:val="119"/>
        </w:numPr>
        <w:rPr>
          <w:rFonts w:ascii="Arial" w:cs="Arial" w:eastAsia="Arial" w:hAnsi="Arial"/>
          <w:sz w:val="18"/>
          <w:szCs w:val="18"/>
          <w:b w:val="1"/>
          <w:bCs w:val="1"/>
          <w:color w:val="51555C"/>
        </w:rPr>
      </w:pPr>
      <w:r>
        <w:rPr>
          <w:rFonts w:ascii="Arial" w:cs="Arial" w:eastAsia="Arial" w:hAnsi="Arial"/>
          <w:sz w:val="18"/>
          <w:szCs w:val="18"/>
          <w:color w:val="51555C"/>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16" w:lineRule="exact"/>
        <w:rPr>
          <w:rFonts w:ascii="Arial" w:cs="Arial" w:eastAsia="Arial" w:hAnsi="Arial"/>
          <w:sz w:val="18"/>
          <w:szCs w:val="18"/>
          <w:b w:val="1"/>
          <w:bCs w:val="1"/>
          <w:color w:val="51555C"/>
        </w:rPr>
      </w:pPr>
    </w:p>
    <w:p>
      <w:pPr>
        <w:jc w:val="both"/>
        <w:ind w:firstLine="1304"/>
        <w:spacing w:after="0" w:line="268" w:lineRule="auto"/>
        <w:tabs>
          <w:tab w:leader="none" w:pos="1902" w:val="left"/>
        </w:tabs>
        <w:numPr>
          <w:ilvl w:val="1"/>
          <w:numId w:val="119"/>
        </w:numPr>
        <w:rPr>
          <w:rFonts w:ascii="Arial" w:cs="Arial" w:eastAsia="Arial" w:hAnsi="Arial"/>
          <w:sz w:val="18"/>
          <w:szCs w:val="18"/>
          <w:b w:val="1"/>
          <w:bCs w:val="1"/>
          <w:color w:val="51555C"/>
        </w:rPr>
      </w:pPr>
      <w:r>
        <w:rPr>
          <w:rFonts w:ascii="Arial" w:cs="Arial" w:eastAsia="Arial" w:hAnsi="Arial"/>
          <w:sz w:val="18"/>
          <w:szCs w:val="18"/>
          <w:color w:val="51555C"/>
        </w:rPr>
        <w:t>by delivery to the Company (either by actual delivery or attestation) of shares of Common Stock (provided that accepting such shares will not result in any adverse accounting consequences to the Company, as the Committee determines in its sole discretion);</w:t>
      </w:r>
    </w:p>
    <w:p>
      <w:pPr>
        <w:spacing w:after="0" w:line="116" w:lineRule="exact"/>
        <w:rPr>
          <w:rFonts w:ascii="Arial" w:cs="Arial" w:eastAsia="Arial" w:hAnsi="Arial"/>
          <w:sz w:val="18"/>
          <w:szCs w:val="18"/>
          <w:b w:val="1"/>
          <w:bCs w:val="1"/>
          <w:color w:val="51555C"/>
        </w:rPr>
      </w:pPr>
    </w:p>
    <w:p>
      <w:pPr>
        <w:jc w:val="both"/>
        <w:ind w:firstLine="1304"/>
        <w:spacing w:after="0" w:line="256" w:lineRule="auto"/>
        <w:tabs>
          <w:tab w:leader="none" w:pos="1803" w:val="left"/>
        </w:tabs>
        <w:numPr>
          <w:ilvl w:val="1"/>
          <w:numId w:val="119"/>
        </w:numPr>
        <w:rPr>
          <w:rFonts w:ascii="Arial" w:cs="Arial" w:eastAsia="Arial" w:hAnsi="Arial"/>
          <w:sz w:val="18"/>
          <w:szCs w:val="18"/>
          <w:b w:val="1"/>
          <w:bCs w:val="1"/>
          <w:color w:val="51555C"/>
        </w:rPr>
      </w:pPr>
      <w:r>
        <w:rPr>
          <w:rFonts w:ascii="Arial" w:cs="Arial" w:eastAsia="Arial" w:hAnsi="Arial"/>
          <w:sz w:val="18"/>
          <w:szCs w:val="18"/>
          <w:color w:val="51555C"/>
        </w:rPr>
        <w:t xml:space="preserve">by a “net exercise” arrangement pursuant to which the Company will reduce the number of shares of Common Stock issuable upon exercise by the largest whole number of shares with a Fair Market Value that does not exceed the aggregate exercise price; </w:t>
      </w:r>
      <w:r>
        <w:rPr>
          <w:rFonts w:ascii="Arial" w:cs="Arial" w:eastAsia="Arial" w:hAnsi="Arial"/>
          <w:sz w:val="18"/>
          <w:szCs w:val="18"/>
          <w:i w:val="1"/>
          <w:iCs w:val="1"/>
          <w:color w:val="51555C"/>
        </w:rPr>
        <w:t xml:space="preserve">provided, however, </w:t>
      </w:r>
      <w:r>
        <w:rPr>
          <w:rFonts w:ascii="Arial" w:cs="Arial" w:eastAsia="Arial" w:hAnsi="Arial"/>
          <w:sz w:val="18"/>
          <w:szCs w:val="18"/>
          <w:color w:val="51555C"/>
        </w:rPr>
        <w:t>that the Company shall accept a cash or other payment from the Participant to the extent of any remaining balance of the</w:t>
      </w:r>
      <w:r>
        <w:rPr>
          <w:rFonts w:ascii="Arial" w:cs="Arial" w:eastAsia="Arial" w:hAnsi="Arial"/>
          <w:sz w:val="18"/>
          <w:szCs w:val="18"/>
          <w:i w:val="1"/>
          <w:iCs w:val="1"/>
          <w:color w:val="51555C"/>
        </w:rPr>
        <w:t xml:space="preserve"> </w:t>
      </w:r>
      <w:r>
        <w:rPr>
          <w:rFonts w:ascii="Arial" w:cs="Arial" w:eastAsia="Arial" w:hAnsi="Arial"/>
          <w:sz w:val="18"/>
          <w:szCs w:val="18"/>
          <w:color w:val="51555C"/>
        </w:rPr>
        <w:t xml:space="preserve">aggregate exercise price not satisfied by such reduction in the number of whole shares to be issued; </w:t>
      </w:r>
      <w:r>
        <w:rPr>
          <w:rFonts w:ascii="Arial" w:cs="Arial" w:eastAsia="Arial" w:hAnsi="Arial"/>
          <w:sz w:val="18"/>
          <w:szCs w:val="18"/>
          <w:i w:val="1"/>
          <w:iCs w:val="1"/>
          <w:color w:val="51555C"/>
        </w:rPr>
        <w:t>provided, further,</w:t>
      </w:r>
      <w:r>
        <w:rPr>
          <w:rFonts w:ascii="Arial" w:cs="Arial" w:eastAsia="Arial" w:hAnsi="Arial"/>
          <w:sz w:val="18"/>
          <w:szCs w:val="18"/>
          <w:color w:val="51555C"/>
        </w:rPr>
        <w:t xml:space="preserve"> that shares of Common Stock will no longer be subject to an Option and will not be exercisable thereafter to the extent that (A) shares issuable upon exercise are reduced to pay the exercise price pursuant to the “net exercise,” (B) shares are delivered to the Participant as a result of such exercise, and (C) shares are withheld to satisfy tax withholding obligations; or</w:t>
      </w:r>
    </w:p>
    <w:p>
      <w:pPr>
        <w:spacing w:after="0" w:line="128" w:lineRule="exact"/>
        <w:rPr>
          <w:rFonts w:ascii="Arial" w:cs="Arial" w:eastAsia="Arial" w:hAnsi="Arial"/>
          <w:sz w:val="18"/>
          <w:szCs w:val="18"/>
          <w:b w:val="1"/>
          <w:bCs w:val="1"/>
          <w:color w:val="51555C"/>
        </w:rPr>
      </w:pPr>
    </w:p>
    <w:p>
      <w:pPr>
        <w:ind w:left="1740" w:hanging="436"/>
        <w:spacing w:after="0"/>
        <w:tabs>
          <w:tab w:leader="none" w:pos="1740" w:val="left"/>
        </w:tabs>
        <w:numPr>
          <w:ilvl w:val="1"/>
          <w:numId w:val="119"/>
        </w:numPr>
        <w:rPr>
          <w:rFonts w:ascii="Arial" w:cs="Arial" w:eastAsia="Arial" w:hAnsi="Arial"/>
          <w:sz w:val="18"/>
          <w:szCs w:val="18"/>
          <w:b w:val="1"/>
          <w:bCs w:val="1"/>
          <w:color w:val="51555C"/>
        </w:rPr>
      </w:pPr>
      <w:r>
        <w:rPr>
          <w:rFonts w:ascii="Arial" w:cs="Arial" w:eastAsia="Arial" w:hAnsi="Arial"/>
          <w:sz w:val="18"/>
          <w:szCs w:val="18"/>
          <w:color w:val="51555C"/>
        </w:rPr>
        <w:t>in any other form of legal consideration that may be acceptable to the Committee in its sole discretion and permissible</w:t>
      </w:r>
    </w:p>
    <w:p>
      <w:pPr>
        <w:spacing w:after="0" w:line="27" w:lineRule="exact"/>
        <w:rPr>
          <w:rFonts w:ascii="Arial" w:cs="Arial" w:eastAsia="Arial" w:hAnsi="Arial"/>
          <w:sz w:val="18"/>
          <w:szCs w:val="18"/>
          <w:b w:val="1"/>
          <w:bCs w:val="1"/>
          <w:color w:val="51555C"/>
        </w:rPr>
      </w:pPr>
    </w:p>
    <w:p>
      <w:pPr>
        <w:spacing w:after="0"/>
        <w:rPr>
          <w:rFonts w:ascii="Arial" w:cs="Arial" w:eastAsia="Arial" w:hAnsi="Arial"/>
          <w:sz w:val="18"/>
          <w:szCs w:val="18"/>
          <w:b w:val="1"/>
          <w:bCs w:val="1"/>
          <w:color w:val="51555C"/>
        </w:rPr>
      </w:pPr>
      <w:r>
        <w:rPr>
          <w:rFonts w:ascii="Arial" w:cs="Arial" w:eastAsia="Arial" w:hAnsi="Arial"/>
          <w:sz w:val="18"/>
          <w:szCs w:val="18"/>
          <w:color w:val="51555C"/>
        </w:rPr>
        <w:t>under applicable law.</w:t>
      </w:r>
    </w:p>
    <w:p>
      <w:pPr>
        <w:spacing w:after="0" w:line="153" w:lineRule="exact"/>
        <w:rPr>
          <w:rFonts w:ascii="Arial" w:cs="Arial" w:eastAsia="Arial" w:hAnsi="Arial"/>
          <w:sz w:val="18"/>
          <w:szCs w:val="18"/>
          <w:b w:val="1"/>
          <w:bCs w:val="1"/>
          <w:color w:val="51555C"/>
        </w:rPr>
      </w:pPr>
    </w:p>
    <w:p>
      <w:pPr>
        <w:jc w:val="both"/>
        <w:ind w:firstLine="656"/>
        <w:spacing w:after="0" w:line="255" w:lineRule="auto"/>
        <w:tabs>
          <w:tab w:leader="none" w:pos="1145" w:val="left"/>
        </w:tabs>
        <w:numPr>
          <w:ilvl w:val="0"/>
          <w:numId w:val="119"/>
        </w:numPr>
        <w:rPr>
          <w:rFonts w:ascii="Arial" w:cs="Arial" w:eastAsia="Arial" w:hAnsi="Arial"/>
          <w:sz w:val="18"/>
          <w:szCs w:val="18"/>
          <w:b w:val="1"/>
          <w:bCs w:val="1"/>
          <w:color w:val="51555C"/>
        </w:rPr>
      </w:pPr>
      <w:r>
        <w:rPr>
          <w:rFonts w:ascii="Arial" w:cs="Arial" w:eastAsia="Arial" w:hAnsi="Arial"/>
          <w:sz w:val="18"/>
          <w:szCs w:val="18"/>
          <w:b w:val="1"/>
          <w:bCs w:val="1"/>
          <w:color w:val="51555C"/>
        </w:rPr>
        <w:t>Exercise and Payment of Stock Appreciation Rights</w:t>
      </w:r>
      <w:r>
        <w:rPr>
          <w:rFonts w:ascii="Arial" w:cs="Arial" w:eastAsia="Arial" w:hAnsi="Arial"/>
          <w:sz w:val="18"/>
          <w:szCs w:val="18"/>
          <w:color w:val="51555C"/>
        </w:rPr>
        <w:t>. To exercise any outstanding vested Stock Appreciation Right, the</w:t>
      </w:r>
      <w:r>
        <w:rPr>
          <w:rFonts w:ascii="Arial" w:cs="Arial" w:eastAsia="Arial" w:hAnsi="Arial"/>
          <w:sz w:val="18"/>
          <w:szCs w:val="18"/>
          <w:b w:val="1"/>
          <w:bCs w:val="1"/>
          <w:color w:val="51555C"/>
        </w:rPr>
        <w:t xml:space="preserve"> </w:t>
      </w:r>
      <w:r>
        <w:rPr>
          <w:rFonts w:ascii="Arial" w:cs="Arial" w:eastAsia="Arial" w:hAnsi="Arial"/>
          <w:sz w:val="18"/>
          <w:szCs w:val="18"/>
          <w:color w:val="51555C"/>
        </w:rPr>
        <w:t>Participant must provide written notice of exercise to the Company (or its designated delegate) in compliance with the provisions of the Stock Appreciation Right Agreement evidencing such Stock Appreciation Right. The provisions of this Section 5(h) are subject to any provisions of the Stock Appreciation Right Agreement governing the minimum number of Stock Appreciation Rights which may be exercised at a given time. Notwithstanding the foregoing, in the case of a Stock Appreciation Right that is granted in tandem with an Option, the Stock Appreciation Right may be exercised only with respect to the shares of Common Stock for which its related Option is then exercisable. The exercise of either an Option or a Stock Appreciation Right that are granted in tandem shall result in the termination of the other to the extent of the number of shares of Common Stock with respect to which such Option or Stock Appreciation Right is exercised.</w:t>
      </w:r>
    </w:p>
    <w:p>
      <w:pPr>
        <w:spacing w:after="0" w:line="130" w:lineRule="exact"/>
        <w:rPr>
          <w:rFonts w:ascii="Arial" w:cs="Arial" w:eastAsia="Arial" w:hAnsi="Arial"/>
          <w:sz w:val="18"/>
          <w:szCs w:val="18"/>
          <w:b w:val="1"/>
          <w:bCs w:val="1"/>
          <w:color w:val="51555C"/>
        </w:rPr>
      </w:pPr>
    </w:p>
    <w:p>
      <w:pPr>
        <w:jc w:val="both"/>
        <w:ind w:firstLine="656"/>
        <w:spacing w:after="0" w:line="255" w:lineRule="auto"/>
        <w:tabs>
          <w:tab w:leader="none" w:pos="1018" w:val="left"/>
        </w:tabs>
        <w:numPr>
          <w:ilvl w:val="0"/>
          <w:numId w:val="119"/>
        </w:numPr>
        <w:rPr>
          <w:rFonts w:ascii="Arial" w:cs="Arial" w:eastAsia="Arial" w:hAnsi="Arial"/>
          <w:sz w:val="18"/>
          <w:szCs w:val="18"/>
          <w:b w:val="1"/>
          <w:bCs w:val="1"/>
          <w:color w:val="51555C"/>
        </w:rPr>
      </w:pPr>
      <w:r>
        <w:rPr>
          <w:rFonts w:ascii="Arial" w:cs="Arial" w:eastAsia="Arial" w:hAnsi="Arial"/>
          <w:sz w:val="18"/>
          <w:szCs w:val="18"/>
          <w:b w:val="1"/>
          <w:bCs w:val="1"/>
          <w:color w:val="51555C"/>
        </w:rPr>
        <w:t xml:space="preserve">Automatic Exercise Feature. </w:t>
      </w:r>
      <w:r>
        <w:rPr>
          <w:rFonts w:ascii="Arial" w:cs="Arial" w:eastAsia="Arial" w:hAnsi="Arial"/>
          <w:sz w:val="18"/>
          <w:szCs w:val="18"/>
          <w:color w:val="51555C"/>
        </w:rPr>
        <w:t>Notwithstanding the foregoing, the Committee may, in its sole discretion, implement an automatic</w:t>
      </w:r>
      <w:r>
        <w:rPr>
          <w:rFonts w:ascii="Arial" w:cs="Arial" w:eastAsia="Arial" w:hAnsi="Arial"/>
          <w:sz w:val="18"/>
          <w:szCs w:val="18"/>
          <w:b w:val="1"/>
          <w:bCs w:val="1"/>
          <w:color w:val="51555C"/>
        </w:rPr>
        <w:t xml:space="preserve"> </w:t>
      </w:r>
      <w:r>
        <w:rPr>
          <w:rFonts w:ascii="Arial" w:cs="Arial" w:eastAsia="Arial" w:hAnsi="Arial"/>
          <w:sz w:val="18"/>
          <w:szCs w:val="18"/>
          <w:color w:val="51555C"/>
        </w:rPr>
        <w:t>exercise feature for existing and future grants of Options providing that if, on the last day that an Option may be exercised, the Participant has not then exercised such Option and its exercise price is less than the Fair Market Value of a share of Common Stock, such Option shall be deemed to have been exercised by the Participant using a “net exercise” on such last day and the Company shall make the appropriate payment to such Participant after applicable tax withholding. The Committee may implement similar rules with respect to any Stock Appreciation Right when its strike price is less than the Fair Market Value of a share of Common Stock on the last day that such Stock Appreciation Right may be exercised. The Committee may delegate authority to implement an automatic exercise feature for Options, Stock Appreciation Rights or both to one or more of the Officers pursuant to Section 2(c).</w:t>
      </w:r>
    </w:p>
    <w:p>
      <w:pPr>
        <w:spacing w:after="0" w:line="130" w:lineRule="exact"/>
        <w:rPr>
          <w:rFonts w:ascii="Arial" w:cs="Arial" w:eastAsia="Arial" w:hAnsi="Arial"/>
          <w:sz w:val="18"/>
          <w:szCs w:val="18"/>
          <w:b w:val="1"/>
          <w:bCs w:val="1"/>
          <w:color w:val="51555C"/>
        </w:rPr>
      </w:pPr>
    </w:p>
    <w:p>
      <w:pPr>
        <w:jc w:val="both"/>
        <w:ind w:firstLine="656"/>
        <w:spacing w:after="0" w:line="268" w:lineRule="auto"/>
        <w:tabs>
          <w:tab w:leader="none" w:pos="1031" w:val="left"/>
        </w:tabs>
        <w:numPr>
          <w:ilvl w:val="0"/>
          <w:numId w:val="119"/>
        </w:numPr>
        <w:rPr>
          <w:rFonts w:ascii="Arial" w:cs="Arial" w:eastAsia="Arial" w:hAnsi="Arial"/>
          <w:sz w:val="18"/>
          <w:szCs w:val="18"/>
          <w:b w:val="1"/>
          <w:bCs w:val="1"/>
          <w:color w:val="51555C"/>
        </w:rPr>
      </w:pPr>
      <w:r>
        <w:rPr>
          <w:rFonts w:ascii="Arial" w:cs="Arial" w:eastAsia="Arial" w:hAnsi="Arial"/>
          <w:sz w:val="18"/>
          <w:szCs w:val="18"/>
          <w:b w:val="1"/>
          <w:bCs w:val="1"/>
          <w:color w:val="51555C"/>
        </w:rPr>
        <w:t>Transferability of Options</w:t>
      </w:r>
      <w:r>
        <w:rPr>
          <w:rFonts w:ascii="Arial" w:cs="Arial" w:eastAsia="Arial" w:hAnsi="Arial"/>
          <w:sz w:val="18"/>
          <w:szCs w:val="18"/>
          <w:color w:val="51555C"/>
        </w:rPr>
        <w:t>. The Committee may, in its sole discretion, impose such limitations on the transferability of Options</w:t>
      </w:r>
      <w:r>
        <w:rPr>
          <w:rFonts w:ascii="Arial" w:cs="Arial" w:eastAsia="Arial" w:hAnsi="Arial"/>
          <w:sz w:val="18"/>
          <w:szCs w:val="18"/>
          <w:b w:val="1"/>
          <w:bCs w:val="1"/>
          <w:color w:val="51555C"/>
        </w:rPr>
        <w:t xml:space="preserve"> </w:t>
      </w:r>
      <w:r>
        <w:rPr>
          <w:rFonts w:ascii="Arial" w:cs="Arial" w:eastAsia="Arial" w:hAnsi="Arial"/>
          <w:sz w:val="18"/>
          <w:szCs w:val="18"/>
          <w:color w:val="51555C"/>
        </w:rPr>
        <w:t>as the Committee shall determine. In the absence of such a determination by the Committee to the contrary, the following restrictions on the transferability of Options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214630</wp:posOffset>
            </wp:positionV>
            <wp:extent cx="702945" cy="11176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02945" cy="111760"/>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95</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97" w:name="page98"/>
    <w:bookmarkEnd w:id="97"/>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7"/>
          <w:szCs w:val="17"/>
          <w:b w:val="1"/>
          <w:bCs w:val="1"/>
          <w:color w:val="51555C"/>
        </w:rPr>
        <w:t>APPENDICES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300" w:space="720"/>
            <w:col w:w="1080"/>
          </w:cols>
          <w:pgMar w:left="460" w:top="33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both"/>
        <w:ind w:left="-140" w:firstLine="1304"/>
        <w:spacing w:after="0" w:line="259" w:lineRule="auto"/>
        <w:tabs>
          <w:tab w:leader="none" w:pos="1553" w:val="left"/>
        </w:tabs>
        <w:numPr>
          <w:ilvl w:val="1"/>
          <w:numId w:val="120"/>
        </w:numPr>
        <w:rPr>
          <w:rFonts w:ascii="Arial" w:cs="Arial" w:eastAsia="Arial" w:hAnsi="Arial"/>
          <w:sz w:val="18"/>
          <w:szCs w:val="18"/>
          <w:b w:val="1"/>
          <w:bCs w:val="1"/>
          <w:color w:val="51555C"/>
        </w:rPr>
      </w:pPr>
      <w:r>
        <w:rPr>
          <w:rFonts w:ascii="Arial" w:cs="Arial" w:eastAsia="Arial" w:hAnsi="Arial"/>
          <w:sz w:val="18"/>
          <w:szCs w:val="18"/>
          <w:b w:val="1"/>
          <w:bCs w:val="1"/>
          <w:color w:val="51555C"/>
        </w:rPr>
        <w:t>Restrictions on Transfer</w:t>
      </w:r>
      <w:r>
        <w:rPr>
          <w:rFonts w:ascii="Arial" w:cs="Arial" w:eastAsia="Arial" w:hAnsi="Arial"/>
          <w:sz w:val="18"/>
          <w:szCs w:val="18"/>
          <w:color w:val="51555C"/>
        </w:rPr>
        <w:t>. An Option shall not be transferable except by will or by the laws of descent and distribution</w:t>
      </w:r>
      <w:r>
        <w:rPr>
          <w:rFonts w:ascii="Arial" w:cs="Arial" w:eastAsia="Arial" w:hAnsi="Arial"/>
          <w:sz w:val="18"/>
          <w:szCs w:val="18"/>
          <w:b w:val="1"/>
          <w:bCs w:val="1"/>
          <w:color w:val="51555C"/>
        </w:rPr>
        <w:t xml:space="preserve"> </w:t>
      </w:r>
      <w:r>
        <w:rPr>
          <w:rFonts w:ascii="Arial" w:cs="Arial" w:eastAsia="Arial" w:hAnsi="Arial"/>
          <w:sz w:val="18"/>
          <w:szCs w:val="18"/>
          <w:color w:val="51555C"/>
        </w:rPr>
        <w:t xml:space="preserve">and shall be exercisable during the lifetime of the Optionholder only by the Optionholder (or, to the extent permitted by applicable law, the Participant’s guardian or legal representative in the event of the Participant’s legal incapacity); </w:t>
      </w:r>
      <w:r>
        <w:rPr>
          <w:rFonts w:ascii="Arial" w:cs="Arial" w:eastAsia="Arial" w:hAnsi="Arial"/>
          <w:sz w:val="18"/>
          <w:szCs w:val="18"/>
          <w:i w:val="1"/>
          <w:iCs w:val="1"/>
          <w:color w:val="51555C"/>
        </w:rPr>
        <w:t>provided, however,</w:t>
      </w:r>
      <w:r>
        <w:rPr>
          <w:rFonts w:ascii="Arial" w:cs="Arial" w:eastAsia="Arial" w:hAnsi="Arial"/>
          <w:sz w:val="18"/>
          <w:szCs w:val="18"/>
          <w:color w:val="51555C"/>
        </w:rPr>
        <w:t xml:space="preserve"> that the Committee may, in its sole discretion, permit transfer of the Option in a manner that is not prohibited by applicable tax and securities laws upon the Optionholder’s request, subject to such rules and conditions imposed by the Committee.</w:t>
      </w:r>
    </w:p>
    <w:p>
      <w:pPr>
        <w:spacing w:after="0" w:line="125" w:lineRule="exact"/>
        <w:rPr>
          <w:rFonts w:ascii="Arial" w:cs="Arial" w:eastAsia="Arial" w:hAnsi="Arial"/>
          <w:sz w:val="18"/>
          <w:szCs w:val="18"/>
          <w:b w:val="1"/>
          <w:bCs w:val="1"/>
          <w:color w:val="51555C"/>
        </w:rPr>
      </w:pPr>
    </w:p>
    <w:p>
      <w:pPr>
        <w:jc w:val="both"/>
        <w:ind w:left="-140" w:firstLine="1304"/>
        <w:spacing w:after="0" w:line="268" w:lineRule="auto"/>
        <w:tabs>
          <w:tab w:leader="none" w:pos="1657" w:val="left"/>
        </w:tabs>
        <w:numPr>
          <w:ilvl w:val="1"/>
          <w:numId w:val="120"/>
        </w:numPr>
        <w:rPr>
          <w:rFonts w:ascii="Arial" w:cs="Arial" w:eastAsia="Arial" w:hAnsi="Arial"/>
          <w:sz w:val="18"/>
          <w:szCs w:val="18"/>
          <w:b w:val="1"/>
          <w:bCs w:val="1"/>
          <w:color w:val="51555C"/>
        </w:rPr>
      </w:pPr>
      <w:r>
        <w:rPr>
          <w:rFonts w:ascii="Arial" w:cs="Arial" w:eastAsia="Arial" w:hAnsi="Arial"/>
          <w:sz w:val="18"/>
          <w:szCs w:val="18"/>
          <w:b w:val="1"/>
          <w:bCs w:val="1"/>
          <w:color w:val="51555C"/>
        </w:rPr>
        <w:t>Domestic Relations Orders</w:t>
      </w:r>
      <w:r>
        <w:rPr>
          <w:rFonts w:ascii="Arial" w:cs="Arial" w:eastAsia="Arial" w:hAnsi="Arial"/>
          <w:sz w:val="18"/>
          <w:szCs w:val="18"/>
          <w:color w:val="51555C"/>
        </w:rPr>
        <w:t>. Notwithstanding the foregoing, an Option may be transferred pursuant to a domestic</w:t>
      </w:r>
      <w:r>
        <w:rPr>
          <w:rFonts w:ascii="Arial" w:cs="Arial" w:eastAsia="Arial" w:hAnsi="Arial"/>
          <w:sz w:val="18"/>
          <w:szCs w:val="18"/>
          <w:b w:val="1"/>
          <w:bCs w:val="1"/>
          <w:color w:val="51555C"/>
        </w:rPr>
        <w:t xml:space="preserve"> </w:t>
      </w:r>
      <w:r>
        <w:rPr>
          <w:rFonts w:ascii="Arial" w:cs="Arial" w:eastAsia="Arial" w:hAnsi="Arial"/>
          <w:sz w:val="18"/>
          <w:szCs w:val="18"/>
          <w:color w:val="51555C"/>
        </w:rPr>
        <w:t xml:space="preserve">relations order; </w:t>
      </w:r>
      <w:r>
        <w:rPr>
          <w:rFonts w:ascii="Arial" w:cs="Arial" w:eastAsia="Arial" w:hAnsi="Arial"/>
          <w:sz w:val="18"/>
          <w:szCs w:val="18"/>
          <w:i w:val="1"/>
          <w:iCs w:val="1"/>
          <w:color w:val="51555C"/>
        </w:rPr>
        <w:t>provided, however,</w:t>
      </w:r>
      <w:r>
        <w:rPr>
          <w:rFonts w:ascii="Arial" w:cs="Arial" w:eastAsia="Arial" w:hAnsi="Arial"/>
          <w:sz w:val="18"/>
          <w:szCs w:val="18"/>
          <w:color w:val="51555C"/>
        </w:rPr>
        <w:t xml:space="preserve"> that if an Option is an Incentive Stock Option, such Option may be deemed to be a Nonstatutory Stock Option as a result of such transfer.</w:t>
      </w:r>
    </w:p>
    <w:p>
      <w:pPr>
        <w:spacing w:after="0" w:line="116" w:lineRule="exact"/>
        <w:rPr>
          <w:rFonts w:ascii="Arial" w:cs="Arial" w:eastAsia="Arial" w:hAnsi="Arial"/>
          <w:sz w:val="18"/>
          <w:szCs w:val="18"/>
          <w:b w:val="1"/>
          <w:bCs w:val="1"/>
          <w:color w:val="51555C"/>
        </w:rPr>
      </w:pPr>
    </w:p>
    <w:p>
      <w:pPr>
        <w:jc w:val="both"/>
        <w:ind w:left="-140" w:firstLine="656"/>
        <w:spacing w:after="0" w:line="259" w:lineRule="auto"/>
        <w:tabs>
          <w:tab w:leader="none" w:pos="1049" w:val="left"/>
        </w:tabs>
        <w:numPr>
          <w:ilvl w:val="0"/>
          <w:numId w:val="121"/>
        </w:numPr>
        <w:rPr>
          <w:rFonts w:ascii="Arial" w:cs="Arial" w:eastAsia="Arial" w:hAnsi="Arial"/>
          <w:sz w:val="18"/>
          <w:szCs w:val="18"/>
          <w:b w:val="1"/>
          <w:bCs w:val="1"/>
          <w:color w:val="51555C"/>
        </w:rPr>
      </w:pPr>
      <w:r>
        <w:rPr>
          <w:rFonts w:ascii="Arial" w:cs="Arial" w:eastAsia="Arial" w:hAnsi="Arial"/>
          <w:sz w:val="18"/>
          <w:szCs w:val="18"/>
          <w:b w:val="1"/>
          <w:bCs w:val="1"/>
          <w:color w:val="51555C"/>
        </w:rPr>
        <w:t>Beneficiary Designation</w:t>
      </w:r>
      <w:r>
        <w:rPr>
          <w:rFonts w:ascii="Arial" w:cs="Arial" w:eastAsia="Arial" w:hAnsi="Arial"/>
          <w:sz w:val="18"/>
          <w:szCs w:val="18"/>
          <w:color w:val="51555C"/>
        </w:rPr>
        <w:t>. Notwithstanding the foregoing, if permitted by the Company, the Participant may, by delivering</w:t>
      </w:r>
      <w:r>
        <w:rPr>
          <w:rFonts w:ascii="Arial" w:cs="Arial" w:eastAsia="Arial" w:hAnsi="Arial"/>
          <w:sz w:val="18"/>
          <w:szCs w:val="18"/>
          <w:b w:val="1"/>
          <w:bCs w:val="1"/>
          <w:color w:val="51555C"/>
        </w:rPr>
        <w:t xml:space="preserve"> </w:t>
      </w:r>
      <w:r>
        <w:rPr>
          <w:rFonts w:ascii="Arial" w:cs="Arial" w:eastAsia="Arial" w:hAnsi="Arial"/>
          <w:sz w:val="18"/>
          <w:szCs w:val="18"/>
          <w:color w:val="51555C"/>
        </w:rPr>
        <w:t>written notice to the Company, in a form provided by or otherwise satisfactory to the Company and any broker designated by the Company to effect Option or Stock Appreciation Right exercises, designate a third party who, in the event of the death of the Participant shall thereafter be entitled to exercise the Option or Stock Appreciation Right. In the absence of such a designation, the executor or administrator of the Participant’s estate shall be entitled to exercise the Option or Stock Appreciation Right.</w:t>
      </w:r>
    </w:p>
    <w:p>
      <w:pPr>
        <w:spacing w:after="0" w:line="125" w:lineRule="exact"/>
        <w:rPr>
          <w:rFonts w:ascii="Arial" w:cs="Arial" w:eastAsia="Arial" w:hAnsi="Arial"/>
          <w:sz w:val="18"/>
          <w:szCs w:val="18"/>
          <w:b w:val="1"/>
          <w:bCs w:val="1"/>
          <w:color w:val="51555C"/>
        </w:rPr>
      </w:pPr>
    </w:p>
    <w:p>
      <w:pPr>
        <w:jc w:val="both"/>
        <w:ind w:left="-140" w:firstLine="656"/>
        <w:spacing w:after="0" w:line="255" w:lineRule="auto"/>
        <w:tabs>
          <w:tab w:leader="none" w:pos="905" w:val="left"/>
        </w:tabs>
        <w:numPr>
          <w:ilvl w:val="0"/>
          <w:numId w:val="121"/>
        </w:numPr>
        <w:rPr>
          <w:rFonts w:ascii="Arial" w:cs="Arial" w:eastAsia="Arial" w:hAnsi="Arial"/>
          <w:sz w:val="18"/>
          <w:szCs w:val="18"/>
          <w:b w:val="1"/>
          <w:bCs w:val="1"/>
          <w:color w:val="51555C"/>
        </w:rPr>
      </w:pPr>
      <w:r>
        <w:rPr>
          <w:rFonts w:ascii="Arial" w:cs="Arial" w:eastAsia="Arial" w:hAnsi="Arial"/>
          <w:sz w:val="18"/>
          <w:szCs w:val="18"/>
          <w:b w:val="1"/>
          <w:bCs w:val="1"/>
          <w:color w:val="51555C"/>
        </w:rPr>
        <w:t>Termination of Continuous Service</w:t>
      </w:r>
      <w:r>
        <w:rPr>
          <w:rFonts w:ascii="Arial" w:cs="Arial" w:eastAsia="Arial" w:hAnsi="Arial"/>
          <w:sz w:val="18"/>
          <w:szCs w:val="18"/>
          <w:color w:val="51555C"/>
        </w:rPr>
        <w:t>. In the event that a Participant’s Continuous Service terminates (other than for Cause or</w:t>
      </w:r>
      <w:r>
        <w:rPr>
          <w:rFonts w:ascii="Arial" w:cs="Arial" w:eastAsia="Arial" w:hAnsi="Arial"/>
          <w:sz w:val="18"/>
          <w:szCs w:val="18"/>
          <w:b w:val="1"/>
          <w:bCs w:val="1"/>
          <w:color w:val="51555C"/>
        </w:rPr>
        <w:t xml:space="preserve"> </w:t>
      </w:r>
      <w:r>
        <w:rPr>
          <w:rFonts w:ascii="Arial" w:cs="Arial" w:eastAsia="Arial" w:hAnsi="Arial"/>
          <w:sz w:val="18"/>
          <w:szCs w:val="18"/>
          <w:color w:val="51555C"/>
        </w:rPr>
        <w:t>upon the Participant’s death or Disability), the Participant may exercise his or her Option or Stock Appreciation Right (to the extent that the Participant was entitled to exercise such Option or Stock Appreciation Right as of the date of termination of Continuous Service) but only within such period of time ending on the earlier of (i) the date three (3) months following the termination of the Participant’s Continuous Service (or such longer or shorter period specified in the Stock Award Agreement), or (ii) the expiration of the term of the Option or Stock Appreciation Right as set forth in the Stock Award Agreement. If, after termination of Continuous Service, the Participant does not exercise his or her Option or Stock Appreciation Right within the time specified herein or in the Stock Award Agreement (as applicable), the Option or Stock Appreciation Right shall terminate. For the avoidance of doubt, the Option or Stock Appreciation Right shall terminate as of the date of termination of Continuous Service with respect to the portion of the Option that the Optionholder was not entitled to exercise as of such date.</w:t>
      </w:r>
    </w:p>
    <w:p>
      <w:pPr>
        <w:spacing w:after="0" w:line="126" w:lineRule="exact"/>
        <w:rPr>
          <w:rFonts w:ascii="Arial" w:cs="Arial" w:eastAsia="Arial" w:hAnsi="Arial"/>
          <w:sz w:val="18"/>
          <w:szCs w:val="18"/>
          <w:b w:val="1"/>
          <w:bCs w:val="1"/>
          <w:color w:val="51555C"/>
        </w:rPr>
      </w:pPr>
    </w:p>
    <w:p>
      <w:pPr>
        <w:jc w:val="both"/>
        <w:ind w:left="-140" w:firstLine="656"/>
        <w:spacing w:after="0" w:line="253" w:lineRule="auto"/>
        <w:tabs>
          <w:tab w:leader="none" w:pos="1055" w:val="left"/>
        </w:tabs>
        <w:numPr>
          <w:ilvl w:val="0"/>
          <w:numId w:val="121"/>
        </w:numPr>
        <w:rPr>
          <w:rFonts w:ascii="Arial" w:cs="Arial" w:eastAsia="Arial" w:hAnsi="Arial"/>
          <w:sz w:val="18"/>
          <w:szCs w:val="18"/>
          <w:b w:val="1"/>
          <w:bCs w:val="1"/>
          <w:color w:val="51555C"/>
        </w:rPr>
      </w:pPr>
      <w:r>
        <w:rPr>
          <w:rFonts w:ascii="Arial" w:cs="Arial" w:eastAsia="Arial" w:hAnsi="Arial"/>
          <w:sz w:val="18"/>
          <w:szCs w:val="18"/>
          <w:b w:val="1"/>
          <w:bCs w:val="1"/>
          <w:color w:val="51555C"/>
        </w:rPr>
        <w:t>Extension of Termination Date</w:t>
      </w:r>
      <w:r>
        <w:rPr>
          <w:rFonts w:ascii="Arial" w:cs="Arial" w:eastAsia="Arial" w:hAnsi="Arial"/>
          <w:sz w:val="18"/>
          <w:szCs w:val="18"/>
          <w:color w:val="51555C"/>
        </w:rPr>
        <w:t>. A Participant’s Stock Award Agreement may provide that if the exercise of the Option or</w:t>
      </w:r>
      <w:r>
        <w:rPr>
          <w:rFonts w:ascii="Arial" w:cs="Arial" w:eastAsia="Arial" w:hAnsi="Arial"/>
          <w:sz w:val="18"/>
          <w:szCs w:val="18"/>
          <w:b w:val="1"/>
          <w:bCs w:val="1"/>
          <w:color w:val="51555C"/>
        </w:rPr>
        <w:t xml:space="preserve"> </w:t>
      </w:r>
      <w:r>
        <w:rPr>
          <w:rFonts w:ascii="Arial" w:cs="Arial" w:eastAsia="Arial" w:hAnsi="Arial"/>
          <w:sz w:val="18"/>
          <w:szCs w:val="18"/>
          <w:color w:val="51555C"/>
        </w:rPr>
        <w:t>Stock Appreciation Right following the termination of the Participant’s Continuous Service (other than for Cause or upon the Participant’s death or Disability) would be prohibited at any time solely because the issuance of shares of Common Stock would violate the federal, state, local or foreign law, or would jeopardize the Company’s ability to continue as a going concern, then the Option or Stock Appreciation Right shall not terminate until thirty (30) days after the first date that the exercise would no longer violate applicable law or jeopardize the Company’s ability to continue as a going concern. In addition, unless otherwise provided in the Participant’s Stock Award Agreement, if the sale of the Common Stock received upon exercise of an Option or Stock Appreciation Right following the termination of the Participant’s Continuous Service (other than for Cause) would violate the Company’s Insider Trading Policy, then the Option or Stock Appreciation Right shall not terminate until the expiration of a period equal to the post-termination exercise period applicable to such Participant described in Section 5(l) above or Section 5(n) or 5(o) below, as the case may be, after the termination of the Participant’s Continuous Service during which the exercise of the Option or Stock Appreciation Right would not be in violation of the Company’s Insider Trading Policy, even if the Option or Stock Appreciation Right would otherwise have expired before the end of such extended exercise period based on the term set forth in the Stock Award Agreement.</w:t>
      </w:r>
    </w:p>
    <w:p>
      <w:pPr>
        <w:spacing w:after="0" w:line="133" w:lineRule="exact"/>
        <w:rPr>
          <w:rFonts w:ascii="Arial" w:cs="Arial" w:eastAsia="Arial" w:hAnsi="Arial"/>
          <w:sz w:val="18"/>
          <w:szCs w:val="18"/>
          <w:b w:val="1"/>
          <w:bCs w:val="1"/>
          <w:color w:val="51555C"/>
        </w:rPr>
      </w:pPr>
    </w:p>
    <w:p>
      <w:pPr>
        <w:jc w:val="both"/>
        <w:ind w:left="-140" w:firstLine="656"/>
        <w:spacing w:after="0" w:line="255" w:lineRule="auto"/>
        <w:tabs>
          <w:tab w:leader="none" w:pos="1045" w:val="left"/>
        </w:tabs>
        <w:numPr>
          <w:ilvl w:val="0"/>
          <w:numId w:val="121"/>
        </w:numPr>
        <w:rPr>
          <w:rFonts w:ascii="Arial" w:cs="Arial" w:eastAsia="Arial" w:hAnsi="Arial"/>
          <w:sz w:val="18"/>
          <w:szCs w:val="18"/>
          <w:b w:val="1"/>
          <w:bCs w:val="1"/>
          <w:color w:val="51555C"/>
        </w:rPr>
      </w:pPr>
      <w:r>
        <w:rPr>
          <w:rFonts w:ascii="Arial" w:cs="Arial" w:eastAsia="Arial" w:hAnsi="Arial"/>
          <w:sz w:val="18"/>
          <w:szCs w:val="18"/>
          <w:b w:val="1"/>
          <w:bCs w:val="1"/>
          <w:color w:val="51555C"/>
        </w:rPr>
        <w:t>Disability of Participant</w:t>
      </w:r>
      <w:r>
        <w:rPr>
          <w:rFonts w:ascii="Arial" w:cs="Arial" w:eastAsia="Arial" w:hAnsi="Arial"/>
          <w:sz w:val="18"/>
          <w:szCs w:val="18"/>
          <w:color w:val="51555C"/>
        </w:rPr>
        <w:t>. In the event that a Participant’s Continuous Service terminates as a result of the Participant’s</w:t>
      </w:r>
      <w:r>
        <w:rPr>
          <w:rFonts w:ascii="Arial" w:cs="Arial" w:eastAsia="Arial" w:hAnsi="Arial"/>
          <w:sz w:val="18"/>
          <w:szCs w:val="18"/>
          <w:b w:val="1"/>
          <w:bCs w:val="1"/>
          <w:color w:val="51555C"/>
        </w:rPr>
        <w:t xml:space="preserve"> </w:t>
      </w:r>
      <w:r>
        <w:rPr>
          <w:rFonts w:ascii="Arial" w:cs="Arial" w:eastAsia="Arial" w:hAnsi="Arial"/>
          <w:sz w:val="18"/>
          <w:szCs w:val="18"/>
          <w:color w:val="51555C"/>
        </w:rPr>
        <w:t>Disability, the Participant may exercise his or her Option or Stock Appreciation Right (to the extent that the Participant was entitled to exercise such Option or Stock Appreciation Right as of the date of termination of Continuous Service), but only within such period of time ending on the earlier of (i) the date twelve (12) months following such termination of Continuous Service (or such longer or shorter period specified in the Stock Award Agreement), or (ii) the expiration of the term of the Option or Stock Appreciation Right as set forth in the Stock Award Agreement. If, after termination of Continuous Service, the Participant does not exercise his or her Option or Stock Appreciation Right within the time specified herein or in the Stock Award Agreement (as applicable), the Option or Stock Appreciation Right shall terminate. For the avoidance of doubt, the Option or Stock Appreciation Right shall terminate as of the date of termination of Continuous Service with respect to the portion of the Option or Stock Appreciation Rights that the Participant was not entitled to exercise as of such date.</w:t>
      </w:r>
    </w:p>
    <w:p>
      <w:pPr>
        <w:spacing w:after="0" w:line="337" w:lineRule="exact"/>
        <w:rPr>
          <w:sz w:val="20"/>
          <w:szCs w:val="20"/>
          <w:color w:val="auto"/>
        </w:rPr>
      </w:pPr>
    </w:p>
    <w:p>
      <w:pPr>
        <w:spacing w:after="0"/>
        <w:tabs>
          <w:tab w:leader="none" w:pos="374" w:val="left"/>
        </w:tabs>
        <w:rPr>
          <w:sz w:val="20"/>
          <w:szCs w:val="20"/>
          <w:color w:val="auto"/>
        </w:rPr>
      </w:pPr>
      <w:r>
        <w:rPr>
          <w:rFonts w:ascii="Arial" w:cs="Arial" w:eastAsia="Arial" w:hAnsi="Arial"/>
          <w:sz w:val="14"/>
          <w:szCs w:val="14"/>
          <w:color w:val="51555C"/>
        </w:rPr>
        <w:t>96</w:t>
      </w:r>
      <w:r>
        <w:rPr>
          <w:sz w:val="20"/>
          <w:szCs w:val="20"/>
          <w:color w:val="auto"/>
        </w:rPr>
        <w:tab/>
      </w:r>
      <w:r>
        <w:rPr>
          <w:sz w:val="1"/>
          <w:szCs w:val="1"/>
          <w:color w:val="auto"/>
        </w:rPr>
        <w:drawing>
          <wp:inline distT="0" distB="0" distL="0" distR="0">
            <wp:extent cx="702945" cy="111125"/>
            <wp:effectExtent l="0" t="0" r="0" b="0"/>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163830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338" w:right="339" w:bottom="1440" w:gutter="0" w:footer="0" w:header="0"/>
          <w:type w:val="continuous"/>
        </w:sectPr>
      </w:pPr>
    </w:p>
    <w:bookmarkStart w:id="98" w:name="page99"/>
    <w:bookmarkEnd w:id="98"/>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9440"/>
        <w:spacing w:after="0"/>
        <w:rPr>
          <w:sz w:val="20"/>
          <w:szCs w:val="20"/>
          <w:color w:val="auto"/>
        </w:rPr>
      </w:pPr>
      <w:r>
        <w:rPr>
          <w:rFonts w:ascii="Arial" w:cs="Arial" w:eastAsia="Arial" w:hAnsi="Arial"/>
          <w:sz w:val="18"/>
          <w:szCs w:val="18"/>
          <w:b w:val="1"/>
          <w:bCs w:val="1"/>
          <w:color w:val="51555C"/>
        </w:rPr>
        <w:t>APPENDICES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656"/>
        <w:spacing w:after="0" w:line="253" w:lineRule="auto"/>
        <w:tabs>
          <w:tab w:leader="none" w:pos="1104" w:val="left"/>
        </w:tabs>
        <w:numPr>
          <w:ilvl w:val="1"/>
          <w:numId w:val="122"/>
        </w:numPr>
        <w:rPr>
          <w:rFonts w:ascii="Arial" w:cs="Arial" w:eastAsia="Arial" w:hAnsi="Arial"/>
          <w:sz w:val="18"/>
          <w:szCs w:val="18"/>
          <w:b w:val="1"/>
          <w:bCs w:val="1"/>
          <w:color w:val="51555C"/>
        </w:rPr>
      </w:pPr>
      <w:r>
        <w:rPr>
          <w:rFonts w:ascii="Arial" w:cs="Arial" w:eastAsia="Arial" w:hAnsi="Arial"/>
          <w:sz w:val="18"/>
          <w:szCs w:val="18"/>
          <w:b w:val="1"/>
          <w:bCs w:val="1"/>
          <w:color w:val="51555C"/>
        </w:rPr>
        <w:t>Death of Participant</w:t>
      </w:r>
      <w:r>
        <w:rPr>
          <w:rFonts w:ascii="Arial" w:cs="Arial" w:eastAsia="Arial" w:hAnsi="Arial"/>
          <w:sz w:val="18"/>
          <w:szCs w:val="18"/>
          <w:color w:val="51555C"/>
        </w:rPr>
        <w:t>. In the event that (i) a Participant’s Continuous Service terminates as a result of the Participant’s death,</w:t>
      </w:r>
      <w:r>
        <w:rPr>
          <w:rFonts w:ascii="Arial" w:cs="Arial" w:eastAsia="Arial" w:hAnsi="Arial"/>
          <w:sz w:val="18"/>
          <w:szCs w:val="18"/>
          <w:b w:val="1"/>
          <w:bCs w:val="1"/>
          <w:color w:val="51555C"/>
        </w:rPr>
        <w:t xml:space="preserve"> </w:t>
      </w:r>
      <w:r>
        <w:rPr>
          <w:rFonts w:ascii="Arial" w:cs="Arial" w:eastAsia="Arial" w:hAnsi="Arial"/>
          <w:sz w:val="18"/>
          <w:szCs w:val="18"/>
          <w:color w:val="51555C"/>
        </w:rPr>
        <w:t>or (ii) the Participant dies within the extended exercise period (if any) specified in the Stock Award Agreement after the termination of the Participant’s Continuous Service for a reason other than death, then the Option or Stock Appreciation Right may be exercised (to the extent that the Participant was entitled to exercise such Option or Stock Appreciation Right as of the date of death) by the Participant’s estate, by the person who acquired the right to exercise the Option or Stock Appreciation Right by bequest or inheritance or by the person designated to exercise the Option or Stock Appreciation Right upon the Participant’s death, but only within the period ending on the earlier of (A) the date twelve (12) months following the date of death (or such longer or shorter period specified in the Stock Award Agreement), or (B) the expiration of the term of such Option or Stock Appreciation Right set forth in the Stock Award Agreement. If, after the Participant’s death, the Option or Stock Appreciation Right is not exercised within the time specified herein or in the Stock Award Agreement (as applicable), the Option or Stock Appreciation Right shall terminate. For the avoidance of doubt, the Option or Stock Appreciation Rights shall terminate as of the date of termination of Continuous Service with respect to the portion of the Option or Stock Appreciation Rights that the Participant was not entitled to exercise as of such date.</w:t>
      </w:r>
    </w:p>
    <w:p>
      <w:pPr>
        <w:spacing w:after="0" w:line="135" w:lineRule="exact"/>
        <w:rPr>
          <w:rFonts w:ascii="Arial" w:cs="Arial" w:eastAsia="Arial" w:hAnsi="Arial"/>
          <w:sz w:val="18"/>
          <w:szCs w:val="18"/>
          <w:b w:val="1"/>
          <w:bCs w:val="1"/>
          <w:color w:val="51555C"/>
        </w:rPr>
      </w:pPr>
    </w:p>
    <w:p>
      <w:pPr>
        <w:jc w:val="both"/>
        <w:ind w:firstLine="656"/>
        <w:spacing w:after="0" w:line="262" w:lineRule="auto"/>
        <w:tabs>
          <w:tab w:leader="none" w:pos="1091" w:val="left"/>
        </w:tabs>
        <w:numPr>
          <w:ilvl w:val="1"/>
          <w:numId w:val="122"/>
        </w:numPr>
        <w:rPr>
          <w:rFonts w:ascii="Arial" w:cs="Arial" w:eastAsia="Arial" w:hAnsi="Arial"/>
          <w:sz w:val="18"/>
          <w:szCs w:val="18"/>
          <w:b w:val="1"/>
          <w:bCs w:val="1"/>
          <w:color w:val="51555C"/>
        </w:rPr>
      </w:pPr>
      <w:r>
        <w:rPr>
          <w:rFonts w:ascii="Arial" w:cs="Arial" w:eastAsia="Arial" w:hAnsi="Arial"/>
          <w:sz w:val="18"/>
          <w:szCs w:val="18"/>
          <w:b w:val="1"/>
          <w:bCs w:val="1"/>
          <w:color w:val="51555C"/>
        </w:rPr>
        <w:t>Termination for Cause</w:t>
      </w:r>
      <w:r>
        <w:rPr>
          <w:rFonts w:ascii="Arial" w:cs="Arial" w:eastAsia="Arial" w:hAnsi="Arial"/>
          <w:sz w:val="18"/>
          <w:szCs w:val="18"/>
          <w:color w:val="51555C"/>
        </w:rPr>
        <w:t>. Except as explicitly provided otherwise in a Participant’s Stock Award Agreement, in the event that a</w:t>
      </w:r>
      <w:r>
        <w:rPr>
          <w:rFonts w:ascii="Arial" w:cs="Arial" w:eastAsia="Arial" w:hAnsi="Arial"/>
          <w:sz w:val="18"/>
          <w:szCs w:val="18"/>
          <w:b w:val="1"/>
          <w:bCs w:val="1"/>
          <w:color w:val="51555C"/>
        </w:rPr>
        <w:t xml:space="preserve"> </w:t>
      </w:r>
      <w:r>
        <w:rPr>
          <w:rFonts w:ascii="Arial" w:cs="Arial" w:eastAsia="Arial" w:hAnsi="Arial"/>
          <w:sz w:val="18"/>
          <w:szCs w:val="18"/>
          <w:color w:val="51555C"/>
        </w:rPr>
        <w:t>Participant’s Continuous Service is terminated for Cause, all Options and Stock Appreciation Rights shall terminate upon the termination date of such Participant’s Continuous Service, and the Participant shall be prohibited from exercising his or her Option and Stock Appreciation Rights from and after the time of such termination of Continuous Service.</w:t>
      </w:r>
    </w:p>
    <w:p>
      <w:pPr>
        <w:spacing w:after="0" w:line="122" w:lineRule="exact"/>
        <w:rPr>
          <w:rFonts w:ascii="Arial" w:cs="Arial" w:eastAsia="Arial" w:hAnsi="Arial"/>
          <w:sz w:val="18"/>
          <w:szCs w:val="18"/>
          <w:b w:val="1"/>
          <w:bCs w:val="1"/>
          <w:color w:val="51555C"/>
        </w:rPr>
      </w:pPr>
    </w:p>
    <w:p>
      <w:pPr>
        <w:jc w:val="both"/>
        <w:ind w:firstLine="656"/>
        <w:spacing w:after="0" w:line="254" w:lineRule="auto"/>
        <w:tabs>
          <w:tab w:leader="none" w:pos="1104" w:val="left"/>
        </w:tabs>
        <w:numPr>
          <w:ilvl w:val="1"/>
          <w:numId w:val="122"/>
        </w:numPr>
        <w:rPr>
          <w:rFonts w:ascii="Arial" w:cs="Arial" w:eastAsia="Arial" w:hAnsi="Arial"/>
          <w:sz w:val="18"/>
          <w:szCs w:val="18"/>
          <w:b w:val="1"/>
          <w:bCs w:val="1"/>
          <w:color w:val="51555C"/>
        </w:rPr>
      </w:pPr>
      <w:r>
        <w:rPr>
          <w:rFonts w:ascii="Arial" w:cs="Arial" w:eastAsia="Arial" w:hAnsi="Arial"/>
          <w:sz w:val="18"/>
          <w:szCs w:val="18"/>
          <w:b w:val="1"/>
          <w:bCs w:val="1"/>
          <w:color w:val="51555C"/>
        </w:rPr>
        <w:t>Non-Exempt Employees</w:t>
      </w:r>
      <w:r>
        <w:rPr>
          <w:rFonts w:ascii="Arial" w:cs="Arial" w:eastAsia="Arial" w:hAnsi="Arial"/>
          <w:sz w:val="18"/>
          <w:szCs w:val="18"/>
          <w:color w:val="51555C"/>
        </w:rPr>
        <w:t>. No Option or Stock Appreciation Right granted to an Employee who is a non-exempt employee for</w:t>
      </w:r>
      <w:r>
        <w:rPr>
          <w:rFonts w:ascii="Arial" w:cs="Arial" w:eastAsia="Arial" w:hAnsi="Arial"/>
          <w:sz w:val="18"/>
          <w:szCs w:val="18"/>
          <w:b w:val="1"/>
          <w:bCs w:val="1"/>
          <w:color w:val="51555C"/>
        </w:rPr>
        <w:t xml:space="preserve"> </w:t>
      </w:r>
      <w:r>
        <w:rPr>
          <w:rFonts w:ascii="Arial" w:cs="Arial" w:eastAsia="Arial" w:hAnsi="Arial"/>
          <w:sz w:val="18"/>
          <w:szCs w:val="18"/>
          <w:color w:val="51555C"/>
        </w:rPr>
        <w:t>purposes of the Fair Labor Standards Act shall be first exercisable for any shares of Common Stock until at least six (6) months following the date of grant of the Option or Stock Appreciation Right. Notwithstanding the foregoing, to the extent consistent with the provisions of the Worker Economic Opportunity Act, (i) in the event of the Participant’s death or Disability, (ii) upon a Change in Control, or (iii) upon the Participant’s retirement (as such term may be defined in the Participant’s Award Agreement or in another applicable agreement or in accordance with the Company’s then current employment policies and guidelines), any such vested Options and Stock Appreciation Rights may be exercised earlier than six (6) months following the date of grant. The foregoing provision is intended to operate so that any income derived by a non-exempt employee in connection with the exercise or vesting of an Option or Stock Appreciation Right will be exempt from his or her regular rate of pay, and to the extent permitted and/or required in this regard, the provisions of this Section 5(q) will apply to all such relevant Awards and are hereby incorporated by reference into such Award Agreements.</w:t>
      </w:r>
    </w:p>
    <w:p>
      <w:pPr>
        <w:spacing w:after="0" w:line="131" w:lineRule="exact"/>
        <w:rPr>
          <w:rFonts w:ascii="Arial" w:cs="Arial" w:eastAsia="Arial" w:hAnsi="Arial"/>
          <w:sz w:val="18"/>
          <w:szCs w:val="18"/>
          <w:b w:val="1"/>
          <w:bCs w:val="1"/>
          <w:color w:val="51555C"/>
        </w:rPr>
      </w:pPr>
    </w:p>
    <w:p>
      <w:pPr>
        <w:jc w:val="both"/>
        <w:ind w:firstLine="656"/>
        <w:spacing w:after="0" w:line="256" w:lineRule="auto"/>
        <w:tabs>
          <w:tab w:leader="none" w:pos="1078" w:val="left"/>
        </w:tabs>
        <w:numPr>
          <w:ilvl w:val="1"/>
          <w:numId w:val="122"/>
        </w:numPr>
        <w:rPr>
          <w:rFonts w:ascii="Arial" w:cs="Arial" w:eastAsia="Arial" w:hAnsi="Arial"/>
          <w:sz w:val="18"/>
          <w:szCs w:val="18"/>
          <w:b w:val="1"/>
          <w:bCs w:val="1"/>
          <w:color w:val="51555C"/>
        </w:rPr>
      </w:pPr>
      <w:r>
        <w:rPr>
          <w:rFonts w:ascii="Arial" w:cs="Arial" w:eastAsia="Arial" w:hAnsi="Arial"/>
          <w:sz w:val="18"/>
          <w:szCs w:val="18"/>
          <w:b w:val="1"/>
          <w:bCs w:val="1"/>
          <w:color w:val="51555C"/>
        </w:rPr>
        <w:t>Incentive Stock Option $100,000 Limitation</w:t>
      </w:r>
      <w:r>
        <w:rPr>
          <w:rFonts w:ascii="Arial" w:cs="Arial" w:eastAsia="Arial" w:hAnsi="Arial"/>
          <w:sz w:val="18"/>
          <w:szCs w:val="18"/>
          <w:color w:val="51555C"/>
        </w:rPr>
        <w:t>. To the extent that the aggregate Fair Market Value (determined at the time of</w:t>
      </w:r>
      <w:r>
        <w:rPr>
          <w:rFonts w:ascii="Arial" w:cs="Arial" w:eastAsia="Arial" w:hAnsi="Arial"/>
          <w:sz w:val="18"/>
          <w:szCs w:val="18"/>
          <w:b w:val="1"/>
          <w:bCs w:val="1"/>
          <w:color w:val="51555C"/>
        </w:rPr>
        <w:t xml:space="preserve"> </w:t>
      </w:r>
      <w:r>
        <w:rPr>
          <w:rFonts w:ascii="Arial" w:cs="Arial" w:eastAsia="Arial" w:hAnsi="Arial"/>
          <w:sz w:val="18"/>
          <w:szCs w:val="18"/>
          <w:color w:val="51555C"/>
        </w:rPr>
        <w:t>grant) of Common Stock with respect to which Incentive Stock Options are exercisable for the first time by any Optionholder during any calendar year (under all plans of the Company and any Affiliates) exceeds one hundred thousand dollars ($100,000) or such other applicable limitation set forth in Section 422 of the Code, the Options or portions thereof that exceed such limit shall be treated as Nonstatutory Stock Options, notwithstanding any contrary provision of the applicable Option Agreement(s). The determination of which Incentive Stock Options shall be treated as Nonstatutory Stock Options shall be made in accordance with applicable rules and regulations under the Code, including to the extent provided therein that such determination shall be based on the order in which such Incentive Stock Options were granted.</w:t>
      </w:r>
    </w:p>
    <w:p>
      <w:pPr>
        <w:spacing w:after="0" w:line="128" w:lineRule="exact"/>
        <w:rPr>
          <w:rFonts w:ascii="Arial" w:cs="Arial" w:eastAsia="Arial" w:hAnsi="Arial"/>
          <w:sz w:val="18"/>
          <w:szCs w:val="18"/>
          <w:b w:val="1"/>
          <w:bCs w:val="1"/>
          <w:color w:val="51555C"/>
        </w:rPr>
      </w:pPr>
    </w:p>
    <w:p>
      <w:pPr>
        <w:jc w:val="both"/>
        <w:ind w:firstLine="656"/>
        <w:spacing w:after="0" w:line="262" w:lineRule="auto"/>
        <w:tabs>
          <w:tab w:leader="none" w:pos="1081" w:val="left"/>
        </w:tabs>
        <w:numPr>
          <w:ilvl w:val="1"/>
          <w:numId w:val="122"/>
        </w:numPr>
        <w:rPr>
          <w:rFonts w:ascii="Arial" w:cs="Arial" w:eastAsia="Arial" w:hAnsi="Arial"/>
          <w:sz w:val="18"/>
          <w:szCs w:val="18"/>
          <w:b w:val="1"/>
          <w:bCs w:val="1"/>
          <w:color w:val="51555C"/>
        </w:rPr>
      </w:pPr>
      <w:r>
        <w:rPr>
          <w:rFonts w:ascii="Arial" w:cs="Arial" w:eastAsia="Arial" w:hAnsi="Arial"/>
          <w:sz w:val="18"/>
          <w:szCs w:val="18"/>
          <w:b w:val="1"/>
          <w:bCs w:val="1"/>
          <w:color w:val="51555C"/>
        </w:rPr>
        <w:t>Compliance with Section 409A of the Code</w:t>
      </w:r>
      <w:r>
        <w:rPr>
          <w:rFonts w:ascii="Arial" w:cs="Arial" w:eastAsia="Arial" w:hAnsi="Arial"/>
          <w:sz w:val="18"/>
          <w:szCs w:val="18"/>
          <w:color w:val="51555C"/>
        </w:rPr>
        <w:t>. Notwithstanding anything to the contrary set forth herein, any Options or Stock</w:t>
      </w:r>
      <w:r>
        <w:rPr>
          <w:rFonts w:ascii="Arial" w:cs="Arial" w:eastAsia="Arial" w:hAnsi="Arial"/>
          <w:sz w:val="18"/>
          <w:szCs w:val="18"/>
          <w:b w:val="1"/>
          <w:bCs w:val="1"/>
          <w:color w:val="51555C"/>
        </w:rPr>
        <w:t xml:space="preserve"> </w:t>
      </w:r>
      <w:r>
        <w:rPr>
          <w:rFonts w:ascii="Arial" w:cs="Arial" w:eastAsia="Arial" w:hAnsi="Arial"/>
          <w:sz w:val="18"/>
          <w:szCs w:val="18"/>
          <w:color w:val="51555C"/>
        </w:rPr>
        <w:t>Appreciation Rights granted under the Plan that are not exempt from the requirements of Section 409A of the Code shall incorporate terms and conditions necessary to avoid the consequences described in Section 409A(a)(1) of the Code. Such restrictions, if any, shall be determined by the Committee and contained in the Stock Award Agreement evidencing such Option or Stock Appreciation Right.</w:t>
      </w:r>
    </w:p>
    <w:p>
      <w:pPr>
        <w:spacing w:after="0" w:line="122" w:lineRule="exact"/>
        <w:rPr>
          <w:rFonts w:ascii="Arial" w:cs="Arial" w:eastAsia="Arial" w:hAnsi="Arial"/>
          <w:sz w:val="18"/>
          <w:szCs w:val="18"/>
          <w:b w:val="1"/>
          <w:bCs w:val="1"/>
          <w:color w:val="51555C"/>
        </w:rPr>
      </w:pPr>
    </w:p>
    <w:p>
      <w:pPr>
        <w:ind w:left="1040" w:hanging="384"/>
        <w:spacing w:after="0"/>
        <w:tabs>
          <w:tab w:leader="none" w:pos="1040" w:val="left"/>
        </w:tabs>
        <w:numPr>
          <w:ilvl w:val="1"/>
          <w:numId w:val="122"/>
        </w:numPr>
        <w:rPr>
          <w:rFonts w:ascii="Arial" w:cs="Arial" w:eastAsia="Arial" w:hAnsi="Arial"/>
          <w:sz w:val="18"/>
          <w:szCs w:val="18"/>
          <w:b w:val="1"/>
          <w:bCs w:val="1"/>
          <w:color w:val="51555C"/>
        </w:rPr>
      </w:pPr>
      <w:r>
        <w:rPr>
          <w:rFonts w:ascii="Arial" w:cs="Arial" w:eastAsia="Arial" w:hAnsi="Arial"/>
          <w:sz w:val="18"/>
          <w:szCs w:val="18"/>
          <w:b w:val="1"/>
          <w:bCs w:val="1"/>
          <w:color w:val="51555C"/>
        </w:rPr>
        <w:t>No Dividend Equivalents</w:t>
      </w:r>
      <w:r>
        <w:rPr>
          <w:rFonts w:ascii="Arial" w:cs="Arial" w:eastAsia="Arial" w:hAnsi="Arial"/>
          <w:sz w:val="18"/>
          <w:szCs w:val="18"/>
          <w:color w:val="51555C"/>
        </w:rPr>
        <w:t>. No dividend equivalents may be granted with respect to Options or Stock Appreciation Rights.</w:t>
      </w:r>
    </w:p>
    <w:p>
      <w:pPr>
        <w:spacing w:after="0" w:line="171" w:lineRule="exact"/>
        <w:rPr>
          <w:rFonts w:ascii="Arial" w:cs="Arial" w:eastAsia="Arial" w:hAnsi="Arial"/>
          <w:sz w:val="18"/>
          <w:szCs w:val="18"/>
          <w:b w:val="1"/>
          <w:bCs w:val="1"/>
          <w:color w:val="51555C"/>
        </w:rPr>
      </w:pPr>
    </w:p>
    <w:p>
      <w:pPr>
        <w:ind w:left="360" w:hanging="352"/>
        <w:spacing w:after="0"/>
        <w:tabs>
          <w:tab w:leader="none" w:pos="360" w:val="left"/>
        </w:tabs>
        <w:numPr>
          <w:ilvl w:val="0"/>
          <w:numId w:val="123"/>
        </w:numPr>
        <w:rPr>
          <w:rFonts w:ascii="Arial" w:cs="Arial" w:eastAsia="Arial" w:hAnsi="Arial"/>
          <w:sz w:val="18"/>
          <w:szCs w:val="18"/>
          <w:b w:val="1"/>
          <w:bCs w:val="1"/>
          <w:color w:val="51555C"/>
        </w:rPr>
      </w:pPr>
      <w:r>
        <w:rPr>
          <w:rFonts w:ascii="Arial" w:cs="Arial" w:eastAsia="Arial" w:hAnsi="Arial"/>
          <w:sz w:val="18"/>
          <w:szCs w:val="18"/>
          <w:b w:val="1"/>
          <w:bCs w:val="1"/>
          <w:color w:val="51555C"/>
        </w:rPr>
        <w:t>STOCK AWARDS OTHER THAN OPTIONS AND STOCK APPRECIATION RIGHTS</w:t>
      </w:r>
    </w:p>
    <w:p>
      <w:pPr>
        <w:spacing w:after="0" w:line="171" w:lineRule="exact"/>
        <w:rPr>
          <w:rFonts w:ascii="Arial" w:cs="Arial" w:eastAsia="Arial" w:hAnsi="Arial"/>
          <w:sz w:val="18"/>
          <w:szCs w:val="18"/>
          <w:b w:val="1"/>
          <w:bCs w:val="1"/>
          <w:color w:val="51555C"/>
        </w:rPr>
      </w:pPr>
    </w:p>
    <w:p>
      <w:pPr>
        <w:jc w:val="both"/>
        <w:ind w:firstLine="656"/>
        <w:spacing w:after="0" w:line="255" w:lineRule="auto"/>
        <w:tabs>
          <w:tab w:leader="none" w:pos="1108" w:val="left"/>
        </w:tabs>
        <w:numPr>
          <w:ilvl w:val="1"/>
          <w:numId w:val="123"/>
        </w:numPr>
        <w:rPr>
          <w:rFonts w:ascii="Arial" w:cs="Arial" w:eastAsia="Arial" w:hAnsi="Arial"/>
          <w:sz w:val="18"/>
          <w:szCs w:val="18"/>
          <w:b w:val="1"/>
          <w:bCs w:val="1"/>
          <w:color w:val="51555C"/>
        </w:rPr>
      </w:pPr>
      <w:r>
        <w:rPr>
          <w:rFonts w:ascii="Arial" w:cs="Arial" w:eastAsia="Arial" w:hAnsi="Arial"/>
          <w:sz w:val="18"/>
          <w:szCs w:val="18"/>
          <w:b w:val="1"/>
          <w:bCs w:val="1"/>
          <w:color w:val="51555C"/>
        </w:rPr>
        <w:t>Restricted Stock Awards</w:t>
      </w:r>
      <w:r>
        <w:rPr>
          <w:rFonts w:ascii="Arial" w:cs="Arial" w:eastAsia="Arial" w:hAnsi="Arial"/>
          <w:sz w:val="18"/>
          <w:szCs w:val="18"/>
          <w:color w:val="51555C"/>
        </w:rPr>
        <w:t>. Each Restricted Stock Award Agreement shall be in such form and shall contain such terms and</w:t>
      </w:r>
      <w:r>
        <w:rPr>
          <w:rFonts w:ascii="Arial" w:cs="Arial" w:eastAsia="Arial" w:hAnsi="Arial"/>
          <w:sz w:val="18"/>
          <w:szCs w:val="18"/>
          <w:b w:val="1"/>
          <w:bCs w:val="1"/>
          <w:color w:val="51555C"/>
        </w:rPr>
        <w:t xml:space="preserve"> </w:t>
      </w:r>
      <w:r>
        <w:rPr>
          <w:rFonts w:ascii="Arial" w:cs="Arial" w:eastAsia="Arial" w:hAnsi="Arial"/>
          <w:sz w:val="18"/>
          <w:szCs w:val="18"/>
          <w:color w:val="51555C"/>
        </w:rPr>
        <w:t xml:space="preserve">conditions as the Committee shall deem appropriate. To the extent consistent with the Company’s Bylaws or other applicable organizational documents, at the Committee’s election, shares of Common Stock may be (x) held in book entry form subject to the Company’s instructions until any restrictions relating to the Restricted Stock Award lapse, or (y) evidenced by a certificate, which certificate shall be held in such form and manner as determined by the Committee and contain such legends as the Committee deems appropriate and with the Participant to deliver such stock powers or other instruments as the Committee may require. The terms and conditions of Restricted Stock Award Agreements may change from time to time, and the terms and conditions of separate Restricted Stock Award Agreements need not be identical; </w:t>
      </w:r>
      <w:r>
        <w:rPr>
          <w:rFonts w:ascii="Arial" w:cs="Arial" w:eastAsia="Arial" w:hAnsi="Arial"/>
          <w:sz w:val="18"/>
          <w:szCs w:val="18"/>
          <w:i w:val="1"/>
          <w:iCs w:val="1"/>
          <w:color w:val="51555C"/>
        </w:rPr>
        <w:t>provided, however</w:t>
      </w:r>
      <w:r>
        <w:rPr>
          <w:rFonts w:ascii="Arial" w:cs="Arial" w:eastAsia="Arial" w:hAnsi="Arial"/>
          <w:sz w:val="18"/>
          <w:szCs w:val="18"/>
          <w:color w:val="51555C"/>
        </w:rPr>
        <w:t>, that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223520</wp:posOffset>
            </wp:positionV>
            <wp:extent cx="702945" cy="11112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97</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99" w:name="page100"/>
    <w:bookmarkEnd w:id="99"/>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APPENDICES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51555C"/>
        </w:rPr>
        <w:t>Restricted Stock Award Agreement shall conform to (through incorporation of the provisions hereof by reference in the Restricted Stock Award Agreement or otherwise) the substance of each of the following provisions:</w:t>
      </w:r>
    </w:p>
    <w:p>
      <w:pPr>
        <w:spacing w:after="0" w:line="99" w:lineRule="exact"/>
        <w:rPr>
          <w:sz w:val="20"/>
          <w:szCs w:val="20"/>
          <w:color w:val="auto"/>
        </w:rPr>
      </w:pPr>
    </w:p>
    <w:p>
      <w:pPr>
        <w:jc w:val="both"/>
        <w:ind w:firstLine="1304"/>
        <w:spacing w:after="0" w:line="268" w:lineRule="auto"/>
        <w:tabs>
          <w:tab w:leader="none" w:pos="1706" w:val="left"/>
        </w:tabs>
        <w:numPr>
          <w:ilvl w:val="1"/>
          <w:numId w:val="124"/>
        </w:numPr>
        <w:rPr>
          <w:rFonts w:ascii="Arial" w:cs="Arial" w:eastAsia="Arial" w:hAnsi="Arial"/>
          <w:sz w:val="18"/>
          <w:szCs w:val="18"/>
          <w:b w:val="1"/>
          <w:bCs w:val="1"/>
          <w:color w:val="51555C"/>
        </w:rPr>
      </w:pPr>
      <w:r>
        <w:rPr>
          <w:rFonts w:ascii="Arial" w:cs="Arial" w:eastAsia="Arial" w:hAnsi="Arial"/>
          <w:sz w:val="18"/>
          <w:szCs w:val="18"/>
          <w:b w:val="1"/>
          <w:bCs w:val="1"/>
          <w:color w:val="51555C"/>
        </w:rPr>
        <w:t>Consideration</w:t>
      </w:r>
      <w:r>
        <w:rPr>
          <w:rFonts w:ascii="Arial" w:cs="Arial" w:eastAsia="Arial" w:hAnsi="Arial"/>
          <w:sz w:val="18"/>
          <w:szCs w:val="18"/>
          <w:color w:val="51555C"/>
        </w:rPr>
        <w:t>. A Restricted Stock Award may be awarded in consideration for (A) cash, check, bank draft or money</w:t>
      </w:r>
      <w:r>
        <w:rPr>
          <w:rFonts w:ascii="Arial" w:cs="Arial" w:eastAsia="Arial" w:hAnsi="Arial"/>
          <w:sz w:val="18"/>
          <w:szCs w:val="18"/>
          <w:b w:val="1"/>
          <w:bCs w:val="1"/>
          <w:color w:val="51555C"/>
        </w:rPr>
        <w:t xml:space="preserve"> </w:t>
      </w:r>
      <w:r>
        <w:rPr>
          <w:rFonts w:ascii="Arial" w:cs="Arial" w:eastAsia="Arial" w:hAnsi="Arial"/>
          <w:sz w:val="18"/>
          <w:szCs w:val="18"/>
          <w:color w:val="51555C"/>
        </w:rPr>
        <w:t>order payable to the Company; (B) past or future services actually or to be rendered to the Company or an Affiliate; or (C) any other form of legal consideration that may be acceptable to the Committee in its sole discretion and permissible under applicable law.</w:t>
      </w:r>
    </w:p>
    <w:p>
      <w:pPr>
        <w:spacing w:after="0" w:line="116" w:lineRule="exact"/>
        <w:rPr>
          <w:rFonts w:ascii="Arial" w:cs="Arial" w:eastAsia="Arial" w:hAnsi="Arial"/>
          <w:sz w:val="18"/>
          <w:szCs w:val="18"/>
          <w:b w:val="1"/>
          <w:bCs w:val="1"/>
          <w:color w:val="51555C"/>
        </w:rPr>
      </w:pPr>
    </w:p>
    <w:p>
      <w:pPr>
        <w:jc w:val="both"/>
        <w:ind w:firstLine="1304"/>
        <w:spacing w:after="0" w:line="255" w:lineRule="auto"/>
        <w:tabs>
          <w:tab w:leader="none" w:pos="1729" w:val="left"/>
        </w:tabs>
        <w:numPr>
          <w:ilvl w:val="1"/>
          <w:numId w:val="124"/>
        </w:numPr>
        <w:rPr>
          <w:rFonts w:ascii="Arial" w:cs="Arial" w:eastAsia="Arial" w:hAnsi="Arial"/>
          <w:sz w:val="18"/>
          <w:szCs w:val="18"/>
          <w:b w:val="1"/>
          <w:bCs w:val="1"/>
          <w:color w:val="51555C"/>
        </w:rPr>
      </w:pPr>
      <w:r>
        <w:rPr>
          <w:rFonts w:ascii="Arial" w:cs="Arial" w:eastAsia="Arial" w:hAnsi="Arial"/>
          <w:sz w:val="18"/>
          <w:szCs w:val="18"/>
          <w:b w:val="1"/>
          <w:bCs w:val="1"/>
          <w:color w:val="51555C"/>
        </w:rPr>
        <w:t>Vesting and Restrictions</w:t>
      </w:r>
      <w:r>
        <w:rPr>
          <w:rFonts w:ascii="Arial" w:cs="Arial" w:eastAsia="Arial" w:hAnsi="Arial"/>
          <w:sz w:val="18"/>
          <w:szCs w:val="18"/>
          <w:color w:val="51555C"/>
        </w:rPr>
        <w:t>. Subject to Section 3(f), the Committee may impose such conditions and restrictions on the</w:t>
      </w:r>
      <w:r>
        <w:rPr>
          <w:rFonts w:ascii="Arial" w:cs="Arial" w:eastAsia="Arial" w:hAnsi="Arial"/>
          <w:sz w:val="18"/>
          <w:szCs w:val="18"/>
          <w:b w:val="1"/>
          <w:bCs w:val="1"/>
          <w:color w:val="51555C"/>
        </w:rPr>
        <w:t xml:space="preserve"> </w:t>
      </w:r>
      <w:r>
        <w:rPr>
          <w:rFonts w:ascii="Arial" w:cs="Arial" w:eastAsia="Arial" w:hAnsi="Arial"/>
          <w:sz w:val="18"/>
          <w:szCs w:val="18"/>
          <w:color w:val="51555C"/>
        </w:rPr>
        <w:t>grant, vesting or retention of a Restricted Stock Award as it determines, including, but not limited to, restrictions based upon the occurrence of a specific event, continued service for a period of time or other time-based restrictions, or the achievement of financial or other business objectives (including Performance Goals). The Committee may provide that such restrictions may lapse separately or in combination at such time or times and with respect to all shares of Restricted Stock Award or in installments or otherwise as the Committee may deem appropriate. If a Participant makes an election pursuant to Section 83(b) of the Code with respect to a Restricted Stock Award, the Participant shall be required to promptly file a copy of such election with the Company as required under Section 83(b) of the Code. The Committee may provide in a Restricted Stock Award Agreement that a Restricted Stock Award is subject to the Participant making or refraining from making an election under Section 83(b) of the Code.</w:t>
      </w:r>
    </w:p>
    <w:p>
      <w:pPr>
        <w:spacing w:after="0" w:line="126" w:lineRule="exact"/>
        <w:rPr>
          <w:rFonts w:ascii="Arial" w:cs="Arial" w:eastAsia="Arial" w:hAnsi="Arial"/>
          <w:sz w:val="18"/>
          <w:szCs w:val="18"/>
          <w:b w:val="1"/>
          <w:bCs w:val="1"/>
          <w:color w:val="51555C"/>
        </w:rPr>
      </w:pPr>
    </w:p>
    <w:p>
      <w:pPr>
        <w:jc w:val="both"/>
        <w:ind w:firstLine="1304"/>
        <w:spacing w:after="0" w:line="268" w:lineRule="auto"/>
        <w:tabs>
          <w:tab w:leader="none" w:pos="1820" w:val="left"/>
        </w:tabs>
        <w:numPr>
          <w:ilvl w:val="1"/>
          <w:numId w:val="124"/>
        </w:numPr>
        <w:rPr>
          <w:rFonts w:ascii="Arial" w:cs="Arial" w:eastAsia="Arial" w:hAnsi="Arial"/>
          <w:sz w:val="18"/>
          <w:szCs w:val="18"/>
          <w:b w:val="1"/>
          <w:bCs w:val="1"/>
          <w:color w:val="51555C"/>
        </w:rPr>
      </w:pPr>
      <w:r>
        <w:rPr>
          <w:rFonts w:ascii="Arial" w:cs="Arial" w:eastAsia="Arial" w:hAnsi="Arial"/>
          <w:sz w:val="18"/>
          <w:szCs w:val="18"/>
          <w:b w:val="1"/>
          <w:bCs w:val="1"/>
          <w:color w:val="51555C"/>
        </w:rPr>
        <w:t>Termination of Participant’s Continuous Service</w:t>
      </w:r>
      <w:r>
        <w:rPr>
          <w:rFonts w:ascii="Arial" w:cs="Arial" w:eastAsia="Arial" w:hAnsi="Arial"/>
          <w:sz w:val="18"/>
          <w:szCs w:val="18"/>
          <w:color w:val="51555C"/>
        </w:rPr>
        <w:t>. In the event a Participant’s Continuous Service terminates, the</w:t>
      </w:r>
      <w:r>
        <w:rPr>
          <w:rFonts w:ascii="Arial" w:cs="Arial" w:eastAsia="Arial" w:hAnsi="Arial"/>
          <w:sz w:val="18"/>
          <w:szCs w:val="18"/>
          <w:b w:val="1"/>
          <w:bCs w:val="1"/>
          <w:color w:val="51555C"/>
        </w:rPr>
        <w:t xml:space="preserve"> </w:t>
      </w:r>
      <w:r>
        <w:rPr>
          <w:rFonts w:ascii="Arial" w:cs="Arial" w:eastAsia="Arial" w:hAnsi="Arial"/>
          <w:sz w:val="18"/>
          <w:szCs w:val="18"/>
          <w:color w:val="51555C"/>
        </w:rPr>
        <w:t>Company may receive via a forfeiture condition or a repurchase right, any or all of the shares of Common Stock held by the Participant which have not vested as of the date of termination of Continuous Service under the terms of the Restricted Stock Award Agreement.</w:t>
      </w:r>
    </w:p>
    <w:p>
      <w:pPr>
        <w:spacing w:after="0" w:line="116" w:lineRule="exact"/>
        <w:rPr>
          <w:rFonts w:ascii="Arial" w:cs="Arial" w:eastAsia="Arial" w:hAnsi="Arial"/>
          <w:sz w:val="18"/>
          <w:szCs w:val="18"/>
          <w:b w:val="1"/>
          <w:bCs w:val="1"/>
          <w:color w:val="51555C"/>
        </w:rPr>
      </w:pPr>
    </w:p>
    <w:p>
      <w:pPr>
        <w:jc w:val="both"/>
        <w:ind w:firstLine="1304"/>
        <w:spacing w:after="0" w:line="262" w:lineRule="auto"/>
        <w:tabs>
          <w:tab w:leader="none" w:pos="1779" w:val="left"/>
        </w:tabs>
        <w:numPr>
          <w:ilvl w:val="1"/>
          <w:numId w:val="124"/>
        </w:numPr>
        <w:rPr>
          <w:rFonts w:ascii="Arial" w:cs="Arial" w:eastAsia="Arial" w:hAnsi="Arial"/>
          <w:sz w:val="18"/>
          <w:szCs w:val="18"/>
          <w:b w:val="1"/>
          <w:bCs w:val="1"/>
          <w:color w:val="51555C"/>
        </w:rPr>
      </w:pPr>
      <w:r>
        <w:rPr>
          <w:rFonts w:ascii="Arial" w:cs="Arial" w:eastAsia="Arial" w:hAnsi="Arial"/>
          <w:sz w:val="18"/>
          <w:szCs w:val="18"/>
          <w:b w:val="1"/>
          <w:bCs w:val="1"/>
          <w:color w:val="51555C"/>
        </w:rPr>
        <w:t>Transferability</w:t>
      </w:r>
      <w:r>
        <w:rPr>
          <w:rFonts w:ascii="Arial" w:cs="Arial" w:eastAsia="Arial" w:hAnsi="Arial"/>
          <w:sz w:val="18"/>
          <w:szCs w:val="18"/>
          <w:color w:val="51555C"/>
        </w:rPr>
        <w:t>. Shares of Common Stock granted under the Restricted Stock Award Agreement shall be transferable</w:t>
      </w:r>
      <w:r>
        <w:rPr>
          <w:rFonts w:ascii="Arial" w:cs="Arial" w:eastAsia="Arial" w:hAnsi="Arial"/>
          <w:sz w:val="18"/>
          <w:szCs w:val="18"/>
          <w:b w:val="1"/>
          <w:bCs w:val="1"/>
          <w:color w:val="51555C"/>
        </w:rPr>
        <w:t xml:space="preserve"> </w:t>
      </w:r>
      <w:r>
        <w:rPr>
          <w:rFonts w:ascii="Arial" w:cs="Arial" w:eastAsia="Arial" w:hAnsi="Arial"/>
          <w:sz w:val="18"/>
          <w:szCs w:val="18"/>
          <w:color w:val="51555C"/>
        </w:rPr>
        <w:t>by the Participant only upon such terms and conditions as are set forth in the Restricted Stock Award Agreement, as the Committee shall determine in its sole discretion, so long as Common Stock awarded under the Restricted Stock Award Agreement remains subject to the terms of the Restricted Stock Award Agreement.</w:t>
      </w:r>
    </w:p>
    <w:p>
      <w:pPr>
        <w:spacing w:after="0" w:line="122" w:lineRule="exact"/>
        <w:rPr>
          <w:rFonts w:ascii="Arial" w:cs="Arial" w:eastAsia="Arial" w:hAnsi="Arial"/>
          <w:sz w:val="18"/>
          <w:szCs w:val="18"/>
          <w:b w:val="1"/>
          <w:bCs w:val="1"/>
          <w:color w:val="51555C"/>
        </w:rPr>
      </w:pPr>
    </w:p>
    <w:p>
      <w:pPr>
        <w:jc w:val="both"/>
        <w:ind w:firstLine="1304"/>
        <w:spacing w:after="0" w:line="253" w:lineRule="auto"/>
        <w:tabs>
          <w:tab w:leader="none" w:pos="1729" w:val="left"/>
        </w:tabs>
        <w:numPr>
          <w:ilvl w:val="1"/>
          <w:numId w:val="124"/>
        </w:numPr>
        <w:rPr>
          <w:rFonts w:ascii="Arial" w:cs="Arial" w:eastAsia="Arial" w:hAnsi="Arial"/>
          <w:sz w:val="18"/>
          <w:szCs w:val="18"/>
          <w:b w:val="1"/>
          <w:bCs w:val="1"/>
          <w:color w:val="51555C"/>
        </w:rPr>
      </w:pPr>
      <w:r>
        <w:rPr>
          <w:rFonts w:ascii="Arial" w:cs="Arial" w:eastAsia="Arial" w:hAnsi="Arial"/>
          <w:sz w:val="18"/>
          <w:szCs w:val="18"/>
          <w:b w:val="1"/>
          <w:bCs w:val="1"/>
          <w:color w:val="51555C"/>
        </w:rPr>
        <w:t>Stockholder Rights</w:t>
      </w:r>
      <w:r>
        <w:rPr>
          <w:rFonts w:ascii="Arial" w:cs="Arial" w:eastAsia="Arial" w:hAnsi="Arial"/>
          <w:sz w:val="18"/>
          <w:szCs w:val="18"/>
          <w:color w:val="51555C"/>
        </w:rPr>
        <w:t>. Unless otherwise provided in the Restricted Stock Award Agreement, a Participant that has been</w:t>
      </w:r>
      <w:r>
        <w:rPr>
          <w:rFonts w:ascii="Arial" w:cs="Arial" w:eastAsia="Arial" w:hAnsi="Arial"/>
          <w:sz w:val="18"/>
          <w:szCs w:val="18"/>
          <w:b w:val="1"/>
          <w:bCs w:val="1"/>
          <w:color w:val="51555C"/>
        </w:rPr>
        <w:t xml:space="preserve"> </w:t>
      </w:r>
      <w:r>
        <w:rPr>
          <w:rFonts w:ascii="Arial" w:cs="Arial" w:eastAsia="Arial" w:hAnsi="Arial"/>
          <w:sz w:val="18"/>
          <w:szCs w:val="18"/>
          <w:color w:val="51555C"/>
        </w:rPr>
        <w:t>granted a Restricted Stock Award shall have the right to vote the shares of Common Stock subject to the Restricted Stock Award and the right to receive dividends with respect to such shares of Common Stock, if and when declared by the Board; provided, that any such dividends shall be subject to forfeiture to the same extent as the corresponding shares of Common Stock subject to the Restricted Stock Award and shall not be payable sooner than the date on which such underlying shares have vested. Any such dividends shall be payable as soon as administratively practicable following the time the corresponding shares of Common Stock subject to the Restricted Stock Award vest and become non-forfeitable or such later time as may be set forth in the Stock Award Agreement consistent with an exemption from, or in compliance with, Section 409A of the Code. Notwithstanding the foregoing, the Committee may require that any cash dividends be automatically reinvested in additional shares of Common Stock under the Restricted Stock Award. With respect to any additional shares of Common Stock received in respect of a Restricted Stock Award as a result of adjustments under Section 11(a) or from dividends declared on the Common Stock, the Participant shall have the same rights and privileges, and be subject to the same restrictions (including without limitation vesting conditions), as are set forth in Section 6(a) and the Restricted Stock Award Agreement.</w:t>
      </w:r>
    </w:p>
    <w:p>
      <w:pPr>
        <w:spacing w:after="0" w:line="135" w:lineRule="exact"/>
        <w:rPr>
          <w:rFonts w:ascii="Arial" w:cs="Arial" w:eastAsia="Arial" w:hAnsi="Arial"/>
          <w:sz w:val="18"/>
          <w:szCs w:val="18"/>
          <w:b w:val="1"/>
          <w:bCs w:val="1"/>
          <w:color w:val="51555C"/>
        </w:rPr>
      </w:pPr>
    </w:p>
    <w:p>
      <w:pPr>
        <w:jc w:val="both"/>
        <w:ind w:firstLine="656"/>
        <w:spacing w:after="0" w:line="259" w:lineRule="auto"/>
        <w:tabs>
          <w:tab w:leader="none" w:pos="1131" w:val="left"/>
        </w:tabs>
        <w:numPr>
          <w:ilvl w:val="0"/>
          <w:numId w:val="125"/>
        </w:numPr>
        <w:rPr>
          <w:rFonts w:ascii="Arial" w:cs="Arial" w:eastAsia="Arial" w:hAnsi="Arial"/>
          <w:sz w:val="18"/>
          <w:szCs w:val="18"/>
          <w:b w:val="1"/>
          <w:bCs w:val="1"/>
          <w:color w:val="51555C"/>
        </w:rPr>
      </w:pPr>
      <w:r>
        <w:rPr>
          <w:rFonts w:ascii="Arial" w:cs="Arial" w:eastAsia="Arial" w:hAnsi="Arial"/>
          <w:sz w:val="18"/>
          <w:szCs w:val="18"/>
          <w:b w:val="1"/>
          <w:bCs w:val="1"/>
          <w:color w:val="51555C"/>
        </w:rPr>
        <w:t>Restricted Stock Unit Awards</w:t>
      </w:r>
      <w:r>
        <w:rPr>
          <w:rFonts w:ascii="Arial" w:cs="Arial" w:eastAsia="Arial" w:hAnsi="Arial"/>
          <w:sz w:val="18"/>
          <w:szCs w:val="18"/>
          <w:color w:val="51555C"/>
        </w:rPr>
        <w:t>. Each Restricted Stock Unit Award Agreement shall be in such form and shall contain such</w:t>
      </w:r>
      <w:r>
        <w:rPr>
          <w:rFonts w:ascii="Arial" w:cs="Arial" w:eastAsia="Arial" w:hAnsi="Arial"/>
          <w:sz w:val="18"/>
          <w:szCs w:val="18"/>
          <w:b w:val="1"/>
          <w:bCs w:val="1"/>
          <w:color w:val="51555C"/>
        </w:rPr>
        <w:t xml:space="preserve"> </w:t>
      </w:r>
      <w:r>
        <w:rPr>
          <w:rFonts w:ascii="Arial" w:cs="Arial" w:eastAsia="Arial" w:hAnsi="Arial"/>
          <w:sz w:val="18"/>
          <w:szCs w:val="18"/>
          <w:color w:val="51555C"/>
        </w:rPr>
        <w:t xml:space="preserve">terms and conditions as the Committee shall deem appropriate. The terms and conditions of Restricted Stock Unit Award Agreements may change from time to time, and the terms and conditions of separate Restricted Stock Unit Award Agreements need not be identical; </w:t>
      </w:r>
      <w:r>
        <w:rPr>
          <w:rFonts w:ascii="Arial" w:cs="Arial" w:eastAsia="Arial" w:hAnsi="Arial"/>
          <w:sz w:val="18"/>
          <w:szCs w:val="18"/>
          <w:i w:val="1"/>
          <w:iCs w:val="1"/>
          <w:color w:val="51555C"/>
        </w:rPr>
        <w:t>provided,</w:t>
      </w:r>
      <w:r>
        <w:rPr>
          <w:rFonts w:ascii="Arial" w:cs="Arial" w:eastAsia="Arial" w:hAnsi="Arial"/>
          <w:sz w:val="18"/>
          <w:szCs w:val="18"/>
          <w:color w:val="51555C"/>
        </w:rPr>
        <w:t xml:space="preserve"> </w:t>
      </w:r>
      <w:r>
        <w:rPr>
          <w:rFonts w:ascii="Arial" w:cs="Arial" w:eastAsia="Arial" w:hAnsi="Arial"/>
          <w:sz w:val="18"/>
          <w:szCs w:val="18"/>
          <w:i w:val="1"/>
          <w:iCs w:val="1"/>
          <w:color w:val="51555C"/>
        </w:rPr>
        <w:t xml:space="preserve">however, </w:t>
      </w:r>
      <w:r>
        <w:rPr>
          <w:rFonts w:ascii="Arial" w:cs="Arial" w:eastAsia="Arial" w:hAnsi="Arial"/>
          <w:sz w:val="18"/>
          <w:szCs w:val="18"/>
          <w:color w:val="51555C"/>
        </w:rPr>
        <w:t>that each Restricted Stock Unit Award Agreement shall conform to (through incorporation of the provisions hereof by reference in</w:t>
      </w:r>
      <w:r>
        <w:rPr>
          <w:rFonts w:ascii="Arial" w:cs="Arial" w:eastAsia="Arial" w:hAnsi="Arial"/>
          <w:sz w:val="18"/>
          <w:szCs w:val="18"/>
          <w:i w:val="1"/>
          <w:iCs w:val="1"/>
          <w:color w:val="51555C"/>
        </w:rPr>
        <w:t xml:space="preserve"> </w:t>
      </w:r>
      <w:r>
        <w:rPr>
          <w:rFonts w:ascii="Arial" w:cs="Arial" w:eastAsia="Arial" w:hAnsi="Arial"/>
          <w:sz w:val="18"/>
          <w:szCs w:val="18"/>
          <w:color w:val="51555C"/>
        </w:rPr>
        <w:t>the agreement or otherwise) the substance of each of the following provisions:</w:t>
      </w:r>
    </w:p>
    <w:p>
      <w:pPr>
        <w:spacing w:after="0" w:line="125" w:lineRule="exact"/>
        <w:rPr>
          <w:rFonts w:ascii="Arial" w:cs="Arial" w:eastAsia="Arial" w:hAnsi="Arial"/>
          <w:sz w:val="18"/>
          <w:szCs w:val="18"/>
          <w:b w:val="1"/>
          <w:bCs w:val="1"/>
          <w:color w:val="51555C"/>
        </w:rPr>
      </w:pPr>
    </w:p>
    <w:p>
      <w:pPr>
        <w:jc w:val="both"/>
        <w:ind w:firstLine="1304"/>
        <w:spacing w:after="0" w:line="262" w:lineRule="auto"/>
        <w:tabs>
          <w:tab w:leader="none" w:pos="1666" w:val="left"/>
        </w:tabs>
        <w:numPr>
          <w:ilvl w:val="1"/>
          <w:numId w:val="125"/>
        </w:numPr>
        <w:rPr>
          <w:rFonts w:ascii="Arial" w:cs="Arial" w:eastAsia="Arial" w:hAnsi="Arial"/>
          <w:sz w:val="18"/>
          <w:szCs w:val="18"/>
          <w:b w:val="1"/>
          <w:bCs w:val="1"/>
          <w:color w:val="51555C"/>
        </w:rPr>
      </w:pPr>
      <w:r>
        <w:rPr>
          <w:rFonts w:ascii="Arial" w:cs="Arial" w:eastAsia="Arial" w:hAnsi="Arial"/>
          <w:sz w:val="18"/>
          <w:szCs w:val="18"/>
          <w:b w:val="1"/>
          <w:bCs w:val="1"/>
          <w:color w:val="51555C"/>
        </w:rPr>
        <w:t>Consideration</w:t>
      </w:r>
      <w:r>
        <w:rPr>
          <w:rFonts w:ascii="Arial" w:cs="Arial" w:eastAsia="Arial" w:hAnsi="Arial"/>
          <w:sz w:val="18"/>
          <w:szCs w:val="18"/>
          <w:color w:val="51555C"/>
        </w:rPr>
        <w:t>. At the time of grant of a Restricted Stock Unit Award, the Committee will determine the consideration, if</w:t>
      </w:r>
      <w:r>
        <w:rPr>
          <w:rFonts w:ascii="Arial" w:cs="Arial" w:eastAsia="Arial" w:hAnsi="Arial"/>
          <w:sz w:val="18"/>
          <w:szCs w:val="18"/>
          <w:b w:val="1"/>
          <w:bCs w:val="1"/>
          <w:color w:val="51555C"/>
        </w:rPr>
        <w:t xml:space="preserve"> </w:t>
      </w:r>
      <w:r>
        <w:rPr>
          <w:rFonts w:ascii="Arial" w:cs="Arial" w:eastAsia="Arial" w:hAnsi="Arial"/>
          <w:sz w:val="18"/>
          <w:szCs w:val="18"/>
          <w:color w:val="51555C"/>
        </w:rPr>
        <w:t>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Committee in its sole discretion and permissible under applicable law.</w:t>
      </w:r>
    </w:p>
    <w:p>
      <w:pPr>
        <w:spacing w:after="0" w:line="122" w:lineRule="exact"/>
        <w:rPr>
          <w:rFonts w:ascii="Arial" w:cs="Arial" w:eastAsia="Arial" w:hAnsi="Arial"/>
          <w:sz w:val="18"/>
          <w:szCs w:val="18"/>
          <w:b w:val="1"/>
          <w:bCs w:val="1"/>
          <w:color w:val="51555C"/>
        </w:rPr>
      </w:pPr>
    </w:p>
    <w:p>
      <w:pPr>
        <w:jc w:val="both"/>
        <w:ind w:firstLine="1304"/>
        <w:spacing w:after="0" w:line="262" w:lineRule="auto"/>
        <w:tabs>
          <w:tab w:leader="none" w:pos="1729" w:val="left"/>
        </w:tabs>
        <w:numPr>
          <w:ilvl w:val="1"/>
          <w:numId w:val="125"/>
        </w:numPr>
        <w:rPr>
          <w:rFonts w:ascii="Arial" w:cs="Arial" w:eastAsia="Arial" w:hAnsi="Arial"/>
          <w:sz w:val="18"/>
          <w:szCs w:val="18"/>
          <w:b w:val="1"/>
          <w:bCs w:val="1"/>
          <w:color w:val="51555C"/>
        </w:rPr>
      </w:pPr>
      <w:r>
        <w:rPr>
          <w:rFonts w:ascii="Arial" w:cs="Arial" w:eastAsia="Arial" w:hAnsi="Arial"/>
          <w:sz w:val="18"/>
          <w:szCs w:val="18"/>
          <w:b w:val="1"/>
          <w:bCs w:val="1"/>
          <w:color w:val="51555C"/>
        </w:rPr>
        <w:t xml:space="preserve">Vesting and Restrictions. </w:t>
      </w:r>
      <w:r>
        <w:rPr>
          <w:rFonts w:ascii="Arial" w:cs="Arial" w:eastAsia="Arial" w:hAnsi="Arial"/>
          <w:sz w:val="18"/>
          <w:szCs w:val="18"/>
          <w:color w:val="51555C"/>
        </w:rPr>
        <w:t>Subject to Section 3(f), the Committee may impose such conditions and restrictions on the</w:t>
      </w:r>
      <w:r>
        <w:rPr>
          <w:rFonts w:ascii="Arial" w:cs="Arial" w:eastAsia="Arial" w:hAnsi="Arial"/>
          <w:sz w:val="18"/>
          <w:szCs w:val="18"/>
          <w:b w:val="1"/>
          <w:bCs w:val="1"/>
          <w:color w:val="51555C"/>
        </w:rPr>
        <w:t xml:space="preserve"> </w:t>
      </w:r>
      <w:r>
        <w:rPr>
          <w:rFonts w:ascii="Arial" w:cs="Arial" w:eastAsia="Arial" w:hAnsi="Arial"/>
          <w:sz w:val="18"/>
          <w:szCs w:val="18"/>
          <w:color w:val="51555C"/>
        </w:rPr>
        <w:t>grant or vesting of a Restricted Stock Unit Award as it determines, including, but not limited to, restrictions based upon the occurrence of a specific event, continued service for a period of time or other time-based restrictions, or the achievement of financial or other business objectives (including Performance Goals). The Committee may provide that such</w:t>
      </w:r>
    </w:p>
    <w:p>
      <w:pPr>
        <w:spacing w:after="0" w:line="333" w:lineRule="exact"/>
        <w:rPr>
          <w:sz w:val="20"/>
          <w:szCs w:val="20"/>
          <w:color w:val="auto"/>
        </w:rPr>
      </w:pPr>
    </w:p>
    <w:p>
      <w:pPr>
        <w:ind w:left="140"/>
        <w:spacing w:after="0"/>
        <w:tabs>
          <w:tab w:leader="none" w:pos="514" w:val="left"/>
        </w:tabs>
        <w:rPr>
          <w:sz w:val="20"/>
          <w:szCs w:val="20"/>
          <w:color w:val="auto"/>
        </w:rPr>
      </w:pPr>
      <w:r>
        <w:rPr>
          <w:rFonts w:ascii="Arial" w:cs="Arial" w:eastAsia="Arial" w:hAnsi="Arial"/>
          <w:sz w:val="14"/>
          <w:szCs w:val="14"/>
          <w:color w:val="51555C"/>
        </w:rPr>
        <w:t>98</w:t>
      </w:r>
      <w:r>
        <w:rPr>
          <w:sz w:val="20"/>
          <w:szCs w:val="20"/>
          <w:color w:val="auto"/>
        </w:rPr>
        <w:tab/>
      </w:r>
      <w:r>
        <w:rPr>
          <w:sz w:val="1"/>
          <w:szCs w:val="1"/>
          <w:color w:val="auto"/>
        </w:rPr>
        <w:drawing>
          <wp:inline distT="0" distB="0" distL="0" distR="0">
            <wp:extent cx="702945" cy="111760"/>
            <wp:effectExtent l="0" t="0" r="0" b="0"/>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02945" cy="111760"/>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100" w:name="page101"/>
    <w:bookmarkEnd w:id="100"/>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9440"/>
        <w:spacing w:after="0"/>
        <w:rPr>
          <w:sz w:val="20"/>
          <w:szCs w:val="20"/>
          <w:color w:val="auto"/>
        </w:rPr>
      </w:pPr>
      <w:r>
        <w:rPr>
          <w:rFonts w:ascii="Arial" w:cs="Arial" w:eastAsia="Arial" w:hAnsi="Arial"/>
          <w:sz w:val="18"/>
          <w:szCs w:val="18"/>
          <w:b w:val="1"/>
          <w:bCs w:val="1"/>
          <w:color w:val="51555C"/>
        </w:rPr>
        <w:t>APPENDICES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restrictions may lapse separately or in combination at such time or times and with respect to the full Restricted Stock Unit Award or in installments or otherwise as the Committee may deem appropriate.</w:t>
      </w:r>
    </w:p>
    <w:p>
      <w:pPr>
        <w:spacing w:after="0" w:line="99" w:lineRule="exact"/>
        <w:rPr>
          <w:sz w:val="20"/>
          <w:szCs w:val="20"/>
          <w:color w:val="auto"/>
        </w:rPr>
      </w:pPr>
    </w:p>
    <w:p>
      <w:pPr>
        <w:jc w:val="both"/>
        <w:ind w:firstLine="1304"/>
        <w:spacing w:after="0" w:line="262" w:lineRule="auto"/>
        <w:tabs>
          <w:tab w:leader="none" w:pos="1860" w:val="left"/>
        </w:tabs>
        <w:numPr>
          <w:ilvl w:val="2"/>
          <w:numId w:val="126"/>
        </w:numPr>
        <w:rPr>
          <w:rFonts w:ascii="Arial" w:cs="Arial" w:eastAsia="Arial" w:hAnsi="Arial"/>
          <w:sz w:val="18"/>
          <w:szCs w:val="18"/>
          <w:b w:val="1"/>
          <w:bCs w:val="1"/>
          <w:color w:val="51555C"/>
        </w:rPr>
      </w:pPr>
      <w:r>
        <w:rPr>
          <w:rFonts w:ascii="Arial" w:cs="Arial" w:eastAsia="Arial" w:hAnsi="Arial"/>
          <w:sz w:val="18"/>
          <w:szCs w:val="18"/>
          <w:b w:val="1"/>
          <w:bCs w:val="1"/>
          <w:color w:val="51555C"/>
        </w:rPr>
        <w:t>Payment</w:t>
      </w:r>
      <w:r>
        <w:rPr>
          <w:rFonts w:ascii="Arial" w:cs="Arial" w:eastAsia="Arial" w:hAnsi="Arial"/>
          <w:sz w:val="18"/>
          <w:szCs w:val="18"/>
          <w:color w:val="51555C"/>
        </w:rPr>
        <w:t>. After all conditions and restrictions applicable to a Restricted Stock Unit Award have been satisfied or</w:t>
      </w:r>
      <w:r>
        <w:rPr>
          <w:rFonts w:ascii="Arial" w:cs="Arial" w:eastAsia="Arial" w:hAnsi="Arial"/>
          <w:sz w:val="18"/>
          <w:szCs w:val="18"/>
          <w:b w:val="1"/>
          <w:bCs w:val="1"/>
          <w:color w:val="51555C"/>
        </w:rPr>
        <w:t xml:space="preserve"> </w:t>
      </w:r>
      <w:r>
        <w:rPr>
          <w:rFonts w:ascii="Arial" w:cs="Arial" w:eastAsia="Arial" w:hAnsi="Arial"/>
          <w:sz w:val="18"/>
          <w:szCs w:val="18"/>
          <w:color w:val="51555C"/>
        </w:rPr>
        <w:t>lapsed but subject to Section 6(b)(iv) below, the Restricted Stock Unit Award may be settled by the delivery of shares of Common Stock, their cash equivalent, any combination thereof or in any other form of consideration, as determined by the Committee and contained in the Restricted Stock Unit Award Agreement.</w:t>
      </w:r>
    </w:p>
    <w:p>
      <w:pPr>
        <w:spacing w:after="0" w:line="122" w:lineRule="exact"/>
        <w:rPr>
          <w:rFonts w:ascii="Arial" w:cs="Arial" w:eastAsia="Arial" w:hAnsi="Arial"/>
          <w:sz w:val="18"/>
          <w:szCs w:val="18"/>
          <w:b w:val="1"/>
          <w:bCs w:val="1"/>
          <w:color w:val="51555C"/>
        </w:rPr>
      </w:pPr>
    </w:p>
    <w:p>
      <w:pPr>
        <w:jc w:val="both"/>
        <w:ind w:firstLine="1304"/>
        <w:spacing w:after="0" w:line="268" w:lineRule="auto"/>
        <w:tabs>
          <w:tab w:leader="none" w:pos="1860" w:val="left"/>
        </w:tabs>
        <w:numPr>
          <w:ilvl w:val="2"/>
          <w:numId w:val="126"/>
        </w:numPr>
        <w:rPr>
          <w:rFonts w:ascii="Arial" w:cs="Arial" w:eastAsia="Arial" w:hAnsi="Arial"/>
          <w:sz w:val="18"/>
          <w:szCs w:val="18"/>
          <w:b w:val="1"/>
          <w:bCs w:val="1"/>
          <w:color w:val="51555C"/>
        </w:rPr>
      </w:pPr>
      <w:r>
        <w:rPr>
          <w:rFonts w:ascii="Arial" w:cs="Arial" w:eastAsia="Arial" w:hAnsi="Arial"/>
          <w:sz w:val="18"/>
          <w:szCs w:val="18"/>
          <w:b w:val="1"/>
          <w:bCs w:val="1"/>
          <w:color w:val="51555C"/>
        </w:rPr>
        <w:t>Additional Restrictions</w:t>
      </w:r>
      <w:r>
        <w:rPr>
          <w:rFonts w:ascii="Arial" w:cs="Arial" w:eastAsia="Arial" w:hAnsi="Arial"/>
          <w:sz w:val="18"/>
          <w:szCs w:val="18"/>
          <w:color w:val="51555C"/>
        </w:rPr>
        <w:t>. At the time of the grant of a Restricted Stock Unit Award, the Committee, as it deems</w:t>
      </w:r>
      <w:r>
        <w:rPr>
          <w:rFonts w:ascii="Arial" w:cs="Arial" w:eastAsia="Arial" w:hAnsi="Arial"/>
          <w:sz w:val="18"/>
          <w:szCs w:val="18"/>
          <w:b w:val="1"/>
          <w:bCs w:val="1"/>
          <w:color w:val="51555C"/>
        </w:rPr>
        <w:t xml:space="preserve"> </w:t>
      </w:r>
      <w:r>
        <w:rPr>
          <w:rFonts w:ascii="Arial" w:cs="Arial" w:eastAsia="Arial" w:hAnsi="Arial"/>
          <w:sz w:val="18"/>
          <w:szCs w:val="18"/>
          <w:color w:val="51555C"/>
        </w:rPr>
        <w:t>appropriate, may impose such restrictions or conditions that delay the delivery of the shares of Common Stock (or their cash equivalent) subject to a Restricted Stock Unit Award to a time after the vesting of such Restricted Stock Unit Award.</w:t>
      </w:r>
    </w:p>
    <w:p>
      <w:pPr>
        <w:spacing w:after="0" w:line="116" w:lineRule="exact"/>
        <w:rPr>
          <w:rFonts w:ascii="Arial" w:cs="Arial" w:eastAsia="Arial" w:hAnsi="Arial"/>
          <w:sz w:val="18"/>
          <w:szCs w:val="18"/>
          <w:b w:val="1"/>
          <w:bCs w:val="1"/>
          <w:color w:val="51555C"/>
        </w:rPr>
      </w:pPr>
    </w:p>
    <w:p>
      <w:pPr>
        <w:jc w:val="both"/>
        <w:ind w:firstLine="1304"/>
        <w:spacing w:after="0" w:line="254" w:lineRule="auto"/>
        <w:tabs>
          <w:tab w:leader="none" w:pos="1716" w:val="left"/>
        </w:tabs>
        <w:numPr>
          <w:ilvl w:val="2"/>
          <w:numId w:val="126"/>
        </w:numPr>
        <w:rPr>
          <w:rFonts w:ascii="Arial" w:cs="Arial" w:eastAsia="Arial" w:hAnsi="Arial"/>
          <w:sz w:val="18"/>
          <w:szCs w:val="18"/>
          <w:b w:val="1"/>
          <w:bCs w:val="1"/>
          <w:color w:val="51555C"/>
        </w:rPr>
      </w:pPr>
      <w:r>
        <w:rPr>
          <w:rFonts w:ascii="Arial" w:cs="Arial" w:eastAsia="Arial" w:hAnsi="Arial"/>
          <w:sz w:val="18"/>
          <w:szCs w:val="18"/>
          <w:b w:val="1"/>
          <w:bCs w:val="1"/>
          <w:color w:val="51555C"/>
        </w:rPr>
        <w:t>Dividend Equivalents</w:t>
      </w:r>
      <w:r>
        <w:rPr>
          <w:rFonts w:ascii="Arial" w:cs="Arial" w:eastAsia="Arial" w:hAnsi="Arial"/>
          <w:sz w:val="18"/>
          <w:szCs w:val="18"/>
          <w:color w:val="51555C"/>
        </w:rPr>
        <w:t>. A Participant shall have no voting or other stockholder rights or ownership interest in shares of</w:t>
      </w:r>
      <w:r>
        <w:rPr>
          <w:rFonts w:ascii="Arial" w:cs="Arial" w:eastAsia="Arial" w:hAnsi="Arial"/>
          <w:sz w:val="18"/>
          <w:szCs w:val="18"/>
          <w:b w:val="1"/>
          <w:bCs w:val="1"/>
          <w:color w:val="51555C"/>
        </w:rPr>
        <w:t xml:space="preserve"> </w:t>
      </w:r>
      <w:r>
        <w:rPr>
          <w:rFonts w:ascii="Arial" w:cs="Arial" w:eastAsia="Arial" w:hAnsi="Arial"/>
          <w:sz w:val="18"/>
          <w:szCs w:val="18"/>
          <w:color w:val="51555C"/>
        </w:rPr>
        <w:t>Common Stock with respect to which a Restricted Stock Unit Award is granted. Notwithstanding the foregoing, dividend equivalents may be credited in respect of shares of Common Stock covered by a Restricted Stock Unit Award, as determined by the Committee and subject to such terms provided in the Restricted Stock Unit Award Agreement; provided that dividend equivalents with respect to a Restricted Stock Unit Award that has vesting conditions shall only be paid or credited, as determined by the Committee, to the extent such vesting conditions have been met. Subject to the foregoing and provided that such terms are consistent with an exemption from, or in compliance with, Section 409A of the Code, the Committee may determine the form, time of payment and other terms of such dividend equivalents, which may include conversion of dividend equivalents into additional shares of Common Stock covered by the Restricted Stock Unit Award in such manner as determined by the Committee. Any additional shares covered by the Restricted Stock Unit Award credited by reason of such dividend equivalents will be subject to all the terms and conditions of the underlying Restricted Stock Unit Award Agreement to which they relate.</w:t>
      </w:r>
    </w:p>
    <w:p>
      <w:pPr>
        <w:spacing w:after="0" w:line="131" w:lineRule="exact"/>
        <w:rPr>
          <w:rFonts w:ascii="Arial" w:cs="Arial" w:eastAsia="Arial" w:hAnsi="Arial"/>
          <w:sz w:val="18"/>
          <w:szCs w:val="18"/>
          <w:b w:val="1"/>
          <w:bCs w:val="1"/>
          <w:color w:val="51555C"/>
        </w:rPr>
      </w:pPr>
    </w:p>
    <w:p>
      <w:pPr>
        <w:jc w:val="both"/>
        <w:ind w:firstLine="1304"/>
        <w:spacing w:after="0" w:line="268" w:lineRule="auto"/>
        <w:tabs>
          <w:tab w:leader="none" w:pos="1793" w:val="left"/>
        </w:tabs>
        <w:numPr>
          <w:ilvl w:val="2"/>
          <w:numId w:val="126"/>
        </w:numPr>
        <w:rPr>
          <w:rFonts w:ascii="Arial" w:cs="Arial" w:eastAsia="Arial" w:hAnsi="Arial"/>
          <w:sz w:val="18"/>
          <w:szCs w:val="18"/>
          <w:b w:val="1"/>
          <w:bCs w:val="1"/>
          <w:color w:val="51555C"/>
        </w:rPr>
      </w:pPr>
      <w:r>
        <w:rPr>
          <w:rFonts w:ascii="Arial" w:cs="Arial" w:eastAsia="Arial" w:hAnsi="Arial"/>
          <w:sz w:val="18"/>
          <w:szCs w:val="18"/>
          <w:b w:val="1"/>
          <w:bCs w:val="1"/>
          <w:color w:val="51555C"/>
        </w:rPr>
        <w:t>Termination of Participant’s Continuous Service</w:t>
      </w:r>
      <w:r>
        <w:rPr>
          <w:rFonts w:ascii="Arial" w:cs="Arial" w:eastAsia="Arial" w:hAnsi="Arial"/>
          <w:sz w:val="18"/>
          <w:szCs w:val="18"/>
          <w:color w:val="51555C"/>
        </w:rPr>
        <w:t>. Except as otherwise provided in the applicable Restricted Stock</w:t>
      </w:r>
      <w:r>
        <w:rPr>
          <w:rFonts w:ascii="Arial" w:cs="Arial" w:eastAsia="Arial" w:hAnsi="Arial"/>
          <w:sz w:val="18"/>
          <w:szCs w:val="18"/>
          <w:b w:val="1"/>
          <w:bCs w:val="1"/>
          <w:color w:val="51555C"/>
        </w:rPr>
        <w:t xml:space="preserve"> </w:t>
      </w:r>
      <w:r>
        <w:rPr>
          <w:rFonts w:ascii="Arial" w:cs="Arial" w:eastAsia="Arial" w:hAnsi="Arial"/>
          <w:sz w:val="18"/>
          <w:szCs w:val="18"/>
          <w:color w:val="51555C"/>
        </w:rPr>
        <w:t>Unit Award Agreement, such portion of the Restricted Stock Unit Award that has not vested will be forfeited upon the Participant’s termination of Continuous Service.</w:t>
      </w:r>
    </w:p>
    <w:p>
      <w:pPr>
        <w:spacing w:after="0" w:line="116" w:lineRule="exact"/>
        <w:rPr>
          <w:rFonts w:ascii="Arial" w:cs="Arial" w:eastAsia="Arial" w:hAnsi="Arial"/>
          <w:sz w:val="18"/>
          <w:szCs w:val="18"/>
          <w:b w:val="1"/>
          <w:bCs w:val="1"/>
          <w:color w:val="51555C"/>
        </w:rPr>
      </w:pPr>
    </w:p>
    <w:p>
      <w:pPr>
        <w:jc w:val="both"/>
        <w:ind w:firstLine="1304"/>
        <w:spacing w:after="0" w:line="262" w:lineRule="auto"/>
        <w:tabs>
          <w:tab w:leader="none" w:pos="1964" w:val="left"/>
        </w:tabs>
        <w:numPr>
          <w:ilvl w:val="2"/>
          <w:numId w:val="126"/>
        </w:numPr>
        <w:rPr>
          <w:rFonts w:ascii="Arial" w:cs="Arial" w:eastAsia="Arial" w:hAnsi="Arial"/>
          <w:sz w:val="18"/>
          <w:szCs w:val="18"/>
          <w:b w:val="1"/>
          <w:bCs w:val="1"/>
          <w:color w:val="51555C"/>
        </w:rPr>
      </w:pPr>
      <w:r>
        <w:rPr>
          <w:rFonts w:ascii="Arial" w:cs="Arial" w:eastAsia="Arial" w:hAnsi="Arial"/>
          <w:sz w:val="18"/>
          <w:szCs w:val="18"/>
          <w:b w:val="1"/>
          <w:bCs w:val="1"/>
          <w:color w:val="51555C"/>
        </w:rPr>
        <w:t>Compliance with Section 409A of the Code</w:t>
      </w:r>
      <w:r>
        <w:rPr>
          <w:rFonts w:ascii="Arial" w:cs="Arial" w:eastAsia="Arial" w:hAnsi="Arial"/>
          <w:sz w:val="18"/>
          <w:szCs w:val="18"/>
          <w:color w:val="51555C"/>
        </w:rPr>
        <w:t>. Notwithstanding anything to the contrary set forth herein, any</w:t>
      </w:r>
      <w:r>
        <w:rPr>
          <w:rFonts w:ascii="Arial" w:cs="Arial" w:eastAsia="Arial" w:hAnsi="Arial"/>
          <w:sz w:val="18"/>
          <w:szCs w:val="18"/>
          <w:b w:val="1"/>
          <w:bCs w:val="1"/>
          <w:color w:val="51555C"/>
        </w:rPr>
        <w:t xml:space="preserve"> </w:t>
      </w:r>
      <w:r>
        <w:rPr>
          <w:rFonts w:ascii="Arial" w:cs="Arial" w:eastAsia="Arial" w:hAnsi="Arial"/>
          <w:sz w:val="18"/>
          <w:szCs w:val="18"/>
          <w:color w:val="51555C"/>
        </w:rPr>
        <w:t>Restricted Stock Unit Award granted under the Plan that is not exempt from the requirements of Section 409A of the Code shall incorporate terms and conditions necessary to avoid the consequences of Section 409A(a)(1) of the Code. Such restrictions, if any, shall be determined by the Committee and contained in the Restricted Stock Unit Award Agreement evidencing such Restricted Stock Unit Award.</w:t>
      </w:r>
    </w:p>
    <w:p>
      <w:pPr>
        <w:spacing w:after="0" w:line="122" w:lineRule="exact"/>
        <w:rPr>
          <w:rFonts w:ascii="Arial" w:cs="Arial" w:eastAsia="Arial" w:hAnsi="Arial"/>
          <w:sz w:val="18"/>
          <w:szCs w:val="18"/>
          <w:b w:val="1"/>
          <w:bCs w:val="1"/>
          <w:color w:val="51555C"/>
        </w:rPr>
      </w:pPr>
    </w:p>
    <w:p>
      <w:pPr>
        <w:jc w:val="both"/>
        <w:ind w:firstLine="656"/>
        <w:spacing w:after="0" w:line="253" w:lineRule="auto"/>
        <w:tabs>
          <w:tab w:leader="none" w:pos="1068" w:val="left"/>
        </w:tabs>
        <w:numPr>
          <w:ilvl w:val="1"/>
          <w:numId w:val="127"/>
        </w:numPr>
        <w:rPr>
          <w:rFonts w:ascii="Arial" w:cs="Arial" w:eastAsia="Arial" w:hAnsi="Arial"/>
          <w:sz w:val="18"/>
          <w:szCs w:val="18"/>
          <w:b w:val="1"/>
          <w:bCs w:val="1"/>
          <w:color w:val="51555C"/>
        </w:rPr>
      </w:pPr>
      <w:r>
        <w:rPr>
          <w:rFonts w:ascii="Arial" w:cs="Arial" w:eastAsia="Arial" w:hAnsi="Arial"/>
          <w:sz w:val="18"/>
          <w:szCs w:val="18"/>
          <w:b w:val="1"/>
          <w:bCs w:val="1"/>
          <w:color w:val="51555C"/>
        </w:rPr>
        <w:t>Other Stock Awards</w:t>
      </w:r>
      <w:r>
        <w:rPr>
          <w:rFonts w:ascii="Arial" w:cs="Arial" w:eastAsia="Arial" w:hAnsi="Arial"/>
          <w:sz w:val="18"/>
          <w:szCs w:val="18"/>
          <w:color w:val="51555C"/>
        </w:rPr>
        <w:t>. The Committee may grant Other Stock Awards that involve the issuance of shares of Common Stock or</w:t>
      </w:r>
      <w:r>
        <w:rPr>
          <w:rFonts w:ascii="Arial" w:cs="Arial" w:eastAsia="Arial" w:hAnsi="Arial"/>
          <w:sz w:val="18"/>
          <w:szCs w:val="18"/>
          <w:b w:val="1"/>
          <w:bCs w:val="1"/>
          <w:color w:val="51555C"/>
        </w:rPr>
        <w:t xml:space="preserve"> </w:t>
      </w:r>
      <w:r>
        <w:rPr>
          <w:rFonts w:ascii="Arial" w:cs="Arial" w:eastAsia="Arial" w:hAnsi="Arial"/>
          <w:sz w:val="18"/>
          <w:szCs w:val="18"/>
          <w:color w:val="51555C"/>
        </w:rPr>
        <w:t>that are denominated or valued in whole or in part by reference to, or otherwise based on, shares of Common Stock, including, but not limited to, the grant of shares of Common Stock or the right to acquire or purchase shares of Common Stock. Other Stock Awards may be granted either alone or in addition to Stock Awards provided for under Section 5 and the preceding provisions of this Section 6. Other Stock Awards shall be evidenced by a Stock Award Agreement in such form as the Committee shall determine. Subject to the provisions of the Plan, the Committee shall have sole and complete authority to determine the persons to whom and the time or times at which such Other Stock Awards will be granted, the number of shares of Common Stock (or the cash equivalent thereof) to which the Other Stock Award pertains, the form in which the Other Stock Award shall be paid, and all other terms and conditions of such Other Stock Awards. Notwithstanding anything herein to the contrary, to the extent the Committee provides for the payment of dividends or dividend equivalents with respect to Other Stock Awards, dividends or dividend equivalents relating to an Other Stock Award that remains subject to a risk of forfeiture (whether service-based, performance-based or otherwise) shall be subject to the same risk of forfeiture as the underlying Other Stock Award. Any entitlement to dividend equivalents will be established and administered either consistent with an exemption from, or in compliance with, Section 409A of the Code. Dividends or dividend equivalent amounts payable in respect of Other Stock Awards may be subject to such additional limits or restrictions as the Committee may determine.</w:t>
      </w:r>
    </w:p>
    <w:p>
      <w:pPr>
        <w:spacing w:after="0" w:line="131" w:lineRule="exact"/>
        <w:rPr>
          <w:rFonts w:ascii="Arial" w:cs="Arial" w:eastAsia="Arial" w:hAnsi="Arial"/>
          <w:sz w:val="18"/>
          <w:szCs w:val="18"/>
          <w:b w:val="1"/>
          <w:bCs w:val="1"/>
          <w:color w:val="51555C"/>
        </w:rPr>
      </w:pPr>
    </w:p>
    <w:p>
      <w:pPr>
        <w:ind w:left="360" w:hanging="352"/>
        <w:spacing w:after="0"/>
        <w:tabs>
          <w:tab w:leader="none" w:pos="360" w:val="left"/>
        </w:tabs>
        <w:numPr>
          <w:ilvl w:val="0"/>
          <w:numId w:val="128"/>
        </w:numPr>
        <w:rPr>
          <w:rFonts w:ascii="Arial" w:cs="Arial" w:eastAsia="Arial" w:hAnsi="Arial"/>
          <w:sz w:val="18"/>
          <w:szCs w:val="18"/>
          <w:b w:val="1"/>
          <w:bCs w:val="1"/>
          <w:color w:val="51555C"/>
        </w:rPr>
      </w:pPr>
      <w:r>
        <w:rPr>
          <w:rFonts w:ascii="Arial" w:cs="Arial" w:eastAsia="Arial" w:hAnsi="Arial"/>
          <w:sz w:val="18"/>
          <w:szCs w:val="18"/>
          <w:b w:val="1"/>
          <w:bCs w:val="1"/>
          <w:color w:val="51555C"/>
        </w:rPr>
        <w:t>PERFORMANCE AWARDS</w:t>
      </w:r>
    </w:p>
    <w:p>
      <w:pPr>
        <w:spacing w:after="0" w:line="171" w:lineRule="exact"/>
        <w:rPr>
          <w:rFonts w:ascii="Arial" w:cs="Arial" w:eastAsia="Arial" w:hAnsi="Arial"/>
          <w:sz w:val="18"/>
          <w:szCs w:val="18"/>
          <w:b w:val="1"/>
          <w:bCs w:val="1"/>
          <w:color w:val="51555C"/>
        </w:rPr>
      </w:pPr>
    </w:p>
    <w:p>
      <w:pPr>
        <w:jc w:val="both"/>
        <w:ind w:firstLine="656"/>
        <w:spacing w:after="0" w:line="256" w:lineRule="auto"/>
        <w:tabs>
          <w:tab w:leader="none" w:pos="1095" w:val="left"/>
        </w:tabs>
        <w:numPr>
          <w:ilvl w:val="1"/>
          <w:numId w:val="128"/>
        </w:numPr>
        <w:rPr>
          <w:rFonts w:ascii="Arial" w:cs="Arial" w:eastAsia="Arial" w:hAnsi="Arial"/>
          <w:sz w:val="18"/>
          <w:szCs w:val="18"/>
          <w:b w:val="1"/>
          <w:bCs w:val="1"/>
          <w:color w:val="51555C"/>
        </w:rPr>
      </w:pPr>
      <w:r>
        <w:rPr>
          <w:rFonts w:ascii="Arial" w:cs="Arial" w:eastAsia="Arial" w:hAnsi="Arial"/>
          <w:sz w:val="18"/>
          <w:szCs w:val="18"/>
          <w:b w:val="1"/>
          <w:bCs w:val="1"/>
          <w:color w:val="51555C"/>
        </w:rPr>
        <w:t>Performance Stock Awards</w:t>
      </w:r>
      <w:r>
        <w:rPr>
          <w:rFonts w:ascii="Arial" w:cs="Arial" w:eastAsia="Arial" w:hAnsi="Arial"/>
          <w:sz w:val="18"/>
          <w:szCs w:val="18"/>
          <w:color w:val="51555C"/>
        </w:rPr>
        <w:t>. A Performance Stock Award is either a Restricted Stock Award, Restricted Stock Unit Award or</w:t>
      </w:r>
      <w:r>
        <w:rPr>
          <w:rFonts w:ascii="Arial" w:cs="Arial" w:eastAsia="Arial" w:hAnsi="Arial"/>
          <w:sz w:val="18"/>
          <w:szCs w:val="18"/>
          <w:b w:val="1"/>
          <w:bCs w:val="1"/>
          <w:color w:val="51555C"/>
        </w:rPr>
        <w:t xml:space="preserve"> </w:t>
      </w:r>
      <w:r>
        <w:rPr>
          <w:rFonts w:ascii="Arial" w:cs="Arial" w:eastAsia="Arial" w:hAnsi="Arial"/>
          <w:sz w:val="18"/>
          <w:szCs w:val="18"/>
          <w:color w:val="51555C"/>
        </w:rPr>
        <w:t>Other Stock Award that may be granted or may vest based upon the attainment of certain performance goals (which may be, but need not be, Performance Goals within the meaning of Section 14(kk)) selected by the Committee. A Performance Stock Award may, but need not, require the completion of a specified period of Continuous Service. The length of any Performance Period, the performance goals to be achieved during the Performance Period, and the measure of whether and to what degree such performance goals have been attained shall be conclusively determined by the Committee. In addition, to the extent permitted by applicable law and the applicable Stock Award Agreement, the Committee may determine that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222250</wp:posOffset>
            </wp:positionV>
            <wp:extent cx="702945" cy="11112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40" w:type="dxa"/>
            <w:vAlign w:val="bottom"/>
          </w:tcPr>
          <w:p>
            <w:pPr>
              <w:jc w:val="right"/>
              <w:ind w:right="48"/>
              <w:spacing w:after="0"/>
              <w:rPr>
                <w:sz w:val="20"/>
                <w:szCs w:val="20"/>
                <w:color w:val="auto"/>
              </w:rPr>
            </w:pPr>
            <w:r>
              <w:rPr>
                <w:rFonts w:ascii="Arial" w:cs="Arial" w:eastAsia="Arial" w:hAnsi="Arial"/>
                <w:sz w:val="14"/>
                <w:szCs w:val="14"/>
                <w:color w:val="51555C"/>
              </w:rPr>
              <w:t>99</w:t>
            </w:r>
          </w:p>
        </w:tc>
      </w:tr>
      <w:tr>
        <w:trPr>
          <w:trHeight w:val="285"/>
        </w:trPr>
        <w:tc>
          <w:tcPr>
            <w:tcW w:w="10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01" w:name="page102"/>
    <w:bookmarkEnd w:id="101"/>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APPENDICES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may be used in payment of Performance Stock Awards in lieu of shares of Common Stock. Notwithstanding anything to the contrary in this Section 7(a), Performance Stock Awards granted to Covered Employees that are designated as Performance-Based Compensation Awards shall only be granted, administered and paid in compliance with all the requirements for Performance-Based Compensation Awards set forth in Section 7(c) below.</w:t>
      </w:r>
    </w:p>
    <w:p>
      <w:pPr>
        <w:spacing w:after="0" w:line="122" w:lineRule="exact"/>
        <w:rPr>
          <w:sz w:val="20"/>
          <w:szCs w:val="20"/>
          <w:color w:val="auto"/>
        </w:rPr>
      </w:pPr>
    </w:p>
    <w:p>
      <w:pPr>
        <w:jc w:val="both"/>
        <w:ind w:firstLine="656"/>
        <w:spacing w:after="0" w:line="262" w:lineRule="auto"/>
        <w:tabs>
          <w:tab w:leader="none" w:pos="1239" w:val="left"/>
        </w:tabs>
        <w:numPr>
          <w:ilvl w:val="0"/>
          <w:numId w:val="129"/>
        </w:numPr>
        <w:rPr>
          <w:rFonts w:ascii="Arial" w:cs="Arial" w:eastAsia="Arial" w:hAnsi="Arial"/>
          <w:sz w:val="18"/>
          <w:szCs w:val="18"/>
          <w:b w:val="1"/>
          <w:bCs w:val="1"/>
          <w:color w:val="51555C"/>
        </w:rPr>
      </w:pPr>
      <w:r>
        <w:rPr>
          <w:rFonts w:ascii="Arial" w:cs="Arial" w:eastAsia="Arial" w:hAnsi="Arial"/>
          <w:sz w:val="18"/>
          <w:szCs w:val="18"/>
          <w:b w:val="1"/>
          <w:bCs w:val="1"/>
          <w:color w:val="51555C"/>
        </w:rPr>
        <w:t>Cash Incentive Awards</w:t>
      </w:r>
      <w:r>
        <w:rPr>
          <w:rFonts w:ascii="Arial" w:cs="Arial" w:eastAsia="Arial" w:hAnsi="Arial"/>
          <w:sz w:val="18"/>
          <w:szCs w:val="18"/>
          <w:color w:val="51555C"/>
        </w:rPr>
        <w:t>. Cash Incentive Awards may be granted only to Employees. The Committee shall select the</w:t>
      </w:r>
      <w:r>
        <w:rPr>
          <w:rFonts w:ascii="Arial" w:cs="Arial" w:eastAsia="Arial" w:hAnsi="Arial"/>
          <w:sz w:val="18"/>
          <w:szCs w:val="18"/>
          <w:b w:val="1"/>
          <w:bCs w:val="1"/>
          <w:color w:val="51555C"/>
        </w:rPr>
        <w:t xml:space="preserve"> </w:t>
      </w:r>
      <w:r>
        <w:rPr>
          <w:rFonts w:ascii="Arial" w:cs="Arial" w:eastAsia="Arial" w:hAnsi="Arial"/>
          <w:sz w:val="18"/>
          <w:szCs w:val="18"/>
          <w:color w:val="51555C"/>
        </w:rPr>
        <w:t>Performance Goals to be achieved by the Participant, the completion of any specified period of Continuous Service, the length of the Performance Period, and the measure of whether and to what degree such Performance Goals have been attained shall be conclusively determined by the Committee.</w:t>
      </w:r>
    </w:p>
    <w:p>
      <w:pPr>
        <w:spacing w:after="0" w:line="122" w:lineRule="exact"/>
        <w:rPr>
          <w:rFonts w:ascii="Arial" w:cs="Arial" w:eastAsia="Arial" w:hAnsi="Arial"/>
          <w:sz w:val="18"/>
          <w:szCs w:val="18"/>
          <w:b w:val="1"/>
          <w:bCs w:val="1"/>
          <w:color w:val="51555C"/>
        </w:rPr>
      </w:pPr>
    </w:p>
    <w:p>
      <w:pPr>
        <w:jc w:val="both"/>
        <w:ind w:firstLine="1304"/>
        <w:spacing w:after="0" w:line="253" w:lineRule="auto"/>
        <w:tabs>
          <w:tab w:leader="none" w:pos="1666" w:val="left"/>
        </w:tabs>
        <w:numPr>
          <w:ilvl w:val="1"/>
          <w:numId w:val="129"/>
        </w:numPr>
        <w:rPr>
          <w:rFonts w:ascii="Arial" w:cs="Arial" w:eastAsia="Arial" w:hAnsi="Arial"/>
          <w:sz w:val="18"/>
          <w:szCs w:val="18"/>
          <w:b w:val="1"/>
          <w:bCs w:val="1"/>
          <w:color w:val="51555C"/>
        </w:rPr>
      </w:pPr>
      <w:r>
        <w:rPr>
          <w:rFonts w:ascii="Arial" w:cs="Arial" w:eastAsia="Arial" w:hAnsi="Arial"/>
          <w:sz w:val="18"/>
          <w:szCs w:val="18"/>
          <w:b w:val="1"/>
          <w:bCs w:val="1"/>
          <w:color w:val="51555C"/>
        </w:rPr>
        <w:t>General Terms of Cash Incentive Awards</w:t>
      </w:r>
      <w:r>
        <w:rPr>
          <w:rFonts w:ascii="Arial" w:cs="Arial" w:eastAsia="Arial" w:hAnsi="Arial"/>
          <w:sz w:val="18"/>
          <w:szCs w:val="18"/>
          <w:color w:val="51555C"/>
        </w:rPr>
        <w:t>. At the time Performance Goals for a Cash Incentive Award for a Participant</w:t>
      </w:r>
      <w:r>
        <w:rPr>
          <w:rFonts w:ascii="Arial" w:cs="Arial" w:eastAsia="Arial" w:hAnsi="Arial"/>
          <w:sz w:val="18"/>
          <w:szCs w:val="18"/>
          <w:b w:val="1"/>
          <w:bCs w:val="1"/>
          <w:color w:val="51555C"/>
        </w:rPr>
        <w:t xml:space="preserve"> </w:t>
      </w:r>
      <w:r>
        <w:rPr>
          <w:rFonts w:ascii="Arial" w:cs="Arial" w:eastAsia="Arial" w:hAnsi="Arial"/>
          <w:sz w:val="18"/>
          <w:szCs w:val="18"/>
          <w:color w:val="51555C"/>
        </w:rPr>
        <w:t xml:space="preserve">are established for a Performance Period, the Committee also shall establish a target Cash Incentive Award opportunity for the Participant, which shall be based on the achievement of one or more specified targets of the Performance Goals. The targets shall be expressed in terms of an objective formula or standard which may be based upon the Participant’s base salary or a multiple or percentage thereof, a dollar amount, a percentage of the applicable criteria underlying the specified Performance Goal(s) (or a percentage thereof in excess of a threshold amount) or otherwise. The foregoing objective formula or standard also may be expressed in the form of a range, pursuant to which the actual amount of a Cash Incentive Award payable under the Plan may vary depending upon the extent to which the Performance Goals for the Performance Period have been attained. For the avoidance of doubt, pursuant to the foregoing, the Committee may establish for any Participant a method or formula for determining the maximum amount payable (subject to the maximum specified in Section 3(e)) based on the level of achievement of the applicable Performance Goal(s). The Committee also may establish a Participant’s potential Cash Incentive Award as a percentage of a bonus pool; </w:t>
      </w:r>
      <w:r>
        <w:rPr>
          <w:rFonts w:ascii="Arial" w:cs="Arial" w:eastAsia="Arial" w:hAnsi="Arial"/>
          <w:sz w:val="18"/>
          <w:szCs w:val="18"/>
          <w:i w:val="1"/>
          <w:iCs w:val="1"/>
          <w:color w:val="51555C"/>
        </w:rPr>
        <w:t>provided, however</w:t>
      </w:r>
      <w:r>
        <w:rPr>
          <w:rFonts w:ascii="Arial" w:cs="Arial" w:eastAsia="Arial" w:hAnsi="Arial"/>
          <w:sz w:val="18"/>
          <w:szCs w:val="18"/>
          <w:color w:val="51555C"/>
        </w:rPr>
        <w:t>, that the amount of the bonus pool (or the formula for determining the amount of the bonus pool) shall be established in accordance with the requirements of this Section 7(b) and that the sum of the individual maximum percentages of the bonus pool that each Participant potentially could receive shall not exceed 100%.</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51555C"/>
        </w:rPr>
        <w:t>Whether the Performance Goals have been achieved shall be determined by the Committee. In all cases the Committee shall have the sole and absolute discretion to reduce the amount of any payment with respect to any Cash Incentive Award that would otherwise be made to any Participant or to decide that no payment shall be made. With respect to each Cash Incentive Award, the Committee may establish terms regarding the circumstances in which a Participant who is not a Covered Employee will be entitled to payment notwithstanding the failure to achieve the applicable Performance Goals or targets.</w:t>
      </w:r>
    </w:p>
    <w:p>
      <w:pPr>
        <w:spacing w:after="0" w:line="125" w:lineRule="exact"/>
        <w:rPr>
          <w:sz w:val="20"/>
          <w:szCs w:val="20"/>
          <w:color w:val="auto"/>
        </w:rPr>
      </w:pPr>
    </w:p>
    <w:p>
      <w:pPr>
        <w:jc w:val="both"/>
        <w:ind w:firstLine="1304"/>
        <w:spacing w:after="0" w:line="237" w:lineRule="auto"/>
        <w:tabs>
          <w:tab w:leader="none" w:pos="1729" w:val="left"/>
        </w:tabs>
        <w:numPr>
          <w:ilvl w:val="1"/>
          <w:numId w:val="130"/>
        </w:numPr>
        <w:rPr>
          <w:rFonts w:ascii="Arial" w:cs="Arial" w:eastAsia="Arial" w:hAnsi="Arial"/>
          <w:sz w:val="18"/>
          <w:szCs w:val="18"/>
          <w:b w:val="1"/>
          <w:bCs w:val="1"/>
          <w:color w:val="51555C"/>
        </w:rPr>
      </w:pPr>
      <w:r>
        <w:rPr>
          <w:rFonts w:ascii="Arial" w:cs="Arial" w:eastAsia="Arial" w:hAnsi="Arial"/>
          <w:sz w:val="18"/>
          <w:szCs w:val="18"/>
          <w:b w:val="1"/>
          <w:bCs w:val="1"/>
          <w:color w:val="51555C"/>
        </w:rPr>
        <w:t>Payments</w:t>
      </w:r>
      <w:r>
        <w:rPr>
          <w:rFonts w:ascii="Arial" w:cs="Arial" w:eastAsia="Arial" w:hAnsi="Arial"/>
          <w:sz w:val="18"/>
          <w:szCs w:val="18"/>
          <w:color w:val="51555C"/>
        </w:rPr>
        <w:t>. At the time the Committee determines a Cash Incentive Award opportunity for a Participant, the Committee</w:t>
      </w:r>
      <w:r>
        <w:rPr>
          <w:rFonts w:ascii="Arial" w:cs="Arial" w:eastAsia="Arial" w:hAnsi="Arial"/>
          <w:sz w:val="18"/>
          <w:szCs w:val="18"/>
          <w:b w:val="1"/>
          <w:bCs w:val="1"/>
          <w:color w:val="51555C"/>
        </w:rPr>
        <w:t xml:space="preserve"> </w:t>
      </w:r>
      <w:r>
        <w:rPr>
          <w:rFonts w:ascii="Arial" w:cs="Arial" w:eastAsia="Arial" w:hAnsi="Arial"/>
          <w:sz w:val="18"/>
          <w:szCs w:val="18"/>
          <w:color w:val="51555C"/>
        </w:rPr>
        <w:t xml:space="preserve">shall also establish the payment terms applicable to such Cash Incentive Award. Such terms shall include when such payments will be made; </w:t>
      </w:r>
      <w:r>
        <w:rPr>
          <w:rFonts w:ascii="Arial" w:cs="Arial" w:eastAsia="Arial" w:hAnsi="Arial"/>
          <w:sz w:val="18"/>
          <w:szCs w:val="18"/>
          <w:i w:val="1"/>
          <w:iCs w:val="1"/>
          <w:color w:val="51555C"/>
        </w:rPr>
        <w:t>provided, however</w:t>
      </w:r>
      <w:r>
        <w:rPr>
          <w:rFonts w:ascii="Arial" w:cs="Arial" w:eastAsia="Arial" w:hAnsi="Arial"/>
          <w:sz w:val="18"/>
          <w:szCs w:val="18"/>
          <w:color w:val="51555C"/>
        </w:rPr>
        <w:t>, that the timing of such payments shall in all instances either (A) satisfy the conditions of an exception from Section 409A</w:t>
      </w:r>
      <w:r>
        <w:rPr>
          <w:rFonts w:ascii="Arial" w:cs="Arial" w:eastAsia="Arial" w:hAnsi="Arial"/>
          <w:sz w:val="18"/>
          <w:szCs w:val="18"/>
          <w:i w:val="1"/>
          <w:iCs w:val="1"/>
          <w:color w:val="51555C"/>
        </w:rPr>
        <w:t xml:space="preserve"> </w:t>
      </w:r>
      <w:r>
        <w:rPr>
          <w:rFonts w:ascii="Arial" w:cs="Arial" w:eastAsia="Arial" w:hAnsi="Arial"/>
          <w:sz w:val="18"/>
          <w:szCs w:val="18"/>
          <w:color w:val="51555C"/>
        </w:rPr>
        <w:t>of the Code (</w:t>
      </w:r>
      <w:r>
        <w:rPr>
          <w:rFonts w:ascii="Arial" w:cs="Arial" w:eastAsia="Arial" w:hAnsi="Arial"/>
          <w:sz w:val="18"/>
          <w:szCs w:val="18"/>
          <w:i w:val="1"/>
          <w:iCs w:val="1"/>
          <w:color w:val="51555C"/>
        </w:rPr>
        <w:t>e.g.</w:t>
      </w:r>
      <w:r>
        <w:rPr>
          <w:rFonts w:ascii="Arial" w:cs="Arial" w:eastAsia="Arial" w:hAnsi="Arial"/>
          <w:sz w:val="18"/>
          <w:szCs w:val="18"/>
          <w:color w:val="51555C"/>
        </w:rPr>
        <w:t xml:space="preserve">, the short-term deferrals exception described in Treasury Regulation Section 1.409A-1(b)(4)), or (B) comply with Section 409A of the Code, and </w:t>
      </w:r>
      <w:r>
        <w:rPr>
          <w:rFonts w:ascii="Arial" w:cs="Arial" w:eastAsia="Arial" w:hAnsi="Arial"/>
          <w:sz w:val="18"/>
          <w:szCs w:val="18"/>
          <w:i w:val="1"/>
          <w:iCs w:val="1"/>
          <w:color w:val="51555C"/>
        </w:rPr>
        <w:t>provided further</w:t>
      </w:r>
      <w:r>
        <w:rPr>
          <w:rFonts w:ascii="Arial" w:cs="Arial" w:eastAsia="Arial" w:hAnsi="Arial"/>
          <w:sz w:val="18"/>
          <w:szCs w:val="18"/>
          <w:color w:val="51555C"/>
        </w:rPr>
        <w:t>, that in the absence of such terms regarding the timing of payments, such payments shall occur no later than the later of (I) the 15</w:t>
      </w:r>
      <w:r>
        <w:rPr>
          <w:rFonts w:ascii="Arial" w:cs="Arial" w:eastAsia="Arial" w:hAnsi="Arial"/>
          <w:sz w:val="23"/>
          <w:szCs w:val="23"/>
          <w:color w:val="51555C"/>
          <w:vertAlign w:val="superscript"/>
        </w:rPr>
        <w:t>th</w:t>
      </w:r>
      <w:r>
        <w:rPr>
          <w:rFonts w:ascii="Arial" w:cs="Arial" w:eastAsia="Arial" w:hAnsi="Arial"/>
          <w:sz w:val="18"/>
          <w:szCs w:val="18"/>
          <w:color w:val="51555C"/>
        </w:rPr>
        <w:t xml:space="preserve"> day of the third month of the calendar year following the calendar year in which the Participant’s right to payment ceased being subject to a substantial risk of forfeiture, and (II) the 15</w:t>
      </w:r>
      <w:r>
        <w:rPr>
          <w:rFonts w:ascii="Arial" w:cs="Arial" w:eastAsia="Arial" w:hAnsi="Arial"/>
          <w:sz w:val="23"/>
          <w:szCs w:val="23"/>
          <w:color w:val="51555C"/>
          <w:vertAlign w:val="superscript"/>
        </w:rPr>
        <w:t>th</w:t>
      </w:r>
      <w:r>
        <w:rPr>
          <w:rFonts w:ascii="Arial" w:cs="Arial" w:eastAsia="Arial" w:hAnsi="Arial"/>
          <w:sz w:val="18"/>
          <w:szCs w:val="18"/>
          <w:color w:val="51555C"/>
        </w:rPr>
        <w:t xml:space="preserve"> day of the third month of the Company’s fiscal year following the Company’s fiscal year in which the Participant’s right to payment ceased being subject to a substantial risk of forfeiture.</w:t>
      </w:r>
    </w:p>
    <w:p>
      <w:pPr>
        <w:spacing w:after="0" w:line="141" w:lineRule="exact"/>
        <w:rPr>
          <w:rFonts w:ascii="Arial" w:cs="Arial" w:eastAsia="Arial" w:hAnsi="Arial"/>
          <w:sz w:val="18"/>
          <w:szCs w:val="18"/>
          <w:b w:val="1"/>
          <w:bCs w:val="1"/>
          <w:color w:val="51555C"/>
        </w:rPr>
      </w:pPr>
    </w:p>
    <w:p>
      <w:pPr>
        <w:jc w:val="both"/>
        <w:ind w:firstLine="1304"/>
        <w:spacing w:after="0" w:line="257" w:lineRule="auto"/>
        <w:tabs>
          <w:tab w:leader="none" w:pos="1766" w:val="left"/>
        </w:tabs>
        <w:numPr>
          <w:ilvl w:val="1"/>
          <w:numId w:val="130"/>
        </w:numPr>
        <w:rPr>
          <w:rFonts w:ascii="Arial" w:cs="Arial" w:eastAsia="Arial" w:hAnsi="Arial"/>
          <w:sz w:val="18"/>
          <w:szCs w:val="18"/>
          <w:b w:val="1"/>
          <w:bCs w:val="1"/>
          <w:color w:val="51555C"/>
        </w:rPr>
      </w:pPr>
      <w:r>
        <w:rPr>
          <w:rFonts w:ascii="Arial" w:cs="Arial" w:eastAsia="Arial" w:hAnsi="Arial"/>
          <w:sz w:val="18"/>
          <w:szCs w:val="18"/>
          <w:b w:val="1"/>
          <w:bCs w:val="1"/>
          <w:color w:val="51555C"/>
        </w:rPr>
        <w:t>Beneficiary Designation</w:t>
      </w:r>
      <w:r>
        <w:rPr>
          <w:rFonts w:ascii="Arial" w:cs="Arial" w:eastAsia="Arial" w:hAnsi="Arial"/>
          <w:sz w:val="18"/>
          <w:szCs w:val="18"/>
          <w:color w:val="51555C"/>
        </w:rPr>
        <w:t>. If permitted by the Company, a Participant may file with the Committee a written designation</w:t>
      </w:r>
      <w:r>
        <w:rPr>
          <w:rFonts w:ascii="Arial" w:cs="Arial" w:eastAsia="Arial" w:hAnsi="Arial"/>
          <w:sz w:val="18"/>
          <w:szCs w:val="18"/>
          <w:b w:val="1"/>
          <w:bCs w:val="1"/>
          <w:color w:val="51555C"/>
        </w:rPr>
        <w:t xml:space="preserve"> </w:t>
      </w:r>
      <w:r>
        <w:rPr>
          <w:rFonts w:ascii="Arial" w:cs="Arial" w:eastAsia="Arial" w:hAnsi="Arial"/>
          <w:sz w:val="18"/>
          <w:szCs w:val="18"/>
          <w:color w:val="51555C"/>
        </w:rPr>
        <w:t>of one or more persons as such Participant’s beneficiary or beneficiaries (both primary and contingent) for payment of any Cash Incentive Award that might be due under the terms of such Cash Incentive Award in the event of the Participant’s death. Each beneficiary designation shall become effective only upon delivery of written notice of the beneficiary to the Company in a form provided by or otherwise satisfactory to the Company. In the absence of such a designation, the executor or administrator of the Participant’s estate shall be entitled to any payment that might be due of a Cash Incentive Award.</w:t>
      </w:r>
    </w:p>
    <w:p>
      <w:pPr>
        <w:spacing w:after="0" w:line="128" w:lineRule="exact"/>
        <w:rPr>
          <w:rFonts w:ascii="Arial" w:cs="Arial" w:eastAsia="Arial" w:hAnsi="Arial"/>
          <w:sz w:val="18"/>
          <w:szCs w:val="18"/>
          <w:b w:val="1"/>
          <w:bCs w:val="1"/>
          <w:color w:val="51555C"/>
        </w:rPr>
      </w:pPr>
    </w:p>
    <w:p>
      <w:pPr>
        <w:ind w:left="1080" w:hanging="424"/>
        <w:spacing w:after="0"/>
        <w:tabs>
          <w:tab w:leader="none" w:pos="1080" w:val="left"/>
        </w:tabs>
        <w:numPr>
          <w:ilvl w:val="0"/>
          <w:numId w:val="131"/>
        </w:numPr>
        <w:rPr>
          <w:rFonts w:ascii="Arial" w:cs="Arial" w:eastAsia="Arial" w:hAnsi="Arial"/>
          <w:sz w:val="18"/>
          <w:szCs w:val="18"/>
          <w:b w:val="1"/>
          <w:bCs w:val="1"/>
          <w:color w:val="51555C"/>
        </w:rPr>
      </w:pPr>
      <w:r>
        <w:rPr>
          <w:rFonts w:ascii="Arial" w:cs="Arial" w:eastAsia="Arial" w:hAnsi="Arial"/>
          <w:sz w:val="18"/>
          <w:szCs w:val="18"/>
          <w:b w:val="1"/>
          <w:bCs w:val="1"/>
          <w:color w:val="51555C"/>
        </w:rPr>
        <w:t>Performance-Based Compensation Awards</w:t>
      </w:r>
      <w:r>
        <w:rPr>
          <w:rFonts w:ascii="Arial" w:cs="Arial" w:eastAsia="Arial" w:hAnsi="Arial"/>
          <w:sz w:val="18"/>
          <w:szCs w:val="18"/>
          <w:color w:val="51555C"/>
        </w:rPr>
        <w:t>.</w:t>
      </w:r>
    </w:p>
    <w:p>
      <w:pPr>
        <w:spacing w:after="0" w:line="171" w:lineRule="exact"/>
        <w:rPr>
          <w:rFonts w:ascii="Arial" w:cs="Arial" w:eastAsia="Arial" w:hAnsi="Arial"/>
          <w:sz w:val="18"/>
          <w:szCs w:val="18"/>
          <w:b w:val="1"/>
          <w:bCs w:val="1"/>
          <w:color w:val="51555C"/>
        </w:rPr>
      </w:pPr>
    </w:p>
    <w:p>
      <w:pPr>
        <w:jc w:val="both"/>
        <w:ind w:firstLine="1304"/>
        <w:spacing w:after="0" w:line="255" w:lineRule="auto"/>
        <w:tabs>
          <w:tab w:leader="none" w:pos="1760" w:val="left"/>
        </w:tabs>
        <w:numPr>
          <w:ilvl w:val="1"/>
          <w:numId w:val="131"/>
        </w:numPr>
        <w:rPr>
          <w:rFonts w:ascii="Arial" w:cs="Arial" w:eastAsia="Arial" w:hAnsi="Arial"/>
          <w:sz w:val="18"/>
          <w:szCs w:val="18"/>
          <w:b w:val="1"/>
          <w:bCs w:val="1"/>
          <w:color w:val="51555C"/>
        </w:rPr>
      </w:pPr>
      <w:r>
        <w:rPr>
          <w:rFonts w:ascii="Arial" w:cs="Arial" w:eastAsia="Arial" w:hAnsi="Arial"/>
          <w:sz w:val="18"/>
          <w:szCs w:val="18"/>
          <w:b w:val="1"/>
          <w:bCs w:val="1"/>
          <w:color w:val="51555C"/>
        </w:rPr>
        <w:t>General Terms</w:t>
      </w:r>
      <w:r>
        <w:rPr>
          <w:rFonts w:ascii="Arial" w:cs="Arial" w:eastAsia="Arial" w:hAnsi="Arial"/>
          <w:sz w:val="18"/>
          <w:szCs w:val="18"/>
          <w:color w:val="51555C"/>
        </w:rPr>
        <w:t>. Performance Stock Awards and Cash Incentive Awards intended to constitute Performance-Based</w:t>
      </w:r>
      <w:r>
        <w:rPr>
          <w:rFonts w:ascii="Arial" w:cs="Arial" w:eastAsia="Arial" w:hAnsi="Arial"/>
          <w:sz w:val="18"/>
          <w:szCs w:val="18"/>
          <w:b w:val="1"/>
          <w:bCs w:val="1"/>
          <w:color w:val="51555C"/>
        </w:rPr>
        <w:t xml:space="preserve"> </w:t>
      </w:r>
      <w:r>
        <w:rPr>
          <w:rFonts w:ascii="Arial" w:cs="Arial" w:eastAsia="Arial" w:hAnsi="Arial"/>
          <w:sz w:val="18"/>
          <w:szCs w:val="18"/>
          <w:color w:val="51555C"/>
        </w:rPr>
        <w:t>Compensation Awards may only be granted by the Committee (or a subcommittee thereof, in which case references in this Section 7(c) to the Committee shall refer to such subcommittee), provided that the members of the Committee must be comprised entirely of Outside Directors as described in Section 2(b)(ii) of the Plan. For each Award intended to be a Performance-Based Compensation Award, the Committee shall establish the Performance Period, the Performance Goals, and the performance formula (i.e., the one or more objective formulae applied against the relevant Performance Goal to determine, with regard to the Performance-Based Compensation Award of a particular Participant, whether all, some portion but less than all, or none of the Performance-Based Compensation Award has been earned for the Performance Period), all in writing within the Applicable Period with respect to such Award. Performance Goals shall be subject</w:t>
      </w:r>
    </w:p>
    <w:p>
      <w:pPr>
        <w:spacing w:after="0" w:line="341" w:lineRule="exact"/>
        <w:rPr>
          <w:sz w:val="20"/>
          <w:szCs w:val="20"/>
          <w:color w:val="auto"/>
        </w:rPr>
      </w:pPr>
    </w:p>
    <w:p>
      <w:pPr>
        <w:ind w:left="100"/>
        <w:spacing w:after="0"/>
        <w:tabs>
          <w:tab w:leader="none" w:pos="514" w:val="left"/>
        </w:tabs>
        <w:rPr>
          <w:sz w:val="20"/>
          <w:szCs w:val="20"/>
          <w:color w:val="auto"/>
        </w:rPr>
      </w:pPr>
      <w:r>
        <w:rPr>
          <w:rFonts w:ascii="Arial" w:cs="Arial" w:eastAsia="Arial" w:hAnsi="Arial"/>
          <w:sz w:val="14"/>
          <w:szCs w:val="14"/>
          <w:color w:val="51555C"/>
        </w:rPr>
        <w:t>100</w:t>
      </w:r>
      <w:r>
        <w:rPr>
          <w:sz w:val="20"/>
          <w:szCs w:val="20"/>
          <w:color w:val="auto"/>
        </w:rPr>
        <w:tab/>
      </w:r>
      <w:r>
        <w:rPr>
          <w:sz w:val="1"/>
          <w:szCs w:val="1"/>
          <w:color w:val="auto"/>
        </w:rPr>
        <w:drawing>
          <wp:inline distT="0" distB="0" distL="0" distR="0">
            <wp:extent cx="702945" cy="111125"/>
            <wp:effectExtent l="0" t="0" r="0" b="0"/>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102" w:name="page103"/>
    <w:bookmarkEnd w:id="102"/>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9440"/>
        <w:spacing w:after="0"/>
        <w:rPr>
          <w:sz w:val="20"/>
          <w:szCs w:val="20"/>
          <w:color w:val="auto"/>
        </w:rPr>
      </w:pPr>
      <w:r>
        <w:rPr>
          <w:rFonts w:ascii="Arial" w:cs="Arial" w:eastAsia="Arial" w:hAnsi="Arial"/>
          <w:sz w:val="18"/>
          <w:szCs w:val="18"/>
          <w:b w:val="1"/>
          <w:bCs w:val="1"/>
          <w:color w:val="51555C"/>
        </w:rPr>
        <w:t>APPENDICES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 xml:space="preserve">to such other special rules and conditions as the Committee may establish at any time within the Applicable Period; </w:t>
      </w:r>
      <w:r>
        <w:rPr>
          <w:rFonts w:ascii="Arial" w:cs="Arial" w:eastAsia="Arial" w:hAnsi="Arial"/>
          <w:sz w:val="18"/>
          <w:szCs w:val="18"/>
          <w:i w:val="1"/>
          <w:iCs w:val="1"/>
          <w:color w:val="51555C"/>
        </w:rPr>
        <w:t>provided, however</w:t>
      </w:r>
      <w:r>
        <w:rPr>
          <w:rFonts w:ascii="Arial" w:cs="Arial" w:eastAsia="Arial" w:hAnsi="Arial"/>
          <w:sz w:val="18"/>
          <w:szCs w:val="18"/>
          <w:color w:val="51555C"/>
        </w:rPr>
        <w:t>, that achievement of the Performance Goals must be substantially uncertain at the time established and any such special rules and conditions shall not be inconsistent with the Section 162(m) Exception. The Performance Goals established by the Committee may be (but need not be) particular to a Participant and/or different each Performance Period. The Committee also may establish subjective Performance Goals, provided that the subjective Performance Goals may be used only to reduce, and not increase, the Performance-Based Compensation Award of a Covered Employee otherwise payable under the Plan. Following the completion of the Performance Period, the Committee shall certify in writing the extent to which the applicable Performance Goals and any other material terms of the Performance-Based Compensation Award have been achieved for the applicable Performance Period. In no event may the Committee waive achievement of the Performance Goal requirements for a Covered Employee except in its sole discretion in the case of the death or Disability of the Participant or a Change in Control. The Committee shall have the power to impose such other restrictions on Performance-Based Compensation Awards as it may deem necessary or appropriate, provided such restrictions are not inconsistent with the Section 162(m) Exception. For the avoidance of doubt, the Committee shall not have the discretion, except as is otherwise provided in the Plan, to (A) grant or provide payment in respect of Performance-Based Compensation Awards for a Performance Period if the Performance Goals for such Performance Period have not been attained; or (B) increase a Performance-Based Compensation Award above the applicable limitations set forth in Section 3(e) of the Plan.</w:t>
      </w:r>
    </w:p>
    <w:p>
      <w:pPr>
        <w:spacing w:after="0" w:line="129" w:lineRule="exact"/>
        <w:rPr>
          <w:sz w:val="20"/>
          <w:szCs w:val="20"/>
          <w:color w:val="auto"/>
        </w:rPr>
      </w:pPr>
    </w:p>
    <w:p>
      <w:pPr>
        <w:jc w:val="both"/>
        <w:ind w:firstLine="1304"/>
        <w:spacing w:after="0" w:line="262" w:lineRule="auto"/>
        <w:tabs>
          <w:tab w:leader="none" w:pos="1932" w:val="left"/>
        </w:tabs>
        <w:numPr>
          <w:ilvl w:val="0"/>
          <w:numId w:val="132"/>
        </w:numPr>
        <w:rPr>
          <w:rFonts w:ascii="Arial" w:cs="Arial" w:eastAsia="Arial" w:hAnsi="Arial"/>
          <w:sz w:val="18"/>
          <w:szCs w:val="18"/>
          <w:b w:val="1"/>
          <w:bCs w:val="1"/>
          <w:color w:val="51555C"/>
        </w:rPr>
      </w:pPr>
      <w:r>
        <w:rPr>
          <w:rFonts w:ascii="Arial" w:cs="Arial" w:eastAsia="Arial" w:hAnsi="Arial"/>
          <w:sz w:val="18"/>
          <w:szCs w:val="18"/>
          <w:b w:val="1"/>
          <w:bCs w:val="1"/>
          <w:color w:val="51555C"/>
        </w:rPr>
        <w:t>Negative Discretion</w:t>
      </w:r>
      <w:r>
        <w:rPr>
          <w:rFonts w:ascii="Arial" w:cs="Arial" w:eastAsia="Arial" w:hAnsi="Arial"/>
          <w:sz w:val="18"/>
          <w:szCs w:val="18"/>
          <w:color w:val="51555C"/>
        </w:rPr>
        <w:t>. The Committee may exercise “negative discretion” (consistent with the Section 162(m)</w:t>
      </w:r>
      <w:r>
        <w:rPr>
          <w:rFonts w:ascii="Arial" w:cs="Arial" w:eastAsia="Arial" w:hAnsi="Arial"/>
          <w:sz w:val="18"/>
          <w:szCs w:val="18"/>
          <w:b w:val="1"/>
          <w:bCs w:val="1"/>
          <w:color w:val="51555C"/>
        </w:rPr>
        <w:t xml:space="preserve"> </w:t>
      </w:r>
      <w:r>
        <w:rPr>
          <w:rFonts w:ascii="Arial" w:cs="Arial" w:eastAsia="Arial" w:hAnsi="Arial"/>
          <w:sz w:val="18"/>
          <w:szCs w:val="18"/>
          <w:color w:val="51555C"/>
        </w:rPr>
        <w:t>Exception) to reduce or eliminate the amount payable under any Performance-Based Compensation Award that is a Cash Incentive Award if, in its sole judgment, such reduction or elimination is appropriate. Negative discretion shall not be used with respect to a Performance-Based Compensation Award that is settled in shares of Common Stock.</w:t>
      </w:r>
    </w:p>
    <w:p>
      <w:pPr>
        <w:spacing w:after="0" w:line="122" w:lineRule="exact"/>
        <w:rPr>
          <w:rFonts w:ascii="Arial" w:cs="Arial" w:eastAsia="Arial" w:hAnsi="Arial"/>
          <w:sz w:val="18"/>
          <w:szCs w:val="18"/>
          <w:b w:val="1"/>
          <w:bCs w:val="1"/>
          <w:color w:val="51555C"/>
        </w:rPr>
      </w:pPr>
    </w:p>
    <w:p>
      <w:pPr>
        <w:jc w:val="both"/>
        <w:ind w:firstLine="1304"/>
        <w:spacing w:after="0" w:line="259" w:lineRule="auto"/>
        <w:tabs>
          <w:tab w:leader="none" w:pos="1833" w:val="left"/>
        </w:tabs>
        <w:numPr>
          <w:ilvl w:val="0"/>
          <w:numId w:val="132"/>
        </w:numPr>
        <w:rPr>
          <w:rFonts w:ascii="Arial" w:cs="Arial" w:eastAsia="Arial" w:hAnsi="Arial"/>
          <w:sz w:val="18"/>
          <w:szCs w:val="18"/>
          <w:b w:val="1"/>
          <w:bCs w:val="1"/>
          <w:color w:val="51555C"/>
        </w:rPr>
      </w:pPr>
      <w:r>
        <w:rPr>
          <w:rFonts w:ascii="Arial" w:cs="Arial" w:eastAsia="Arial" w:hAnsi="Arial"/>
          <w:sz w:val="18"/>
          <w:szCs w:val="18"/>
          <w:b w:val="1"/>
          <w:bCs w:val="1"/>
          <w:color w:val="51555C"/>
        </w:rPr>
        <w:t>No Obligation to Grant Performance-Based Compensation Awards</w:t>
      </w:r>
      <w:r>
        <w:rPr>
          <w:rFonts w:ascii="Arial" w:cs="Arial" w:eastAsia="Arial" w:hAnsi="Arial"/>
          <w:sz w:val="18"/>
          <w:szCs w:val="18"/>
          <w:color w:val="51555C"/>
        </w:rPr>
        <w:t>. Notwithstanding anything to the contrary in</w:t>
      </w:r>
      <w:r>
        <w:rPr>
          <w:rFonts w:ascii="Arial" w:cs="Arial" w:eastAsia="Arial" w:hAnsi="Arial"/>
          <w:sz w:val="18"/>
          <w:szCs w:val="18"/>
          <w:b w:val="1"/>
          <w:bCs w:val="1"/>
          <w:color w:val="51555C"/>
        </w:rPr>
        <w:t xml:space="preserve"> </w:t>
      </w:r>
      <w:r>
        <w:rPr>
          <w:rFonts w:ascii="Arial" w:cs="Arial" w:eastAsia="Arial" w:hAnsi="Arial"/>
          <w:sz w:val="18"/>
          <w:szCs w:val="18"/>
          <w:color w:val="51555C"/>
        </w:rPr>
        <w:t>the Plan, the Committee shall have no obligation to grant any Award, whether settled in Common Stock or cash, as a Performance-Based Compensation Award. For the avoidance of doubt, the Committee may grant in its sole discretion an Award based on one or more of the Performance Criteria and determine that it shall not be a Performance-Based Compensation Award, and any such Award shall not be subject to the terms, conditions and restrictions set forth in this Section 7(c).</w:t>
      </w:r>
    </w:p>
    <w:p>
      <w:pPr>
        <w:spacing w:after="0" w:line="125" w:lineRule="exact"/>
        <w:rPr>
          <w:rFonts w:ascii="Arial" w:cs="Arial" w:eastAsia="Arial" w:hAnsi="Arial"/>
          <w:sz w:val="18"/>
          <w:szCs w:val="18"/>
          <w:b w:val="1"/>
          <w:bCs w:val="1"/>
          <w:color w:val="51555C"/>
        </w:rPr>
      </w:pPr>
    </w:p>
    <w:p>
      <w:pPr>
        <w:jc w:val="both"/>
        <w:ind w:firstLine="1304"/>
        <w:spacing w:after="0" w:line="255" w:lineRule="auto"/>
        <w:tabs>
          <w:tab w:leader="none" w:pos="1860" w:val="left"/>
        </w:tabs>
        <w:numPr>
          <w:ilvl w:val="0"/>
          <w:numId w:val="132"/>
        </w:numPr>
        <w:rPr>
          <w:rFonts w:ascii="Arial" w:cs="Arial" w:eastAsia="Arial" w:hAnsi="Arial"/>
          <w:sz w:val="18"/>
          <w:szCs w:val="18"/>
          <w:b w:val="1"/>
          <w:bCs w:val="1"/>
          <w:color w:val="51555C"/>
        </w:rPr>
      </w:pPr>
      <w:r>
        <w:rPr>
          <w:rFonts w:ascii="Arial" w:cs="Arial" w:eastAsia="Arial" w:hAnsi="Arial"/>
          <w:sz w:val="18"/>
          <w:szCs w:val="18"/>
          <w:b w:val="1"/>
          <w:bCs w:val="1"/>
          <w:color w:val="51555C"/>
        </w:rPr>
        <w:t xml:space="preserve">Section 162(m) Exception. </w:t>
      </w:r>
      <w:r>
        <w:rPr>
          <w:rFonts w:ascii="Arial" w:cs="Arial" w:eastAsia="Arial" w:hAnsi="Arial"/>
          <w:sz w:val="18"/>
          <w:szCs w:val="18"/>
          <w:color w:val="51555C"/>
        </w:rPr>
        <w:t>It is intended that the Plan comply fully with and meet all of the requirements for the</w:t>
      </w:r>
      <w:r>
        <w:rPr>
          <w:rFonts w:ascii="Arial" w:cs="Arial" w:eastAsia="Arial" w:hAnsi="Arial"/>
          <w:sz w:val="18"/>
          <w:szCs w:val="18"/>
          <w:b w:val="1"/>
          <w:bCs w:val="1"/>
          <w:color w:val="51555C"/>
        </w:rPr>
        <w:t xml:space="preserve"> </w:t>
      </w:r>
      <w:r>
        <w:rPr>
          <w:rFonts w:ascii="Arial" w:cs="Arial" w:eastAsia="Arial" w:hAnsi="Arial"/>
          <w:sz w:val="18"/>
          <w:szCs w:val="18"/>
          <w:color w:val="51555C"/>
        </w:rPr>
        <w:t>Section 162(m) Exception with respect to Options and Stock Appreciation Rights granted hereunder prior to November 2, 2017. At all times when the Committee determines that compliance with the Section 162(m) Exception is required or desired, it is intended that Performance-Based Compensation Awards granted under this Plan comply with the requirements for the Section 162(m) Exception. In addition, in the event that changes are made to the Section 162(m) Exception to permit greater flexibility with respect to any Award or Awards under the Plan, the Committee may make any adjustments it deems appropriate. The Committee may, in its sole discretion, grant Awards that do not qualify for the Section 162(m) Exception. In addition, the Section 162(m) Exception will no longer be available for new Awards after November 2, 2017 (unless such Awards qualify for applicable transition relief under the Section 162(m) Exception). Therefore, Awards granted under the Plan may not be tax deductible, in whole or in part, to the Company.</w:t>
      </w:r>
    </w:p>
    <w:p>
      <w:pPr>
        <w:spacing w:after="0" w:line="12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51555C"/>
        </w:rPr>
        <w:t>Notwithstanding any other provision of the Plan, this amendment and restatement of the Plan shall not modify in any material respect the terms or conditions of any Award made pursuant to a written binding contract in effect on November 2, 2017 that is intended to meet the Section 162(m) Exception.</w:t>
      </w:r>
    </w:p>
    <w:p>
      <w:pPr>
        <w:spacing w:after="0" w:line="117" w:lineRule="exact"/>
        <w:rPr>
          <w:sz w:val="20"/>
          <w:szCs w:val="20"/>
          <w:color w:val="auto"/>
        </w:rPr>
      </w:pPr>
    </w:p>
    <w:p>
      <w:pPr>
        <w:ind w:left="360" w:hanging="352"/>
        <w:spacing w:after="0"/>
        <w:tabs>
          <w:tab w:leader="none" w:pos="360" w:val="left"/>
        </w:tabs>
        <w:numPr>
          <w:ilvl w:val="0"/>
          <w:numId w:val="133"/>
        </w:numPr>
        <w:rPr>
          <w:rFonts w:ascii="Arial" w:cs="Arial" w:eastAsia="Arial" w:hAnsi="Arial"/>
          <w:sz w:val="18"/>
          <w:szCs w:val="18"/>
          <w:b w:val="1"/>
          <w:bCs w:val="1"/>
          <w:color w:val="51555C"/>
        </w:rPr>
      </w:pPr>
      <w:r>
        <w:rPr>
          <w:rFonts w:ascii="Arial" w:cs="Arial" w:eastAsia="Arial" w:hAnsi="Arial"/>
          <w:sz w:val="18"/>
          <w:szCs w:val="18"/>
          <w:b w:val="1"/>
          <w:bCs w:val="1"/>
          <w:color w:val="51555C"/>
        </w:rPr>
        <w:t>FORFEITURE AND CLAWBACK</w:t>
      </w:r>
    </w:p>
    <w:p>
      <w:pPr>
        <w:spacing w:after="0" w:line="171" w:lineRule="exact"/>
        <w:rPr>
          <w:rFonts w:ascii="Arial" w:cs="Arial" w:eastAsia="Arial" w:hAnsi="Arial"/>
          <w:sz w:val="18"/>
          <w:szCs w:val="18"/>
          <w:b w:val="1"/>
          <w:bCs w:val="1"/>
          <w:color w:val="51555C"/>
        </w:rPr>
      </w:pPr>
    </w:p>
    <w:p>
      <w:pPr>
        <w:jc w:val="both"/>
        <w:ind w:firstLine="656"/>
        <w:spacing w:after="0" w:line="253" w:lineRule="auto"/>
        <w:tabs>
          <w:tab w:leader="none" w:pos="1068" w:val="left"/>
        </w:tabs>
        <w:numPr>
          <w:ilvl w:val="1"/>
          <w:numId w:val="133"/>
        </w:numPr>
        <w:rPr>
          <w:rFonts w:ascii="Arial" w:cs="Arial" w:eastAsia="Arial" w:hAnsi="Arial"/>
          <w:sz w:val="18"/>
          <w:szCs w:val="18"/>
          <w:b w:val="1"/>
          <w:bCs w:val="1"/>
          <w:color w:val="51555C"/>
        </w:rPr>
      </w:pPr>
      <w:r>
        <w:rPr>
          <w:rFonts w:ascii="Arial" w:cs="Arial" w:eastAsia="Arial" w:hAnsi="Arial"/>
          <w:sz w:val="18"/>
          <w:szCs w:val="18"/>
          <w:b w:val="1"/>
          <w:bCs w:val="1"/>
          <w:color w:val="51555C"/>
        </w:rPr>
        <w:t>Forfeiture and Recoupment</w:t>
      </w:r>
      <w:r>
        <w:rPr>
          <w:rFonts w:ascii="Arial" w:cs="Arial" w:eastAsia="Arial" w:hAnsi="Arial"/>
          <w:sz w:val="18"/>
          <w:szCs w:val="18"/>
          <w:color w:val="51555C"/>
        </w:rPr>
        <w:t>. Notwithstanding any other provision of the Plan to the contrary, a Stock Award Agreement or the</w:t>
      </w:r>
      <w:r>
        <w:rPr>
          <w:rFonts w:ascii="Arial" w:cs="Arial" w:eastAsia="Arial" w:hAnsi="Arial"/>
          <w:sz w:val="18"/>
          <w:szCs w:val="18"/>
          <w:b w:val="1"/>
          <w:bCs w:val="1"/>
          <w:color w:val="51555C"/>
        </w:rPr>
        <w:t xml:space="preserve"> </w:t>
      </w:r>
      <w:r>
        <w:rPr>
          <w:rFonts w:ascii="Arial" w:cs="Arial" w:eastAsia="Arial" w:hAnsi="Arial"/>
          <w:sz w:val="18"/>
          <w:szCs w:val="18"/>
          <w:color w:val="51555C"/>
        </w:rPr>
        <w:t>terms of the grant of an Award may provide that an Award and/or a Participant’s rights, payments and benefits with respect to an Award (including Awards that have become vested and exercisable), including, without limitation, the right to receive an Award, to exercise an Award, to retain an Award or other Awards, to retain cash or Common Stock acquired in connection with an Award and/or to retain the profit or gain realized by the Participant in connection with an Award shall be subject to reduction, rescission, forfeiture or recoupment upon the occurrence of certain events (including, but not limited to, termination of Continuous Service for Cause, breach of confidentiality or other restrictive covenants that apply to the Participant, engaging in competition against the Company or an Affiliate, or other conduct or activity by the Participant that is detrimental to the business or reputation of the Company or an Affiliate), whether during or after termination, in addition to any forfeitures due to a vesting schedule or termination of Continuous Service and any other penalties or restrictions that may apply under any employment agreement, state law, or otherwise. In addition, notwithstanding anything to the contrary in a Stock Award Agreement, the Committee may, in its sole discretion, provide for the forfeiture of a Participant’s outstanding Stock Awards, in whole or in part, upon a determination that the Participant’s Continuous Service could have been terminated for Cause even if the Participant does not in fact incur a termination of Continuous Service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225425</wp:posOffset>
            </wp:positionV>
            <wp:extent cx="702945" cy="11176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02945" cy="111760"/>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18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60" w:type="dxa"/>
            <w:vAlign w:val="bottom"/>
          </w:tcPr>
          <w:p>
            <w:pPr>
              <w:jc w:val="right"/>
              <w:ind w:right="8"/>
              <w:spacing w:after="0"/>
              <w:rPr>
                <w:sz w:val="20"/>
                <w:szCs w:val="20"/>
                <w:color w:val="auto"/>
              </w:rPr>
            </w:pPr>
            <w:r>
              <w:rPr>
                <w:rFonts w:ascii="Arial" w:cs="Arial" w:eastAsia="Arial" w:hAnsi="Arial"/>
                <w:sz w:val="14"/>
                <w:szCs w:val="14"/>
                <w:color w:val="51555C"/>
              </w:rPr>
              <w:t>101</w:t>
            </w:r>
          </w:p>
        </w:tc>
      </w:tr>
      <w:tr>
        <w:trPr>
          <w:trHeight w:val="285"/>
        </w:trPr>
        <w:tc>
          <w:tcPr>
            <w:tcW w:w="10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03" w:name="page104"/>
    <w:bookmarkEnd w:id="103"/>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12"/>
        <w:spacing w:after="0"/>
        <w:rPr>
          <w:sz w:val="20"/>
          <w:szCs w:val="20"/>
          <w:color w:val="auto"/>
        </w:rPr>
      </w:pPr>
      <w:r>
        <w:rPr>
          <w:rFonts w:ascii="Arial" w:cs="Arial" w:eastAsia="Arial" w:hAnsi="Arial"/>
          <w:sz w:val="17"/>
          <w:szCs w:val="17"/>
          <w:b w:val="1"/>
          <w:bCs w:val="1"/>
          <w:color w:val="51555C"/>
        </w:rPr>
        <w:t>APPENDICES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32" w:space="720"/>
            <w:col w:w="1080"/>
          </w:cols>
          <w:pgMar w:left="328" w:top="33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both"/>
        <w:ind w:left="-8" w:firstLine="8"/>
        <w:spacing w:after="0" w:line="257" w:lineRule="auto"/>
        <w:tabs>
          <w:tab w:leader="none" w:pos="448" w:val="left"/>
        </w:tabs>
        <w:numPr>
          <w:ilvl w:val="0"/>
          <w:numId w:val="134"/>
        </w:numPr>
        <w:rPr>
          <w:rFonts w:ascii="Arial" w:cs="Arial" w:eastAsia="Arial" w:hAnsi="Arial"/>
          <w:sz w:val="18"/>
          <w:szCs w:val="18"/>
          <w:color w:val="51555C"/>
        </w:rPr>
      </w:pPr>
      <w:r>
        <w:rPr>
          <w:rFonts w:ascii="Arial" w:cs="Arial" w:eastAsia="Arial" w:hAnsi="Arial"/>
          <w:sz w:val="18"/>
          <w:szCs w:val="18"/>
          <w:color w:val="51555C"/>
        </w:rPr>
        <w:t>Company Policies. All Awards granted under the Plan also shall be subject to the terms and conditions of any applicable law and any applicable policy adopted by the Company from time to time regarding hedging, clawbacks, forfeitures, or recoupments. Without limiting the foregoing, by acceptance of any Award, each Participant agrees to repay to the Company any amount that may be required to be repaid under any such policy, Section 954 of the Dodd-Frank Wall Street Reform and Consumer Protection Act of 2010 (as may be amended) and any implementing rules and regulations promulgated thereunder; and/or Section 304 of the Sarbanes Oxley Act of 2002 (as may be amended) and any implementing rules and regulations promulgated thereunder.</w:t>
      </w:r>
    </w:p>
    <w:p>
      <w:pPr>
        <w:spacing w:after="0" w:line="128" w:lineRule="exact"/>
        <w:rPr>
          <w:sz w:val="20"/>
          <w:szCs w:val="20"/>
          <w:color w:val="auto"/>
        </w:rPr>
      </w:pPr>
    </w:p>
    <w:p>
      <w:pPr>
        <w:ind w:left="352" w:hanging="352"/>
        <w:spacing w:after="0"/>
        <w:tabs>
          <w:tab w:leader="none" w:pos="352" w:val="left"/>
        </w:tabs>
        <w:numPr>
          <w:ilvl w:val="0"/>
          <w:numId w:val="135"/>
        </w:numPr>
        <w:rPr>
          <w:rFonts w:ascii="Arial" w:cs="Arial" w:eastAsia="Arial" w:hAnsi="Arial"/>
          <w:sz w:val="18"/>
          <w:szCs w:val="18"/>
          <w:b w:val="1"/>
          <w:bCs w:val="1"/>
          <w:color w:val="51555C"/>
        </w:rPr>
      </w:pPr>
      <w:r>
        <w:rPr>
          <w:rFonts w:ascii="Arial" w:cs="Arial" w:eastAsia="Arial" w:hAnsi="Arial"/>
          <w:sz w:val="18"/>
          <w:szCs w:val="18"/>
          <w:b w:val="1"/>
          <w:bCs w:val="1"/>
          <w:color w:val="51555C"/>
        </w:rPr>
        <w:t>COVENANTS OF THE COMPANY</w:t>
      </w:r>
    </w:p>
    <w:p>
      <w:pPr>
        <w:spacing w:after="0" w:line="171" w:lineRule="exact"/>
        <w:rPr>
          <w:rFonts w:ascii="Arial" w:cs="Arial" w:eastAsia="Arial" w:hAnsi="Arial"/>
          <w:sz w:val="18"/>
          <w:szCs w:val="18"/>
          <w:b w:val="1"/>
          <w:bCs w:val="1"/>
          <w:color w:val="51555C"/>
        </w:rPr>
      </w:pPr>
    </w:p>
    <w:p>
      <w:pPr>
        <w:jc w:val="both"/>
        <w:ind w:left="-8" w:firstLine="656"/>
        <w:spacing w:after="0" w:line="262" w:lineRule="auto"/>
        <w:tabs>
          <w:tab w:leader="none" w:pos="1114" w:val="left"/>
        </w:tabs>
        <w:numPr>
          <w:ilvl w:val="1"/>
          <w:numId w:val="135"/>
        </w:numPr>
        <w:rPr>
          <w:rFonts w:ascii="Arial" w:cs="Arial" w:eastAsia="Arial" w:hAnsi="Arial"/>
          <w:sz w:val="18"/>
          <w:szCs w:val="18"/>
          <w:b w:val="1"/>
          <w:bCs w:val="1"/>
          <w:color w:val="51555C"/>
        </w:rPr>
      </w:pPr>
      <w:r>
        <w:rPr>
          <w:rFonts w:ascii="Arial" w:cs="Arial" w:eastAsia="Arial" w:hAnsi="Arial"/>
          <w:sz w:val="18"/>
          <w:szCs w:val="18"/>
          <w:b w:val="1"/>
          <w:bCs w:val="1"/>
          <w:color w:val="51555C"/>
        </w:rPr>
        <w:t>Availability of Shares</w:t>
      </w:r>
      <w:r>
        <w:rPr>
          <w:rFonts w:ascii="Arial" w:cs="Arial" w:eastAsia="Arial" w:hAnsi="Arial"/>
          <w:sz w:val="18"/>
          <w:szCs w:val="18"/>
          <w:color w:val="51555C"/>
        </w:rPr>
        <w:t>. During the terms of the Stock Awards, the Company shall keep available at all times the number of</w:t>
      </w:r>
      <w:r>
        <w:rPr>
          <w:rFonts w:ascii="Arial" w:cs="Arial" w:eastAsia="Arial" w:hAnsi="Arial"/>
          <w:sz w:val="18"/>
          <w:szCs w:val="18"/>
          <w:b w:val="1"/>
          <w:bCs w:val="1"/>
          <w:color w:val="51555C"/>
        </w:rPr>
        <w:t xml:space="preserve"> </w:t>
      </w:r>
      <w:r>
        <w:rPr>
          <w:rFonts w:ascii="Arial" w:cs="Arial" w:eastAsia="Arial" w:hAnsi="Arial"/>
          <w:sz w:val="18"/>
          <w:szCs w:val="18"/>
          <w:color w:val="51555C"/>
        </w:rPr>
        <w:t>shares of Common Stock required to satisfy such Stock Awards. The foregoing shall not be interpreted to mean that the Committee may not grant Stock Awards subject to approval by the stockholders of the Company of additional shares of Common Stock for issuance under the Plan.</w:t>
      </w:r>
    </w:p>
    <w:p>
      <w:pPr>
        <w:spacing w:after="0" w:line="122" w:lineRule="exact"/>
        <w:rPr>
          <w:rFonts w:ascii="Arial" w:cs="Arial" w:eastAsia="Arial" w:hAnsi="Arial"/>
          <w:sz w:val="18"/>
          <w:szCs w:val="18"/>
          <w:b w:val="1"/>
          <w:bCs w:val="1"/>
          <w:color w:val="51555C"/>
        </w:rPr>
      </w:pPr>
    </w:p>
    <w:p>
      <w:pPr>
        <w:jc w:val="both"/>
        <w:ind w:left="-8" w:firstLine="656"/>
        <w:spacing w:after="0" w:line="255" w:lineRule="auto"/>
        <w:tabs>
          <w:tab w:leader="none" w:pos="1231" w:val="left"/>
        </w:tabs>
        <w:numPr>
          <w:ilvl w:val="1"/>
          <w:numId w:val="135"/>
        </w:numPr>
        <w:rPr>
          <w:rFonts w:ascii="Arial" w:cs="Arial" w:eastAsia="Arial" w:hAnsi="Arial"/>
          <w:sz w:val="18"/>
          <w:szCs w:val="18"/>
          <w:b w:val="1"/>
          <w:bCs w:val="1"/>
          <w:color w:val="51555C"/>
        </w:rPr>
      </w:pPr>
      <w:r>
        <w:rPr>
          <w:rFonts w:ascii="Arial" w:cs="Arial" w:eastAsia="Arial" w:hAnsi="Arial"/>
          <w:sz w:val="18"/>
          <w:szCs w:val="18"/>
          <w:b w:val="1"/>
          <w:bCs w:val="1"/>
          <w:color w:val="51555C"/>
        </w:rPr>
        <w:t>Securities Law Compliance</w:t>
      </w:r>
      <w:r>
        <w:rPr>
          <w:rFonts w:ascii="Arial" w:cs="Arial" w:eastAsia="Arial" w:hAnsi="Arial"/>
          <w:sz w:val="18"/>
          <w:szCs w:val="18"/>
          <w:color w:val="51555C"/>
        </w:rPr>
        <w:t>. The Company shall seek to obtain from each regulatory commission or agency having</w:t>
      </w:r>
      <w:r>
        <w:rPr>
          <w:rFonts w:ascii="Arial" w:cs="Arial" w:eastAsia="Arial" w:hAnsi="Arial"/>
          <w:sz w:val="18"/>
          <w:szCs w:val="18"/>
          <w:b w:val="1"/>
          <w:bCs w:val="1"/>
          <w:color w:val="51555C"/>
        </w:rPr>
        <w:t xml:space="preserve"> </w:t>
      </w:r>
      <w:r>
        <w:rPr>
          <w:rFonts w:ascii="Arial" w:cs="Arial" w:eastAsia="Arial" w:hAnsi="Arial"/>
          <w:sz w:val="18"/>
          <w:szCs w:val="18"/>
          <w:color w:val="51555C"/>
        </w:rPr>
        <w:t xml:space="preserve">jurisdiction over the Plan such authority as may be required to grant Stock Awards and to issue and sell shares of Common Stock upon exercise of the Stock Awards; </w:t>
      </w:r>
      <w:r>
        <w:rPr>
          <w:rFonts w:ascii="Arial" w:cs="Arial" w:eastAsia="Arial" w:hAnsi="Arial"/>
          <w:sz w:val="18"/>
          <w:szCs w:val="18"/>
          <w:i w:val="1"/>
          <w:iCs w:val="1"/>
          <w:color w:val="51555C"/>
        </w:rPr>
        <w:t>provided, however,</w:t>
      </w:r>
      <w:r>
        <w:rPr>
          <w:rFonts w:ascii="Arial" w:cs="Arial" w:eastAsia="Arial" w:hAnsi="Arial"/>
          <w:sz w:val="18"/>
          <w:szCs w:val="18"/>
          <w:color w:val="51555C"/>
        </w:rPr>
        <w:t xml:space="preserve"> that this undertaking shall not require the Company to register under the Securities Act the Plan, any Stock Award or any Common Stock issued or issuable pursuant to any such Stock Award or to effect similar compliance under any applicable state laws. If, after reasonable efforts, the Company is unable to obtain from any such regulatory commission or agency (or state regulatory bodies) the authority that counsel for the Company deems necessary for the lawful issuance and sale of Common Stock under the Plan, the Company shall be relieved from any liability for failure to issue and sell Common Stock upon exercise of such Stock Awards unless and until such authority is obtained.</w:t>
      </w:r>
    </w:p>
    <w:p>
      <w:pPr>
        <w:spacing w:after="0" w:line="130" w:lineRule="exact"/>
        <w:rPr>
          <w:rFonts w:ascii="Arial" w:cs="Arial" w:eastAsia="Arial" w:hAnsi="Arial"/>
          <w:sz w:val="18"/>
          <w:szCs w:val="18"/>
          <w:b w:val="1"/>
          <w:bCs w:val="1"/>
          <w:color w:val="51555C"/>
        </w:rPr>
      </w:pPr>
    </w:p>
    <w:p>
      <w:pPr>
        <w:jc w:val="both"/>
        <w:ind w:left="-8" w:firstLine="656"/>
        <w:spacing w:after="0" w:line="262" w:lineRule="auto"/>
        <w:tabs>
          <w:tab w:leader="none" w:pos="1073" w:val="left"/>
        </w:tabs>
        <w:numPr>
          <w:ilvl w:val="1"/>
          <w:numId w:val="135"/>
        </w:numPr>
        <w:rPr>
          <w:rFonts w:ascii="Arial" w:cs="Arial" w:eastAsia="Arial" w:hAnsi="Arial"/>
          <w:sz w:val="18"/>
          <w:szCs w:val="18"/>
          <w:b w:val="1"/>
          <w:bCs w:val="1"/>
          <w:color w:val="51555C"/>
        </w:rPr>
      </w:pPr>
      <w:r>
        <w:rPr>
          <w:rFonts w:ascii="Arial" w:cs="Arial" w:eastAsia="Arial" w:hAnsi="Arial"/>
          <w:sz w:val="18"/>
          <w:szCs w:val="18"/>
          <w:b w:val="1"/>
          <w:bCs w:val="1"/>
          <w:color w:val="51555C"/>
        </w:rPr>
        <w:t>No Obligation to Notify</w:t>
      </w:r>
      <w:r>
        <w:rPr>
          <w:rFonts w:ascii="Arial" w:cs="Arial" w:eastAsia="Arial" w:hAnsi="Arial"/>
          <w:sz w:val="18"/>
          <w:szCs w:val="18"/>
          <w:color w:val="51555C"/>
        </w:rPr>
        <w:t>. The Company shall have no duty or obligation to any holder of a Stock Award to advise such holder</w:t>
      </w:r>
      <w:r>
        <w:rPr>
          <w:rFonts w:ascii="Arial" w:cs="Arial" w:eastAsia="Arial" w:hAnsi="Arial"/>
          <w:sz w:val="18"/>
          <w:szCs w:val="18"/>
          <w:b w:val="1"/>
          <w:bCs w:val="1"/>
          <w:color w:val="51555C"/>
        </w:rPr>
        <w:t xml:space="preserve"> </w:t>
      </w:r>
      <w:r>
        <w:rPr>
          <w:rFonts w:ascii="Arial" w:cs="Arial" w:eastAsia="Arial" w:hAnsi="Arial"/>
          <w:sz w:val="18"/>
          <w:szCs w:val="18"/>
          <w:color w:val="51555C"/>
        </w:rPr>
        <w:t>as to the time or manner of exercising such Stock Award. Furthermore, the Company shall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122" w:lineRule="exact"/>
        <w:rPr>
          <w:rFonts w:ascii="Arial" w:cs="Arial" w:eastAsia="Arial" w:hAnsi="Arial"/>
          <w:sz w:val="18"/>
          <w:szCs w:val="18"/>
          <w:b w:val="1"/>
          <w:bCs w:val="1"/>
          <w:color w:val="51555C"/>
        </w:rPr>
      </w:pPr>
    </w:p>
    <w:p>
      <w:pPr>
        <w:ind w:left="452" w:hanging="452"/>
        <w:spacing w:after="0"/>
        <w:tabs>
          <w:tab w:leader="none" w:pos="452" w:val="left"/>
        </w:tabs>
        <w:numPr>
          <w:ilvl w:val="0"/>
          <w:numId w:val="135"/>
        </w:numPr>
        <w:rPr>
          <w:rFonts w:ascii="Arial" w:cs="Arial" w:eastAsia="Arial" w:hAnsi="Arial"/>
          <w:sz w:val="18"/>
          <w:szCs w:val="18"/>
          <w:b w:val="1"/>
          <w:bCs w:val="1"/>
          <w:color w:val="51555C"/>
        </w:rPr>
      </w:pPr>
      <w:r>
        <w:rPr>
          <w:rFonts w:ascii="Arial" w:cs="Arial" w:eastAsia="Arial" w:hAnsi="Arial"/>
          <w:sz w:val="18"/>
          <w:szCs w:val="18"/>
          <w:b w:val="1"/>
          <w:bCs w:val="1"/>
          <w:color w:val="51555C"/>
        </w:rPr>
        <w:t>MISCELLANEOUS</w:t>
      </w:r>
    </w:p>
    <w:p>
      <w:pPr>
        <w:spacing w:after="0" w:line="171" w:lineRule="exact"/>
        <w:rPr>
          <w:rFonts w:ascii="Arial" w:cs="Arial" w:eastAsia="Arial" w:hAnsi="Arial"/>
          <w:sz w:val="18"/>
          <w:szCs w:val="18"/>
          <w:b w:val="1"/>
          <w:bCs w:val="1"/>
          <w:color w:val="51555C"/>
        </w:rPr>
      </w:pPr>
    </w:p>
    <w:p>
      <w:pPr>
        <w:ind w:left="-8" w:firstLine="656"/>
        <w:spacing w:after="0" w:line="287" w:lineRule="auto"/>
        <w:tabs>
          <w:tab w:leader="none" w:pos="1060" w:val="left"/>
        </w:tabs>
        <w:numPr>
          <w:ilvl w:val="1"/>
          <w:numId w:val="135"/>
        </w:numPr>
        <w:rPr>
          <w:rFonts w:ascii="Arial" w:cs="Arial" w:eastAsia="Arial" w:hAnsi="Arial"/>
          <w:sz w:val="18"/>
          <w:szCs w:val="18"/>
          <w:b w:val="1"/>
          <w:bCs w:val="1"/>
          <w:color w:val="51555C"/>
        </w:rPr>
      </w:pPr>
      <w:r>
        <w:rPr>
          <w:rFonts w:ascii="Arial" w:cs="Arial" w:eastAsia="Arial" w:hAnsi="Arial"/>
          <w:sz w:val="18"/>
          <w:szCs w:val="18"/>
          <w:b w:val="1"/>
          <w:bCs w:val="1"/>
          <w:color w:val="51555C"/>
        </w:rPr>
        <w:t>Use of Proceeds</w:t>
      </w:r>
      <w:r>
        <w:rPr>
          <w:rFonts w:ascii="Arial" w:cs="Arial" w:eastAsia="Arial" w:hAnsi="Arial"/>
          <w:sz w:val="18"/>
          <w:szCs w:val="18"/>
          <w:color w:val="51555C"/>
        </w:rPr>
        <w:t>. Proceeds from the sale of shares of Common Stock pursuant to Stock Awards shall constitute general funds</w:t>
      </w:r>
      <w:r>
        <w:rPr>
          <w:rFonts w:ascii="Arial" w:cs="Arial" w:eastAsia="Arial" w:hAnsi="Arial"/>
          <w:sz w:val="18"/>
          <w:szCs w:val="18"/>
          <w:b w:val="1"/>
          <w:bCs w:val="1"/>
          <w:color w:val="51555C"/>
        </w:rPr>
        <w:t xml:space="preserve"> </w:t>
      </w:r>
      <w:r>
        <w:rPr>
          <w:rFonts w:ascii="Arial" w:cs="Arial" w:eastAsia="Arial" w:hAnsi="Arial"/>
          <w:sz w:val="18"/>
          <w:szCs w:val="18"/>
          <w:color w:val="51555C"/>
        </w:rPr>
        <w:t>of the Company.</w:t>
      </w:r>
    </w:p>
    <w:p>
      <w:pPr>
        <w:spacing w:after="0" w:line="98" w:lineRule="exact"/>
        <w:rPr>
          <w:rFonts w:ascii="Arial" w:cs="Arial" w:eastAsia="Arial" w:hAnsi="Arial"/>
          <w:sz w:val="18"/>
          <w:szCs w:val="18"/>
          <w:b w:val="1"/>
          <w:bCs w:val="1"/>
          <w:color w:val="51555C"/>
        </w:rPr>
      </w:pPr>
    </w:p>
    <w:p>
      <w:pPr>
        <w:jc w:val="both"/>
        <w:ind w:left="-8" w:firstLine="656"/>
        <w:spacing w:after="0" w:line="262" w:lineRule="auto"/>
        <w:tabs>
          <w:tab w:leader="none" w:pos="1123" w:val="left"/>
        </w:tabs>
        <w:numPr>
          <w:ilvl w:val="1"/>
          <w:numId w:val="135"/>
        </w:numPr>
        <w:rPr>
          <w:rFonts w:ascii="Arial" w:cs="Arial" w:eastAsia="Arial" w:hAnsi="Arial"/>
          <w:sz w:val="18"/>
          <w:szCs w:val="18"/>
          <w:b w:val="1"/>
          <w:bCs w:val="1"/>
          <w:color w:val="51555C"/>
        </w:rPr>
      </w:pPr>
      <w:r>
        <w:rPr>
          <w:rFonts w:ascii="Arial" w:cs="Arial" w:eastAsia="Arial" w:hAnsi="Arial"/>
          <w:sz w:val="18"/>
          <w:szCs w:val="18"/>
          <w:b w:val="1"/>
          <w:bCs w:val="1"/>
          <w:color w:val="51555C"/>
        </w:rPr>
        <w:t>Corporate Action Constituting Grant of Stock Awards</w:t>
      </w:r>
      <w:r>
        <w:rPr>
          <w:rFonts w:ascii="Arial" w:cs="Arial" w:eastAsia="Arial" w:hAnsi="Arial"/>
          <w:sz w:val="18"/>
          <w:szCs w:val="18"/>
          <w:color w:val="51555C"/>
        </w:rPr>
        <w:t>. Corporate action constituting a grant by the Company of a Stock</w:t>
      </w:r>
      <w:r>
        <w:rPr>
          <w:rFonts w:ascii="Arial" w:cs="Arial" w:eastAsia="Arial" w:hAnsi="Arial"/>
          <w:sz w:val="18"/>
          <w:szCs w:val="18"/>
          <w:b w:val="1"/>
          <w:bCs w:val="1"/>
          <w:color w:val="51555C"/>
        </w:rPr>
        <w:t xml:space="preserve"> </w:t>
      </w:r>
      <w:r>
        <w:rPr>
          <w:rFonts w:ascii="Arial" w:cs="Arial" w:eastAsia="Arial" w:hAnsi="Arial"/>
          <w:sz w:val="18"/>
          <w:szCs w:val="18"/>
          <w:color w:val="51555C"/>
        </w:rPr>
        <w:t>Award to any Participant shall be deemed completed as of the date of such corporate action, unless otherwise determined by the Committee, regardless of when the instrument, certificate, or letter evidencing the Stock Award is communicated to, or actually received or accepted by, the Participant.</w:t>
      </w:r>
    </w:p>
    <w:p>
      <w:pPr>
        <w:spacing w:after="0" w:line="122" w:lineRule="exact"/>
        <w:rPr>
          <w:rFonts w:ascii="Arial" w:cs="Arial" w:eastAsia="Arial" w:hAnsi="Arial"/>
          <w:sz w:val="18"/>
          <w:szCs w:val="18"/>
          <w:b w:val="1"/>
          <w:bCs w:val="1"/>
          <w:color w:val="51555C"/>
        </w:rPr>
      </w:pPr>
    </w:p>
    <w:p>
      <w:pPr>
        <w:jc w:val="both"/>
        <w:ind w:left="-8" w:firstLine="656"/>
        <w:spacing w:after="0" w:line="262" w:lineRule="auto"/>
        <w:tabs>
          <w:tab w:leader="none" w:pos="1087" w:val="left"/>
        </w:tabs>
        <w:numPr>
          <w:ilvl w:val="1"/>
          <w:numId w:val="135"/>
        </w:numPr>
        <w:rPr>
          <w:rFonts w:ascii="Arial" w:cs="Arial" w:eastAsia="Arial" w:hAnsi="Arial"/>
          <w:sz w:val="18"/>
          <w:szCs w:val="18"/>
          <w:b w:val="1"/>
          <w:bCs w:val="1"/>
          <w:color w:val="51555C"/>
        </w:rPr>
      </w:pPr>
      <w:r>
        <w:rPr>
          <w:rFonts w:ascii="Arial" w:cs="Arial" w:eastAsia="Arial" w:hAnsi="Arial"/>
          <w:sz w:val="18"/>
          <w:szCs w:val="18"/>
          <w:b w:val="1"/>
          <w:bCs w:val="1"/>
          <w:color w:val="51555C"/>
        </w:rPr>
        <w:t>Stockholder Rights</w:t>
      </w:r>
      <w:r>
        <w:rPr>
          <w:rFonts w:ascii="Arial" w:cs="Arial" w:eastAsia="Arial" w:hAnsi="Arial"/>
          <w:sz w:val="18"/>
          <w:szCs w:val="18"/>
          <w:color w:val="51555C"/>
        </w:rPr>
        <w:t>. Without limitation of any other provision of the Plan, no Participant shall be deemed to be the holder of,</w:t>
      </w:r>
      <w:r>
        <w:rPr>
          <w:rFonts w:ascii="Arial" w:cs="Arial" w:eastAsia="Arial" w:hAnsi="Arial"/>
          <w:sz w:val="18"/>
          <w:szCs w:val="18"/>
          <w:b w:val="1"/>
          <w:bCs w:val="1"/>
          <w:color w:val="51555C"/>
        </w:rPr>
        <w:t xml:space="preserve"> </w:t>
      </w:r>
      <w:r>
        <w:rPr>
          <w:rFonts w:ascii="Arial" w:cs="Arial" w:eastAsia="Arial" w:hAnsi="Arial"/>
          <w:sz w:val="18"/>
          <w:szCs w:val="18"/>
          <w:color w:val="51555C"/>
        </w:rPr>
        <w:t>or to have any of the rights of a holder with respect to, any shares of Common Stock subject to such Stock Award unless and until (i) such Participant has satisfied all requirements for issuance of the shares covered by the Stock Award pursuant to its terms, and (ii) the issuance of the Common Stock has been entered into the books and records of the Company.</w:t>
      </w:r>
    </w:p>
    <w:p>
      <w:pPr>
        <w:spacing w:after="0" w:line="122" w:lineRule="exact"/>
        <w:rPr>
          <w:rFonts w:ascii="Arial" w:cs="Arial" w:eastAsia="Arial" w:hAnsi="Arial"/>
          <w:sz w:val="18"/>
          <w:szCs w:val="18"/>
          <w:b w:val="1"/>
          <w:bCs w:val="1"/>
          <w:color w:val="51555C"/>
        </w:rPr>
      </w:pPr>
    </w:p>
    <w:p>
      <w:pPr>
        <w:jc w:val="both"/>
        <w:ind w:left="-8" w:firstLine="656"/>
        <w:spacing w:after="0" w:line="256" w:lineRule="auto"/>
        <w:tabs>
          <w:tab w:leader="none" w:pos="1123" w:val="left"/>
        </w:tabs>
        <w:numPr>
          <w:ilvl w:val="1"/>
          <w:numId w:val="135"/>
        </w:numPr>
        <w:rPr>
          <w:rFonts w:ascii="Arial" w:cs="Arial" w:eastAsia="Arial" w:hAnsi="Arial"/>
          <w:sz w:val="18"/>
          <w:szCs w:val="18"/>
          <w:b w:val="1"/>
          <w:bCs w:val="1"/>
          <w:color w:val="51555C"/>
        </w:rPr>
      </w:pPr>
      <w:r>
        <w:rPr>
          <w:rFonts w:ascii="Arial" w:cs="Arial" w:eastAsia="Arial" w:hAnsi="Arial"/>
          <w:sz w:val="18"/>
          <w:szCs w:val="18"/>
          <w:b w:val="1"/>
          <w:bCs w:val="1"/>
          <w:color w:val="51555C"/>
        </w:rPr>
        <w:t>No Employment or Other Service Rights</w:t>
      </w:r>
      <w:r>
        <w:rPr>
          <w:rFonts w:ascii="Arial" w:cs="Arial" w:eastAsia="Arial" w:hAnsi="Arial"/>
          <w:sz w:val="18"/>
          <w:szCs w:val="18"/>
          <w:color w:val="51555C"/>
        </w:rPr>
        <w:t>. Nothing in the Plan, any Stock Award Agreement or other instrument executed</w:t>
      </w:r>
      <w:r>
        <w:rPr>
          <w:rFonts w:ascii="Arial" w:cs="Arial" w:eastAsia="Arial" w:hAnsi="Arial"/>
          <w:sz w:val="18"/>
          <w:szCs w:val="18"/>
          <w:b w:val="1"/>
          <w:bCs w:val="1"/>
          <w:color w:val="51555C"/>
        </w:rPr>
        <w:t xml:space="preserve"> </w:t>
      </w:r>
      <w:r>
        <w:rPr>
          <w:rFonts w:ascii="Arial" w:cs="Arial" w:eastAsia="Arial" w:hAnsi="Arial"/>
          <w:sz w:val="18"/>
          <w:szCs w:val="18"/>
          <w:color w:val="51555C"/>
        </w:rPr>
        <w:t>thereunder or in connection with any Stock Award granted pursuant to the Plan or the fact of any grant of an Award shall confer upon any Participant any right to continue to serve the Company or an Affiliate in the capacity in effect at the time the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28" w:lineRule="exact"/>
        <w:rPr>
          <w:rFonts w:ascii="Arial" w:cs="Arial" w:eastAsia="Arial" w:hAnsi="Arial"/>
          <w:sz w:val="18"/>
          <w:szCs w:val="18"/>
          <w:b w:val="1"/>
          <w:bCs w:val="1"/>
          <w:color w:val="51555C"/>
        </w:rPr>
      </w:pPr>
    </w:p>
    <w:p>
      <w:pPr>
        <w:jc w:val="both"/>
        <w:ind w:left="-8" w:firstLine="656"/>
        <w:spacing w:after="0" w:line="268" w:lineRule="auto"/>
        <w:tabs>
          <w:tab w:leader="none" w:pos="1087" w:val="left"/>
        </w:tabs>
        <w:numPr>
          <w:ilvl w:val="1"/>
          <w:numId w:val="135"/>
        </w:numPr>
        <w:rPr>
          <w:rFonts w:ascii="Arial" w:cs="Arial" w:eastAsia="Arial" w:hAnsi="Arial"/>
          <w:sz w:val="18"/>
          <w:szCs w:val="18"/>
          <w:b w:val="1"/>
          <w:bCs w:val="1"/>
          <w:color w:val="51555C"/>
        </w:rPr>
      </w:pPr>
      <w:r>
        <w:rPr>
          <w:rFonts w:ascii="Arial" w:cs="Arial" w:eastAsia="Arial" w:hAnsi="Arial"/>
          <w:sz w:val="18"/>
          <w:szCs w:val="18"/>
          <w:b w:val="1"/>
          <w:bCs w:val="1"/>
          <w:color w:val="51555C"/>
        </w:rPr>
        <w:t>Other Plans</w:t>
      </w:r>
      <w:r>
        <w:rPr>
          <w:rFonts w:ascii="Arial" w:cs="Arial" w:eastAsia="Arial" w:hAnsi="Arial"/>
          <w:sz w:val="18"/>
          <w:szCs w:val="18"/>
          <w:color w:val="51555C"/>
        </w:rPr>
        <w:t>. Awards under the Plan shall not be treated as compensation for purposes of any other compensation or benefit</w:t>
      </w:r>
      <w:r>
        <w:rPr>
          <w:rFonts w:ascii="Arial" w:cs="Arial" w:eastAsia="Arial" w:hAnsi="Arial"/>
          <w:sz w:val="18"/>
          <w:szCs w:val="18"/>
          <w:b w:val="1"/>
          <w:bCs w:val="1"/>
          <w:color w:val="51555C"/>
        </w:rPr>
        <w:t xml:space="preserve"> </w:t>
      </w:r>
      <w:r>
        <w:rPr>
          <w:rFonts w:ascii="Arial" w:cs="Arial" w:eastAsia="Arial" w:hAnsi="Arial"/>
          <w:sz w:val="18"/>
          <w:szCs w:val="18"/>
          <w:color w:val="51555C"/>
        </w:rPr>
        <w:t>plan, program or arrangement of the Company or any of its Affiliates, unless such other plan provides that compensation such as payments made pursuant to the Plan are to be considered as compensation.</w:t>
      </w:r>
    </w:p>
    <w:p>
      <w:pPr>
        <w:spacing w:after="0" w:line="327" w:lineRule="exact"/>
        <w:rPr>
          <w:sz w:val="20"/>
          <w:szCs w:val="20"/>
          <w:color w:val="auto"/>
        </w:rPr>
      </w:pPr>
    </w:p>
    <w:p>
      <w:pPr>
        <w:ind w:left="92"/>
        <w:spacing w:after="0"/>
        <w:tabs>
          <w:tab w:leader="none" w:pos="506" w:val="left"/>
        </w:tabs>
        <w:rPr>
          <w:sz w:val="20"/>
          <w:szCs w:val="20"/>
          <w:color w:val="auto"/>
        </w:rPr>
      </w:pPr>
      <w:r>
        <w:rPr>
          <w:rFonts w:ascii="Arial" w:cs="Arial" w:eastAsia="Arial" w:hAnsi="Arial"/>
          <w:sz w:val="14"/>
          <w:szCs w:val="14"/>
          <w:color w:val="51555C"/>
        </w:rPr>
        <w:t>102</w:t>
      </w:r>
      <w:r>
        <w:rPr>
          <w:sz w:val="20"/>
          <w:szCs w:val="20"/>
          <w:color w:val="auto"/>
        </w:rPr>
        <w:tab/>
      </w:r>
      <w:r>
        <w:rPr>
          <w:sz w:val="1"/>
          <w:szCs w:val="1"/>
          <w:color w:val="auto"/>
        </w:rPr>
        <w:drawing>
          <wp:inline distT="0" distB="0" distL="0" distR="0">
            <wp:extent cx="702945" cy="111125"/>
            <wp:effectExtent l="0" t="0" r="0" b="0"/>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38" w:right="339" w:bottom="1440" w:gutter="0" w:footer="0" w:header="0"/>
          <w:type w:val="continuous"/>
        </w:sectPr>
      </w:pPr>
    </w:p>
    <w:bookmarkStart w:id="104" w:name="page105"/>
    <w:bookmarkEnd w:id="104"/>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9440"/>
        <w:spacing w:after="0"/>
        <w:rPr>
          <w:sz w:val="20"/>
          <w:szCs w:val="20"/>
          <w:color w:val="auto"/>
        </w:rPr>
      </w:pPr>
      <w:r>
        <w:rPr>
          <w:rFonts w:ascii="Arial" w:cs="Arial" w:eastAsia="Arial" w:hAnsi="Arial"/>
          <w:sz w:val="18"/>
          <w:szCs w:val="18"/>
          <w:b w:val="1"/>
          <w:bCs w:val="1"/>
          <w:color w:val="51555C"/>
        </w:rPr>
        <w:t>APPENDICES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656"/>
        <w:spacing w:after="0" w:line="253" w:lineRule="auto"/>
        <w:tabs>
          <w:tab w:leader="none" w:pos="1081" w:val="left"/>
        </w:tabs>
        <w:numPr>
          <w:ilvl w:val="1"/>
          <w:numId w:val="136"/>
        </w:numPr>
        <w:rPr>
          <w:rFonts w:ascii="Arial" w:cs="Arial" w:eastAsia="Arial" w:hAnsi="Arial"/>
          <w:sz w:val="18"/>
          <w:szCs w:val="18"/>
          <w:b w:val="1"/>
          <w:bCs w:val="1"/>
          <w:color w:val="51555C"/>
        </w:rPr>
      </w:pPr>
      <w:r>
        <w:rPr>
          <w:rFonts w:ascii="Arial" w:cs="Arial" w:eastAsia="Arial" w:hAnsi="Arial"/>
          <w:sz w:val="18"/>
          <w:szCs w:val="18"/>
          <w:b w:val="1"/>
          <w:bCs w:val="1"/>
          <w:color w:val="51555C"/>
        </w:rPr>
        <w:t>Investment Assurances</w:t>
      </w:r>
      <w:r>
        <w:rPr>
          <w:rFonts w:ascii="Arial" w:cs="Arial" w:eastAsia="Arial" w:hAnsi="Arial"/>
          <w:sz w:val="18"/>
          <w:szCs w:val="18"/>
          <w:color w:val="51555C"/>
        </w:rPr>
        <w:t>. The Company may require a Participant, as a condition of exercising or acquiring Common Stock</w:t>
      </w:r>
      <w:r>
        <w:rPr>
          <w:rFonts w:ascii="Arial" w:cs="Arial" w:eastAsia="Arial" w:hAnsi="Arial"/>
          <w:sz w:val="18"/>
          <w:szCs w:val="18"/>
          <w:b w:val="1"/>
          <w:bCs w:val="1"/>
          <w:color w:val="51555C"/>
        </w:rPr>
        <w:t xml:space="preserve"> </w:t>
      </w:r>
      <w:r>
        <w:rPr>
          <w:rFonts w:ascii="Arial" w:cs="Arial" w:eastAsia="Arial" w:hAnsi="Arial"/>
          <w:sz w:val="18"/>
          <w:szCs w:val="18"/>
          <w:color w:val="51555C"/>
        </w:rPr>
        <w:t>under any 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 (A) the issuance of the shares upon the exercise or acquisition of Common Stock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33" w:lineRule="exact"/>
        <w:rPr>
          <w:rFonts w:ascii="Arial" w:cs="Arial" w:eastAsia="Arial" w:hAnsi="Arial"/>
          <w:sz w:val="18"/>
          <w:szCs w:val="18"/>
          <w:b w:val="1"/>
          <w:bCs w:val="1"/>
          <w:color w:val="51555C"/>
        </w:rPr>
      </w:pPr>
    </w:p>
    <w:p>
      <w:pPr>
        <w:ind w:left="1080" w:hanging="424"/>
        <w:spacing w:after="0"/>
        <w:tabs>
          <w:tab w:leader="none" w:pos="1080" w:val="left"/>
        </w:tabs>
        <w:numPr>
          <w:ilvl w:val="1"/>
          <w:numId w:val="136"/>
        </w:numPr>
        <w:rPr>
          <w:rFonts w:ascii="Arial" w:cs="Arial" w:eastAsia="Arial" w:hAnsi="Arial"/>
          <w:sz w:val="18"/>
          <w:szCs w:val="18"/>
          <w:b w:val="1"/>
          <w:bCs w:val="1"/>
          <w:color w:val="51555C"/>
        </w:rPr>
      </w:pPr>
      <w:r>
        <w:rPr>
          <w:rFonts w:ascii="Arial" w:cs="Arial" w:eastAsia="Arial" w:hAnsi="Arial"/>
          <w:sz w:val="18"/>
          <w:szCs w:val="18"/>
          <w:b w:val="1"/>
          <w:bCs w:val="1"/>
          <w:color w:val="51555C"/>
        </w:rPr>
        <w:t>Withholding Obligations</w:t>
      </w:r>
    </w:p>
    <w:p>
      <w:pPr>
        <w:spacing w:after="0" w:line="171" w:lineRule="exact"/>
        <w:rPr>
          <w:rFonts w:ascii="Arial" w:cs="Arial" w:eastAsia="Arial" w:hAnsi="Arial"/>
          <w:sz w:val="18"/>
          <w:szCs w:val="18"/>
          <w:b w:val="1"/>
          <w:bCs w:val="1"/>
          <w:color w:val="51555C"/>
        </w:rPr>
      </w:pPr>
    </w:p>
    <w:p>
      <w:pPr>
        <w:jc w:val="both"/>
        <w:ind w:firstLine="1304"/>
        <w:spacing w:after="0" w:line="254" w:lineRule="auto"/>
        <w:tabs>
          <w:tab w:leader="none" w:pos="1720" w:val="left"/>
        </w:tabs>
        <w:numPr>
          <w:ilvl w:val="2"/>
          <w:numId w:val="136"/>
        </w:numPr>
        <w:rPr>
          <w:rFonts w:ascii="Arial" w:cs="Arial" w:eastAsia="Arial" w:hAnsi="Arial"/>
          <w:sz w:val="18"/>
          <w:szCs w:val="18"/>
          <w:b w:val="1"/>
          <w:bCs w:val="1"/>
          <w:color w:val="51555C"/>
        </w:rPr>
      </w:pPr>
      <w:r>
        <w:rPr>
          <w:rFonts w:ascii="Arial" w:cs="Arial" w:eastAsia="Arial" w:hAnsi="Arial"/>
          <w:sz w:val="18"/>
          <w:szCs w:val="18"/>
          <w:b w:val="1"/>
          <w:bCs w:val="1"/>
          <w:color w:val="51555C"/>
        </w:rPr>
        <w:t>Stock Awards</w:t>
      </w:r>
      <w:r>
        <w:rPr>
          <w:rFonts w:ascii="Arial" w:cs="Arial" w:eastAsia="Arial" w:hAnsi="Arial"/>
          <w:sz w:val="18"/>
          <w:szCs w:val="18"/>
          <w:color w:val="51555C"/>
        </w:rPr>
        <w:t>. Unless prohibited by the terms of a Stock Award Agreement, the Company may, generally in its sole</w:t>
      </w:r>
      <w:r>
        <w:rPr>
          <w:rFonts w:ascii="Arial" w:cs="Arial" w:eastAsia="Arial" w:hAnsi="Arial"/>
          <w:sz w:val="18"/>
          <w:szCs w:val="18"/>
          <w:b w:val="1"/>
          <w:bCs w:val="1"/>
          <w:color w:val="51555C"/>
        </w:rPr>
        <w:t xml:space="preserve"> </w:t>
      </w:r>
      <w:r>
        <w:rPr>
          <w:rFonts w:ascii="Arial" w:cs="Arial" w:eastAsia="Arial" w:hAnsi="Arial"/>
          <w:sz w:val="18"/>
          <w:szCs w:val="18"/>
          <w:color w:val="51555C"/>
        </w:rPr>
        <w:t>discretion except with respect to Exchange Act Persons which shall be subject to the determination and approval of the Committee and any procedures it may determine for Exchange Act Persons, satisfy any federal, state, local or foreign tax withholding obligation relating to a Stock Award by any of the following means (in addition to the Company’s or an Affiliate’s right to withhold from any compensation paid to the Participant by the Company or the Affiliate) or by a combination of such means: (A) causing the Participant to tender a cash payment;</w:t>
      </w:r>
    </w:p>
    <w:p>
      <w:pPr>
        <w:spacing w:after="0" w:line="2" w:lineRule="exact"/>
        <w:rPr>
          <w:rFonts w:ascii="Arial" w:cs="Arial" w:eastAsia="Arial" w:hAnsi="Arial"/>
          <w:sz w:val="18"/>
          <w:szCs w:val="18"/>
          <w:b w:val="1"/>
          <w:bCs w:val="1"/>
          <w:color w:val="51555C"/>
        </w:rPr>
      </w:pPr>
    </w:p>
    <w:p>
      <w:pPr>
        <w:jc w:val="both"/>
        <w:ind w:firstLine="8"/>
        <w:spacing w:after="0" w:line="252" w:lineRule="auto"/>
        <w:tabs>
          <w:tab w:leader="none" w:pos="290" w:val="left"/>
        </w:tabs>
        <w:numPr>
          <w:ilvl w:val="0"/>
          <w:numId w:val="137"/>
        </w:numPr>
        <w:rPr>
          <w:rFonts w:ascii="Arial" w:cs="Arial" w:eastAsia="Arial" w:hAnsi="Arial"/>
          <w:sz w:val="18"/>
          <w:szCs w:val="18"/>
          <w:color w:val="51555C"/>
        </w:rPr>
      </w:pPr>
      <w:r>
        <w:rPr>
          <w:rFonts w:ascii="Arial" w:cs="Arial" w:eastAsia="Arial" w:hAnsi="Arial"/>
          <w:sz w:val="18"/>
          <w:szCs w:val="18"/>
          <w:color w:val="51555C"/>
        </w:rPr>
        <w:t xml:space="preserve">withholding shares of Common Stock from the shares of Common Stock issued or otherwise issuable to the Participant in connection with the Stock Award using rates of up to the maximum applicable statutory rate in a Participant’s jurisdiction; </w:t>
      </w:r>
      <w:r>
        <w:rPr>
          <w:rFonts w:ascii="Arial" w:cs="Arial" w:eastAsia="Arial" w:hAnsi="Arial"/>
          <w:sz w:val="18"/>
          <w:szCs w:val="18"/>
          <w:i w:val="1"/>
          <w:iCs w:val="1"/>
          <w:color w:val="51555C"/>
        </w:rPr>
        <w:t>provided, however</w:t>
      </w:r>
      <w:r>
        <w:rPr>
          <w:rFonts w:ascii="Arial" w:cs="Arial" w:eastAsia="Arial" w:hAnsi="Arial"/>
          <w:sz w:val="18"/>
          <w:szCs w:val="18"/>
          <w:color w:val="51555C"/>
        </w:rPr>
        <w:t xml:space="preserve">, that such share withholding can be effected without causing liability under Section 16(b) of the Exchange Act and </w:t>
      </w:r>
      <w:r>
        <w:rPr>
          <w:rFonts w:ascii="Arial" w:cs="Arial" w:eastAsia="Arial" w:hAnsi="Arial"/>
          <w:sz w:val="18"/>
          <w:szCs w:val="18"/>
          <w:i w:val="1"/>
          <w:iCs w:val="1"/>
          <w:color w:val="51555C"/>
        </w:rPr>
        <w:t>provided, further</w:t>
      </w:r>
      <w:r>
        <w:rPr>
          <w:rFonts w:ascii="Arial" w:cs="Arial" w:eastAsia="Arial" w:hAnsi="Arial"/>
          <w:sz w:val="18"/>
          <w:szCs w:val="18"/>
          <w:color w:val="51555C"/>
        </w:rPr>
        <w:t>, that such share withholding may be permitted in excess of the minimum required statutory amount so long as such share withholding will not trigger classification of the Stock Award as a liability for financial accounting purposes; (C) withholding cash (or causing an Affiliate to withhold cash) from a Stock Award settled in cash; (D) withholding payment (or causing an Affiliate to withhold payment) from any amounts otherwise payable to the Participant; or (E) by such other method as may be set forth in the Stock Award Agreement. Notwithstanding the foregoing, the Committee shall have the right to restrict a Participant’s ability to satisfy tax obligations through share withholding and delivery as it may deem necessary or appropriate. The Company shall not be required to issue, deliver or release restrictions on any shares of Common Stock or to settle any Stock Awards payable hereunder if such withholding requirements have not been satisfied.</w:t>
      </w:r>
    </w:p>
    <w:p>
      <w:pPr>
        <w:spacing w:after="0" w:line="130" w:lineRule="exact"/>
        <w:rPr>
          <w:rFonts w:ascii="Arial" w:cs="Arial" w:eastAsia="Arial" w:hAnsi="Arial"/>
          <w:sz w:val="18"/>
          <w:szCs w:val="18"/>
          <w:color w:val="51555C"/>
        </w:rPr>
      </w:pPr>
    </w:p>
    <w:p>
      <w:pPr>
        <w:jc w:val="both"/>
        <w:ind w:firstLine="1304"/>
        <w:spacing w:after="0" w:line="262" w:lineRule="auto"/>
        <w:tabs>
          <w:tab w:leader="none" w:pos="1729" w:val="left"/>
        </w:tabs>
        <w:numPr>
          <w:ilvl w:val="2"/>
          <w:numId w:val="137"/>
        </w:numPr>
        <w:rPr>
          <w:rFonts w:ascii="Arial" w:cs="Arial" w:eastAsia="Arial" w:hAnsi="Arial"/>
          <w:sz w:val="18"/>
          <w:szCs w:val="18"/>
          <w:b w:val="1"/>
          <w:bCs w:val="1"/>
          <w:color w:val="51555C"/>
        </w:rPr>
      </w:pPr>
      <w:r>
        <w:rPr>
          <w:rFonts w:ascii="Arial" w:cs="Arial" w:eastAsia="Arial" w:hAnsi="Arial"/>
          <w:sz w:val="18"/>
          <w:szCs w:val="18"/>
          <w:b w:val="1"/>
          <w:bCs w:val="1"/>
          <w:color w:val="51555C"/>
        </w:rPr>
        <w:t>Cash Incentive Awards</w:t>
      </w:r>
      <w:r>
        <w:rPr>
          <w:rFonts w:ascii="Arial" w:cs="Arial" w:eastAsia="Arial" w:hAnsi="Arial"/>
          <w:sz w:val="18"/>
          <w:szCs w:val="18"/>
          <w:color w:val="51555C"/>
        </w:rPr>
        <w:t>. The Company shall have the right to require, prior to the payment of any amount pursuant to</w:t>
      </w:r>
      <w:r>
        <w:rPr>
          <w:rFonts w:ascii="Arial" w:cs="Arial" w:eastAsia="Arial" w:hAnsi="Arial"/>
          <w:sz w:val="18"/>
          <w:szCs w:val="18"/>
          <w:b w:val="1"/>
          <w:bCs w:val="1"/>
          <w:color w:val="51555C"/>
        </w:rPr>
        <w:t xml:space="preserve"> </w:t>
      </w:r>
      <w:r>
        <w:rPr>
          <w:rFonts w:ascii="Arial" w:cs="Arial" w:eastAsia="Arial" w:hAnsi="Arial"/>
          <w:sz w:val="18"/>
          <w:szCs w:val="18"/>
          <w:color w:val="51555C"/>
        </w:rPr>
        <w:t>a Cash Incentive Award made hereunder, payment by the Participant of any federal, state, local or other taxes which may be required to be withheld or paid in connection with such award. For the avoidance of doubt, the Company and its Affiliates shall have the power and the right to deduct or withhold from the payment of any Cash Incentive Awards any such tax withholding amounts.</w:t>
      </w:r>
    </w:p>
    <w:p>
      <w:pPr>
        <w:spacing w:after="0" w:line="122" w:lineRule="exact"/>
        <w:rPr>
          <w:rFonts w:ascii="Arial" w:cs="Arial" w:eastAsia="Arial" w:hAnsi="Arial"/>
          <w:sz w:val="18"/>
          <w:szCs w:val="18"/>
          <w:b w:val="1"/>
          <w:bCs w:val="1"/>
          <w:color w:val="51555C"/>
        </w:rPr>
      </w:pPr>
    </w:p>
    <w:p>
      <w:pPr>
        <w:ind w:right="20" w:firstLine="656"/>
        <w:spacing w:after="0" w:line="287" w:lineRule="auto"/>
        <w:tabs>
          <w:tab w:leader="none" w:pos="1145" w:val="left"/>
        </w:tabs>
        <w:numPr>
          <w:ilvl w:val="1"/>
          <w:numId w:val="137"/>
        </w:numPr>
        <w:rPr>
          <w:rFonts w:ascii="Arial" w:cs="Arial" w:eastAsia="Arial" w:hAnsi="Arial"/>
          <w:sz w:val="18"/>
          <w:szCs w:val="18"/>
          <w:b w:val="1"/>
          <w:bCs w:val="1"/>
          <w:color w:val="51555C"/>
        </w:rPr>
      </w:pPr>
      <w:r>
        <w:rPr>
          <w:rFonts w:ascii="Arial" w:cs="Arial" w:eastAsia="Arial" w:hAnsi="Arial"/>
          <w:sz w:val="18"/>
          <w:szCs w:val="18"/>
          <w:b w:val="1"/>
          <w:bCs w:val="1"/>
          <w:color w:val="51555C"/>
        </w:rPr>
        <w:t>Electronic Delivery</w:t>
      </w:r>
      <w:r>
        <w:rPr>
          <w:rFonts w:ascii="Arial" w:cs="Arial" w:eastAsia="Arial" w:hAnsi="Arial"/>
          <w:sz w:val="18"/>
          <w:szCs w:val="18"/>
          <w:color w:val="51555C"/>
        </w:rPr>
        <w:t>. Any reference herein to a “written” agreement or document shall include any agreement or document</w:t>
      </w:r>
      <w:r>
        <w:rPr>
          <w:rFonts w:ascii="Arial" w:cs="Arial" w:eastAsia="Arial" w:hAnsi="Arial"/>
          <w:sz w:val="18"/>
          <w:szCs w:val="18"/>
          <w:b w:val="1"/>
          <w:bCs w:val="1"/>
          <w:color w:val="51555C"/>
        </w:rPr>
        <w:t xml:space="preserve"> </w:t>
      </w:r>
      <w:r>
        <w:rPr>
          <w:rFonts w:ascii="Arial" w:cs="Arial" w:eastAsia="Arial" w:hAnsi="Arial"/>
          <w:sz w:val="18"/>
          <w:szCs w:val="18"/>
          <w:color w:val="51555C"/>
        </w:rPr>
        <w:t>delivered electronically by the Company, an Affiliate or the Committee (or their delegates) or posted on the Company’s intranet.</w:t>
      </w:r>
    </w:p>
    <w:p>
      <w:pPr>
        <w:spacing w:after="0" w:line="98" w:lineRule="exact"/>
        <w:rPr>
          <w:rFonts w:ascii="Arial" w:cs="Arial" w:eastAsia="Arial" w:hAnsi="Arial"/>
          <w:sz w:val="18"/>
          <w:szCs w:val="18"/>
          <w:b w:val="1"/>
          <w:bCs w:val="1"/>
          <w:color w:val="51555C"/>
        </w:rPr>
      </w:pPr>
    </w:p>
    <w:p>
      <w:pPr>
        <w:jc w:val="both"/>
        <w:ind w:firstLine="656"/>
        <w:spacing w:after="0" w:line="256" w:lineRule="auto"/>
        <w:tabs>
          <w:tab w:leader="none" w:pos="1058" w:val="left"/>
        </w:tabs>
        <w:numPr>
          <w:ilvl w:val="1"/>
          <w:numId w:val="137"/>
        </w:numPr>
        <w:rPr>
          <w:rFonts w:ascii="Arial" w:cs="Arial" w:eastAsia="Arial" w:hAnsi="Arial"/>
          <w:sz w:val="18"/>
          <w:szCs w:val="18"/>
          <w:b w:val="1"/>
          <w:bCs w:val="1"/>
          <w:color w:val="51555C"/>
        </w:rPr>
      </w:pPr>
      <w:r>
        <w:rPr>
          <w:rFonts w:ascii="Arial" w:cs="Arial" w:eastAsia="Arial" w:hAnsi="Arial"/>
          <w:sz w:val="18"/>
          <w:szCs w:val="18"/>
          <w:b w:val="1"/>
          <w:bCs w:val="1"/>
          <w:color w:val="51555C"/>
        </w:rPr>
        <w:t>Deferrals</w:t>
      </w:r>
      <w:r>
        <w:rPr>
          <w:rFonts w:ascii="Arial" w:cs="Arial" w:eastAsia="Arial" w:hAnsi="Arial"/>
          <w:sz w:val="18"/>
          <w:szCs w:val="18"/>
          <w:color w:val="51555C"/>
        </w:rPr>
        <w:t>. To the extent permitted by applicable law, the Committee, in its sole discretion, may determine that the delivery of</w:t>
      </w:r>
      <w:r>
        <w:rPr>
          <w:rFonts w:ascii="Arial" w:cs="Arial" w:eastAsia="Arial" w:hAnsi="Arial"/>
          <w:sz w:val="18"/>
          <w:szCs w:val="18"/>
          <w:b w:val="1"/>
          <w:bCs w:val="1"/>
          <w:color w:val="51555C"/>
        </w:rPr>
        <w:t xml:space="preserve"> </w:t>
      </w:r>
      <w:r>
        <w:rPr>
          <w:rFonts w:ascii="Arial" w:cs="Arial" w:eastAsia="Arial" w:hAnsi="Arial"/>
          <w:sz w:val="18"/>
          <w:szCs w:val="18"/>
          <w:color w:val="51555C"/>
        </w:rPr>
        <w:t>Common Stock or the 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Committee may provide for distributions while a Participant is still an employee. The Committee is authorized to make deferrals of Stock Awards and determine when, and in what annual percentages, Participants may receive payments, including lump sum payments, following the Participant’s termination of employment or retirement, and implement such other terms and conditions consistent with the provisions of the Plan and in accordance with applicable law.</w:t>
      </w:r>
    </w:p>
    <w:p>
      <w:pPr>
        <w:spacing w:after="0" w:line="128" w:lineRule="exact"/>
        <w:rPr>
          <w:rFonts w:ascii="Arial" w:cs="Arial" w:eastAsia="Arial" w:hAnsi="Arial"/>
          <w:sz w:val="18"/>
          <w:szCs w:val="18"/>
          <w:b w:val="1"/>
          <w:bCs w:val="1"/>
          <w:color w:val="51555C"/>
        </w:rPr>
      </w:pPr>
    </w:p>
    <w:p>
      <w:pPr>
        <w:jc w:val="both"/>
        <w:ind w:firstLine="656"/>
        <w:spacing w:after="0" w:line="259" w:lineRule="auto"/>
        <w:tabs>
          <w:tab w:leader="none" w:pos="1112" w:val="left"/>
        </w:tabs>
        <w:numPr>
          <w:ilvl w:val="1"/>
          <w:numId w:val="137"/>
        </w:numPr>
        <w:rPr>
          <w:rFonts w:ascii="Arial" w:cs="Arial" w:eastAsia="Arial" w:hAnsi="Arial"/>
          <w:sz w:val="18"/>
          <w:szCs w:val="18"/>
          <w:b w:val="1"/>
          <w:bCs w:val="1"/>
          <w:color w:val="51555C"/>
        </w:rPr>
      </w:pPr>
      <w:r>
        <w:rPr>
          <w:rFonts w:ascii="Arial" w:cs="Arial" w:eastAsia="Arial" w:hAnsi="Arial"/>
          <w:sz w:val="18"/>
          <w:szCs w:val="18"/>
          <w:b w:val="1"/>
          <w:bCs w:val="1"/>
          <w:color w:val="51555C"/>
        </w:rPr>
        <w:t>Compliance with Section 409A</w:t>
      </w:r>
      <w:r>
        <w:rPr>
          <w:rFonts w:ascii="Arial" w:cs="Arial" w:eastAsia="Arial" w:hAnsi="Arial"/>
          <w:sz w:val="18"/>
          <w:szCs w:val="18"/>
          <w:color w:val="51555C"/>
        </w:rPr>
        <w:t>. To the extent that the Committee determines that any Award granted under the Plan is</w:t>
      </w:r>
      <w:r>
        <w:rPr>
          <w:rFonts w:ascii="Arial" w:cs="Arial" w:eastAsia="Arial" w:hAnsi="Arial"/>
          <w:sz w:val="18"/>
          <w:szCs w:val="18"/>
          <w:b w:val="1"/>
          <w:bCs w:val="1"/>
          <w:color w:val="51555C"/>
        </w:rPr>
        <w:t xml:space="preserve"> </w:t>
      </w:r>
      <w:r>
        <w:rPr>
          <w:rFonts w:ascii="Arial" w:cs="Arial" w:eastAsia="Arial" w:hAnsi="Arial"/>
          <w:sz w:val="18"/>
          <w:szCs w:val="18"/>
          <w:color w:val="51555C"/>
        </w:rPr>
        <w:t>subject to Section 409A of the Code, the Stock Award Agreement evidencing any such Stock Award and the terms of any such Cash Incentive Award shall incorporate the terms and conditions necessary to avoid the consequences described in Section 409A(a)(1) of the Code. To the extent applicable, the Plan, Stock Award Agreements and Awards shall be interpreted in accordance with Section 409A of the Code, including, without limitation, any such regulations or other guidance that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219710</wp:posOffset>
            </wp:positionV>
            <wp:extent cx="702945" cy="11112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18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60" w:type="dxa"/>
            <w:vAlign w:val="bottom"/>
          </w:tcPr>
          <w:p>
            <w:pPr>
              <w:jc w:val="right"/>
              <w:ind w:right="8"/>
              <w:spacing w:after="0"/>
              <w:rPr>
                <w:sz w:val="20"/>
                <w:szCs w:val="20"/>
                <w:color w:val="auto"/>
              </w:rPr>
            </w:pPr>
            <w:r>
              <w:rPr>
                <w:rFonts w:ascii="Arial" w:cs="Arial" w:eastAsia="Arial" w:hAnsi="Arial"/>
                <w:sz w:val="14"/>
                <w:szCs w:val="14"/>
                <w:color w:val="51555C"/>
              </w:rPr>
              <w:t>103</w:t>
            </w:r>
          </w:p>
        </w:tc>
      </w:tr>
      <w:tr>
        <w:trPr>
          <w:trHeight w:val="285"/>
        </w:trPr>
        <w:tc>
          <w:tcPr>
            <w:tcW w:w="10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05" w:name="page106"/>
    <w:bookmarkEnd w:id="105"/>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APPENDICES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7"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issued or amended after the Effective Date. Notwithstanding any provision of the Plan to the contrary, in the event that following the Effective Date the Board or the Committee determines that any Award may be subject to Section 409A of the Code, the Board may adopt such amendments to the Plan and the Committee may adopt such amendments to the applicable Stock Award Agreement and/or the Committee may adopt other policies and procedures (including amendments, policies and procedures with retroactive effect), or take any other actions, that it determines are necessary or appropriate to (i) exempt the Award from Section 409A of the Code and/or preserve the intended tax treatment of the benefits provided with respect to the Award, or (ii) comply with the requirements of Section 409A of the Code. Notwithstanding anything in the Plan to the contrary, the Committee may amend or vary the terms of Awards under the Plan in order to conform such terms to the requirements of Section 409A of the Code. Except as may be provided in the terms of an Award, to the extent that any such Award provides for a deferral of compensation subject to Section 409A of the Code and the Participant is a “specified employee” (within the meaning of Section 409A of the Code and determined by the Company in accordance with its procedures), benefits payable under the Award that are required to be postponed under Section 409A of the Code following the Participant’s “separation from service” (within the meaning of Section 409A of the Code) shall not be paid until after six (6) months following such separation from service (except as Section 409A of the Code may permit), but shall instead be accumulated and paid in a lump sum on the first business day following expiration of such six (6)-month period. To the extent an Award does not provide for a deferral of compensation subject to Section 409A of the Code, but may be deferred under a nonqualified deferred compensation plan established by the Company, the terms of such nonqualified deferred compensation plan shall govern such deferral, and to the extent necessary, are incorporated herein by reference. Notwithstanding any other provisions of the Plan or any Stock Award Agreement or the terms of any Award, the Company does not guarantee to any Participant (or any other person with an interest in an Award) that the Plan or any Award granted hereunder complies with or is exempt from Section 409A of the Code, and neither the Company nor any Affiliate shall have any liability to or indemnify or hold harmless any individual with respect to any tax consequences that arise from any such failure to comply with or meet an exemption under Section 409A of the Code.</w:t>
      </w:r>
    </w:p>
    <w:p>
      <w:pPr>
        <w:spacing w:after="0" w:line="135" w:lineRule="exact"/>
        <w:rPr>
          <w:sz w:val="20"/>
          <w:szCs w:val="20"/>
          <w:color w:val="auto"/>
        </w:rPr>
      </w:pPr>
    </w:p>
    <w:p>
      <w:pPr>
        <w:jc w:val="both"/>
        <w:ind w:firstLine="656"/>
        <w:spacing w:after="0" w:line="262" w:lineRule="auto"/>
        <w:tabs>
          <w:tab w:leader="none" w:pos="1108" w:val="left"/>
        </w:tabs>
        <w:numPr>
          <w:ilvl w:val="0"/>
          <w:numId w:val="138"/>
        </w:numPr>
        <w:rPr>
          <w:rFonts w:ascii="Arial" w:cs="Arial" w:eastAsia="Arial" w:hAnsi="Arial"/>
          <w:sz w:val="18"/>
          <w:szCs w:val="18"/>
          <w:b w:val="1"/>
          <w:bCs w:val="1"/>
          <w:color w:val="51555C"/>
        </w:rPr>
      </w:pPr>
      <w:r>
        <w:rPr>
          <w:rFonts w:ascii="Arial" w:cs="Arial" w:eastAsia="Arial" w:hAnsi="Arial"/>
          <w:sz w:val="18"/>
          <w:szCs w:val="18"/>
          <w:b w:val="1"/>
          <w:bCs w:val="1"/>
          <w:color w:val="51555C"/>
        </w:rPr>
        <w:t>Stock Ownership Requirements</w:t>
      </w:r>
      <w:r>
        <w:rPr>
          <w:rFonts w:ascii="Arial" w:cs="Arial" w:eastAsia="Arial" w:hAnsi="Arial"/>
          <w:sz w:val="18"/>
          <w:szCs w:val="18"/>
          <w:color w:val="51555C"/>
        </w:rPr>
        <w:t>. Notwithstanding anything in the Plan to the contrary, the Committee, in its sole discretion,</w:t>
      </w:r>
      <w:r>
        <w:rPr>
          <w:rFonts w:ascii="Arial" w:cs="Arial" w:eastAsia="Arial" w:hAnsi="Arial"/>
          <w:sz w:val="18"/>
          <w:szCs w:val="18"/>
          <w:b w:val="1"/>
          <w:bCs w:val="1"/>
          <w:color w:val="51555C"/>
        </w:rPr>
        <w:t xml:space="preserve"> </w:t>
      </w:r>
      <w:r>
        <w:rPr>
          <w:rFonts w:ascii="Arial" w:cs="Arial" w:eastAsia="Arial" w:hAnsi="Arial"/>
          <w:sz w:val="18"/>
          <w:szCs w:val="18"/>
          <w:color w:val="51555C"/>
        </w:rPr>
        <w:t>may establish guidelines applicable to the ownership of any shares of Common Stock acquired pursuant to any Stock Award under this Plan as it may deem desirable or advisable, including, but not limited to, time-based or other restrictions on transferability regardless of whether or not the Participant is otherwise vested in such Common Stock.</w:t>
      </w:r>
    </w:p>
    <w:p>
      <w:pPr>
        <w:spacing w:after="0" w:line="122" w:lineRule="exact"/>
        <w:rPr>
          <w:rFonts w:ascii="Arial" w:cs="Arial" w:eastAsia="Arial" w:hAnsi="Arial"/>
          <w:sz w:val="18"/>
          <w:szCs w:val="18"/>
          <w:b w:val="1"/>
          <w:bCs w:val="1"/>
          <w:color w:val="51555C"/>
        </w:rPr>
      </w:pPr>
    </w:p>
    <w:p>
      <w:pPr>
        <w:jc w:val="both"/>
        <w:ind w:firstLine="656"/>
        <w:spacing w:after="0" w:line="257" w:lineRule="auto"/>
        <w:tabs>
          <w:tab w:leader="none" w:pos="1126" w:val="left"/>
        </w:tabs>
        <w:numPr>
          <w:ilvl w:val="0"/>
          <w:numId w:val="138"/>
        </w:numPr>
        <w:rPr>
          <w:rFonts w:ascii="Arial" w:cs="Arial" w:eastAsia="Arial" w:hAnsi="Arial"/>
          <w:sz w:val="18"/>
          <w:szCs w:val="18"/>
          <w:b w:val="1"/>
          <w:bCs w:val="1"/>
          <w:color w:val="51555C"/>
        </w:rPr>
      </w:pPr>
      <w:r>
        <w:rPr>
          <w:rFonts w:ascii="Arial" w:cs="Arial" w:eastAsia="Arial" w:hAnsi="Arial"/>
          <w:sz w:val="18"/>
          <w:szCs w:val="18"/>
          <w:b w:val="1"/>
          <w:bCs w:val="1"/>
          <w:color w:val="51555C"/>
        </w:rPr>
        <w:t>Restrictions on Transferability</w:t>
      </w:r>
      <w:r>
        <w:rPr>
          <w:rFonts w:ascii="Arial" w:cs="Arial" w:eastAsia="Arial" w:hAnsi="Arial"/>
          <w:sz w:val="18"/>
          <w:szCs w:val="18"/>
          <w:color w:val="51555C"/>
        </w:rPr>
        <w:t>. Except as otherwise provided herein or in a Stock Award Agreement, no Award, right to</w:t>
      </w:r>
      <w:r>
        <w:rPr>
          <w:rFonts w:ascii="Arial" w:cs="Arial" w:eastAsia="Arial" w:hAnsi="Arial"/>
          <w:sz w:val="18"/>
          <w:szCs w:val="18"/>
          <w:b w:val="1"/>
          <w:bCs w:val="1"/>
          <w:color w:val="51555C"/>
        </w:rPr>
        <w:t xml:space="preserve"> </w:t>
      </w:r>
      <w:r>
        <w:rPr>
          <w:rFonts w:ascii="Arial" w:cs="Arial" w:eastAsia="Arial" w:hAnsi="Arial"/>
          <w:sz w:val="18"/>
          <w:szCs w:val="18"/>
          <w:color w:val="51555C"/>
        </w:rPr>
        <w:t>payment under any Award or any shares of Common Stock subject to an Award that have not been issued, or as to which any applicable restrictions have not lapsed, may be sold, transferred, pledged, assigned, alienated, hypothecated or disposed of in any manner. Any attempt to transfer an Award, a right to payment or any shares of Common Stock in violation of the Plan or a Stock Award Agreement shall relieve the Company and its Affiliates from any obligations to the Participant thereunder and such Award and all rights thereunder shall immediately become null and void.</w:t>
      </w:r>
    </w:p>
    <w:p>
      <w:pPr>
        <w:spacing w:after="0" w:line="128" w:lineRule="exact"/>
        <w:rPr>
          <w:rFonts w:ascii="Arial" w:cs="Arial" w:eastAsia="Arial" w:hAnsi="Arial"/>
          <w:sz w:val="18"/>
          <w:szCs w:val="18"/>
          <w:b w:val="1"/>
          <w:bCs w:val="1"/>
          <w:color w:val="51555C"/>
        </w:rPr>
      </w:pPr>
    </w:p>
    <w:p>
      <w:pPr>
        <w:jc w:val="both"/>
        <w:ind w:firstLine="656"/>
        <w:spacing w:after="0" w:line="256" w:lineRule="auto"/>
        <w:tabs>
          <w:tab w:leader="none" w:pos="1141" w:val="left"/>
        </w:tabs>
        <w:numPr>
          <w:ilvl w:val="0"/>
          <w:numId w:val="138"/>
        </w:numPr>
        <w:rPr>
          <w:rFonts w:ascii="Arial" w:cs="Arial" w:eastAsia="Arial" w:hAnsi="Arial"/>
          <w:sz w:val="18"/>
          <w:szCs w:val="18"/>
          <w:b w:val="1"/>
          <w:bCs w:val="1"/>
          <w:color w:val="51555C"/>
        </w:rPr>
      </w:pPr>
      <w:r>
        <w:rPr>
          <w:rFonts w:ascii="Arial" w:cs="Arial" w:eastAsia="Arial" w:hAnsi="Arial"/>
          <w:sz w:val="18"/>
          <w:szCs w:val="18"/>
          <w:b w:val="1"/>
          <w:bCs w:val="1"/>
          <w:color w:val="51555C"/>
        </w:rPr>
        <w:t>No Trust or Fund Created</w:t>
      </w:r>
      <w:r>
        <w:rPr>
          <w:rFonts w:ascii="Arial" w:cs="Arial" w:eastAsia="Arial" w:hAnsi="Arial"/>
          <w:sz w:val="18"/>
          <w:szCs w:val="18"/>
          <w:color w:val="51555C"/>
        </w:rPr>
        <w:t>. To the extent that any person acquires a right to receive Common Stock, cash payments or other</w:t>
      </w:r>
      <w:r>
        <w:rPr>
          <w:rFonts w:ascii="Arial" w:cs="Arial" w:eastAsia="Arial" w:hAnsi="Arial"/>
          <w:sz w:val="18"/>
          <w:szCs w:val="18"/>
          <w:b w:val="1"/>
          <w:bCs w:val="1"/>
          <w:color w:val="51555C"/>
        </w:rPr>
        <w:t xml:space="preserve"> </w:t>
      </w:r>
      <w:r>
        <w:rPr>
          <w:rFonts w:ascii="Arial" w:cs="Arial" w:eastAsia="Arial" w:hAnsi="Arial"/>
          <w:sz w:val="18"/>
          <w:szCs w:val="18"/>
          <w:color w:val="51555C"/>
        </w:rPr>
        <w:t>property under the Plan, such right shall be only contractual in nature and unsecured by any assets of the Company or any Affiliate. Neither the Company nor any Affiliate shall be required to segregate any specific funds, assets or other property from its general assets with respect to any Awards under this Plan. Nothing contained in this Plan, and no action taken pursuant to its provisions, shall create or be construed to create a trust of any kind, or a fiduciary relationship, between the Company or any Affiliate, on the one hand, and any Participant or other person, on the other hand. Participants shall have no rights under the Plan other than as unsecured general creditors of the Company or the applicable Affiliate.</w:t>
      </w:r>
    </w:p>
    <w:p>
      <w:pPr>
        <w:spacing w:after="0" w:line="128" w:lineRule="exact"/>
        <w:rPr>
          <w:rFonts w:ascii="Arial" w:cs="Arial" w:eastAsia="Arial" w:hAnsi="Arial"/>
          <w:sz w:val="18"/>
          <w:szCs w:val="18"/>
          <w:b w:val="1"/>
          <w:bCs w:val="1"/>
          <w:color w:val="51555C"/>
        </w:rPr>
      </w:pPr>
    </w:p>
    <w:p>
      <w:pPr>
        <w:jc w:val="both"/>
        <w:ind w:firstLine="656"/>
        <w:spacing w:after="0" w:line="262" w:lineRule="auto"/>
        <w:tabs>
          <w:tab w:leader="none" w:pos="1104" w:val="left"/>
        </w:tabs>
        <w:numPr>
          <w:ilvl w:val="0"/>
          <w:numId w:val="138"/>
        </w:numPr>
        <w:rPr>
          <w:rFonts w:ascii="Arial" w:cs="Arial" w:eastAsia="Arial" w:hAnsi="Arial"/>
          <w:sz w:val="18"/>
          <w:szCs w:val="18"/>
          <w:b w:val="1"/>
          <w:bCs w:val="1"/>
          <w:color w:val="51555C"/>
        </w:rPr>
      </w:pPr>
      <w:r>
        <w:rPr>
          <w:rFonts w:ascii="Arial" w:cs="Arial" w:eastAsia="Arial" w:hAnsi="Arial"/>
          <w:sz w:val="18"/>
          <w:szCs w:val="18"/>
          <w:b w:val="1"/>
          <w:bCs w:val="1"/>
          <w:color w:val="51555C"/>
        </w:rPr>
        <w:t>Requirements of Law</w:t>
      </w:r>
      <w:r>
        <w:rPr>
          <w:rFonts w:ascii="Arial" w:cs="Arial" w:eastAsia="Arial" w:hAnsi="Arial"/>
          <w:sz w:val="18"/>
          <w:szCs w:val="18"/>
          <w:color w:val="51555C"/>
        </w:rPr>
        <w:t>. The granting of Awards and the issuance of shares of Common Stock under the Plan shall be subject</w:t>
      </w:r>
      <w:r>
        <w:rPr>
          <w:rFonts w:ascii="Arial" w:cs="Arial" w:eastAsia="Arial" w:hAnsi="Arial"/>
          <w:sz w:val="18"/>
          <w:szCs w:val="18"/>
          <w:b w:val="1"/>
          <w:bCs w:val="1"/>
          <w:color w:val="51555C"/>
        </w:rPr>
        <w:t xml:space="preserve"> </w:t>
      </w:r>
      <w:r>
        <w:rPr>
          <w:rFonts w:ascii="Arial" w:cs="Arial" w:eastAsia="Arial" w:hAnsi="Arial"/>
          <w:sz w:val="18"/>
          <w:szCs w:val="18"/>
          <w:color w:val="51555C"/>
        </w:rPr>
        <w:t>to all applicable laws, rules and regulations, and to such approvals by any governmental agencies or national securities exchanges as may be required. With respect to Exchange Act Participants, this Plan and Awards granted hereunder are intended to comply with the provisions of and satisfy the requirements for exemption under Rule 16b-3 of the Exchange Act.</w:t>
      </w:r>
    </w:p>
    <w:p>
      <w:pPr>
        <w:spacing w:after="0" w:line="122" w:lineRule="exact"/>
        <w:rPr>
          <w:rFonts w:ascii="Arial" w:cs="Arial" w:eastAsia="Arial" w:hAnsi="Arial"/>
          <w:sz w:val="18"/>
          <w:szCs w:val="18"/>
          <w:b w:val="1"/>
          <w:bCs w:val="1"/>
          <w:color w:val="51555C"/>
        </w:rPr>
      </w:pPr>
    </w:p>
    <w:p>
      <w:pPr>
        <w:jc w:val="both"/>
        <w:ind w:firstLine="656"/>
        <w:spacing w:after="0" w:line="259" w:lineRule="auto"/>
        <w:tabs>
          <w:tab w:leader="none" w:pos="1077" w:val="left"/>
        </w:tabs>
        <w:numPr>
          <w:ilvl w:val="0"/>
          <w:numId w:val="138"/>
        </w:numPr>
        <w:rPr>
          <w:rFonts w:ascii="Arial" w:cs="Arial" w:eastAsia="Arial" w:hAnsi="Arial"/>
          <w:sz w:val="18"/>
          <w:szCs w:val="18"/>
          <w:b w:val="1"/>
          <w:bCs w:val="1"/>
          <w:color w:val="51555C"/>
        </w:rPr>
      </w:pPr>
      <w:r>
        <w:rPr>
          <w:rFonts w:ascii="Arial" w:cs="Arial" w:eastAsia="Arial" w:hAnsi="Arial"/>
          <w:sz w:val="18"/>
          <w:szCs w:val="18"/>
          <w:b w:val="1"/>
          <w:bCs w:val="1"/>
          <w:color w:val="51555C"/>
        </w:rPr>
        <w:t>Other Corporate Actions</w:t>
      </w:r>
      <w:r>
        <w:rPr>
          <w:rFonts w:ascii="Arial" w:cs="Arial" w:eastAsia="Arial" w:hAnsi="Arial"/>
          <w:sz w:val="18"/>
          <w:szCs w:val="18"/>
          <w:color w:val="51555C"/>
        </w:rPr>
        <w:t>. Nothing contained in the Plan shall be construed to limit the authority of the Company to exercise its</w:t>
      </w:r>
      <w:r>
        <w:rPr>
          <w:rFonts w:ascii="Arial" w:cs="Arial" w:eastAsia="Arial" w:hAnsi="Arial"/>
          <w:sz w:val="18"/>
          <w:szCs w:val="18"/>
          <w:b w:val="1"/>
          <w:bCs w:val="1"/>
          <w:color w:val="51555C"/>
        </w:rPr>
        <w:t xml:space="preserve"> </w:t>
      </w:r>
      <w:r>
        <w:rPr>
          <w:rFonts w:ascii="Arial" w:cs="Arial" w:eastAsia="Arial" w:hAnsi="Arial"/>
          <w:sz w:val="18"/>
          <w:szCs w:val="18"/>
          <w:color w:val="51555C"/>
        </w:rPr>
        <w:t>corporate rights and powers, including, but not by way of limitation, the right of the Company to adopt other compensation arrangements or the right of the Company to authorize any adjustment, reclassification, reorganization, or other change in its capital or business structure, any merger or consolidation of the Company, the dissolution or liquidation of the Company, or any sale or transfer of all or any part of its business or assets.</w:t>
      </w:r>
    </w:p>
    <w:p>
      <w:pPr>
        <w:spacing w:after="0" w:line="125" w:lineRule="exact"/>
        <w:rPr>
          <w:rFonts w:ascii="Arial" w:cs="Arial" w:eastAsia="Arial" w:hAnsi="Arial"/>
          <w:sz w:val="18"/>
          <w:szCs w:val="18"/>
          <w:b w:val="1"/>
          <w:bCs w:val="1"/>
          <w:color w:val="51555C"/>
        </w:rPr>
      </w:pPr>
    </w:p>
    <w:p>
      <w:pPr>
        <w:jc w:val="both"/>
        <w:ind w:firstLine="656"/>
        <w:spacing w:after="0" w:line="268" w:lineRule="auto"/>
        <w:tabs>
          <w:tab w:leader="none" w:pos="1185" w:val="left"/>
        </w:tabs>
        <w:numPr>
          <w:ilvl w:val="0"/>
          <w:numId w:val="138"/>
        </w:numPr>
        <w:rPr>
          <w:rFonts w:ascii="Arial" w:cs="Arial" w:eastAsia="Arial" w:hAnsi="Arial"/>
          <w:sz w:val="18"/>
          <w:szCs w:val="18"/>
          <w:b w:val="1"/>
          <w:bCs w:val="1"/>
          <w:color w:val="51555C"/>
        </w:rPr>
      </w:pPr>
      <w:r>
        <w:rPr>
          <w:rFonts w:ascii="Arial" w:cs="Arial" w:eastAsia="Arial" w:hAnsi="Arial"/>
          <w:sz w:val="18"/>
          <w:szCs w:val="18"/>
          <w:b w:val="1"/>
          <w:bCs w:val="1"/>
          <w:color w:val="51555C"/>
        </w:rPr>
        <w:t>Severability</w:t>
      </w:r>
      <w:r>
        <w:rPr>
          <w:rFonts w:ascii="Arial" w:cs="Arial" w:eastAsia="Arial" w:hAnsi="Arial"/>
          <w:sz w:val="18"/>
          <w:szCs w:val="18"/>
          <w:color w:val="51555C"/>
        </w:rPr>
        <w:t>. The invalidity or unenforceability of any particular provision of this Plan shall not affect the other provisions</w:t>
      </w:r>
      <w:r>
        <w:rPr>
          <w:rFonts w:ascii="Arial" w:cs="Arial" w:eastAsia="Arial" w:hAnsi="Arial"/>
          <w:sz w:val="18"/>
          <w:szCs w:val="18"/>
          <w:b w:val="1"/>
          <w:bCs w:val="1"/>
          <w:color w:val="51555C"/>
        </w:rPr>
        <w:t xml:space="preserve"> </w:t>
      </w:r>
      <w:r>
        <w:rPr>
          <w:rFonts w:ascii="Arial" w:cs="Arial" w:eastAsia="Arial" w:hAnsi="Arial"/>
          <w:sz w:val="18"/>
          <w:szCs w:val="18"/>
          <w:color w:val="51555C"/>
        </w:rPr>
        <w:t>hereof, and the Committee may elect in its sole discretion to construe such invalid or unenforceable provision in a manner that conforms to applicable law or as if such provision was omitted.</w:t>
      </w:r>
    </w:p>
    <w:p>
      <w:pPr>
        <w:spacing w:after="0" w:line="116" w:lineRule="exact"/>
        <w:rPr>
          <w:rFonts w:ascii="Arial" w:cs="Arial" w:eastAsia="Arial" w:hAnsi="Arial"/>
          <w:sz w:val="18"/>
          <w:szCs w:val="18"/>
          <w:b w:val="1"/>
          <w:bCs w:val="1"/>
          <w:color w:val="51555C"/>
        </w:rPr>
      </w:pPr>
    </w:p>
    <w:p>
      <w:pPr>
        <w:ind w:firstLine="656"/>
        <w:spacing w:after="0" w:line="287" w:lineRule="auto"/>
        <w:tabs>
          <w:tab w:leader="none" w:pos="1199" w:val="left"/>
        </w:tabs>
        <w:numPr>
          <w:ilvl w:val="0"/>
          <w:numId w:val="138"/>
        </w:numPr>
        <w:rPr>
          <w:rFonts w:ascii="Arial" w:cs="Arial" w:eastAsia="Arial" w:hAnsi="Arial"/>
          <w:sz w:val="18"/>
          <w:szCs w:val="18"/>
          <w:b w:val="1"/>
          <w:bCs w:val="1"/>
          <w:color w:val="51555C"/>
        </w:rPr>
      </w:pPr>
      <w:r>
        <w:rPr>
          <w:rFonts w:ascii="Arial" w:cs="Arial" w:eastAsia="Arial" w:hAnsi="Arial"/>
          <w:sz w:val="18"/>
          <w:szCs w:val="18"/>
          <w:b w:val="1"/>
          <w:bCs w:val="1"/>
          <w:color w:val="51555C"/>
        </w:rPr>
        <w:t>Titles and Headings; Gender and Number</w:t>
      </w:r>
      <w:r>
        <w:rPr>
          <w:rFonts w:ascii="Arial" w:cs="Arial" w:eastAsia="Arial" w:hAnsi="Arial"/>
          <w:sz w:val="18"/>
          <w:szCs w:val="18"/>
          <w:color w:val="51555C"/>
        </w:rPr>
        <w:t>. The titles and headings of the sections in the Plan are for convenience of</w:t>
      </w:r>
      <w:r>
        <w:rPr>
          <w:rFonts w:ascii="Arial" w:cs="Arial" w:eastAsia="Arial" w:hAnsi="Arial"/>
          <w:sz w:val="18"/>
          <w:szCs w:val="18"/>
          <w:b w:val="1"/>
          <w:bCs w:val="1"/>
          <w:color w:val="51555C"/>
        </w:rPr>
        <w:t xml:space="preserve"> </w:t>
      </w:r>
      <w:r>
        <w:rPr>
          <w:rFonts w:ascii="Arial" w:cs="Arial" w:eastAsia="Arial" w:hAnsi="Arial"/>
          <w:sz w:val="18"/>
          <w:szCs w:val="18"/>
          <w:color w:val="51555C"/>
        </w:rPr>
        <w:t>reference only, and in the event of any conflict, the text of the Plan, rather than such titles or headings, shall</w:t>
      </w:r>
    </w:p>
    <w:p>
      <w:pPr>
        <w:spacing w:after="0" w:line="310" w:lineRule="exact"/>
        <w:rPr>
          <w:sz w:val="20"/>
          <w:szCs w:val="20"/>
          <w:color w:val="auto"/>
        </w:rPr>
      </w:pPr>
    </w:p>
    <w:p>
      <w:pPr>
        <w:ind w:left="100"/>
        <w:spacing w:after="0"/>
        <w:tabs>
          <w:tab w:leader="none" w:pos="514" w:val="left"/>
        </w:tabs>
        <w:rPr>
          <w:sz w:val="20"/>
          <w:szCs w:val="20"/>
          <w:color w:val="auto"/>
        </w:rPr>
      </w:pPr>
      <w:r>
        <w:rPr>
          <w:rFonts w:ascii="Arial" w:cs="Arial" w:eastAsia="Arial" w:hAnsi="Arial"/>
          <w:sz w:val="14"/>
          <w:szCs w:val="14"/>
          <w:color w:val="51555C"/>
        </w:rPr>
        <w:t>104</w:t>
      </w:r>
      <w:r>
        <w:rPr>
          <w:sz w:val="20"/>
          <w:szCs w:val="20"/>
          <w:color w:val="auto"/>
        </w:rPr>
        <w:tab/>
      </w:r>
      <w:r>
        <w:rPr>
          <w:sz w:val="1"/>
          <w:szCs w:val="1"/>
          <w:color w:val="auto"/>
        </w:rPr>
        <w:drawing>
          <wp:inline distT="0" distB="0" distL="0" distR="0">
            <wp:extent cx="702945" cy="111125"/>
            <wp:effectExtent l="0" t="0" r="0" b="0"/>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6" w:name="page107"/>
    <w:bookmarkEnd w:id="106"/>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9440"/>
        <w:spacing w:after="0"/>
        <w:rPr>
          <w:sz w:val="20"/>
          <w:szCs w:val="20"/>
          <w:color w:val="auto"/>
        </w:rPr>
      </w:pPr>
      <w:r>
        <w:rPr>
          <w:rFonts w:ascii="Arial" w:cs="Arial" w:eastAsia="Arial" w:hAnsi="Arial"/>
          <w:sz w:val="18"/>
          <w:szCs w:val="18"/>
          <w:b w:val="1"/>
          <w:bCs w:val="1"/>
          <w:color w:val="51555C"/>
        </w:rPr>
        <w:t>APPENDICES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control. Except where otherwise indicated by the context, any masculine term used herein shall also include the feminine, and the plural shall include the singular and the singular shall include the plural.</w:t>
      </w:r>
    </w:p>
    <w:p>
      <w:pPr>
        <w:spacing w:after="0" w:line="99" w:lineRule="exact"/>
        <w:rPr>
          <w:sz w:val="20"/>
          <w:szCs w:val="20"/>
          <w:color w:val="auto"/>
        </w:rPr>
      </w:pPr>
    </w:p>
    <w:p>
      <w:pPr>
        <w:ind w:left="440" w:hanging="432"/>
        <w:spacing w:after="0"/>
        <w:tabs>
          <w:tab w:leader="none" w:pos="440" w:val="left"/>
        </w:tabs>
        <w:numPr>
          <w:ilvl w:val="0"/>
          <w:numId w:val="139"/>
        </w:numPr>
        <w:rPr>
          <w:rFonts w:ascii="Arial" w:cs="Arial" w:eastAsia="Arial" w:hAnsi="Arial"/>
          <w:sz w:val="18"/>
          <w:szCs w:val="18"/>
          <w:b w:val="1"/>
          <w:bCs w:val="1"/>
          <w:color w:val="51555C"/>
        </w:rPr>
      </w:pPr>
      <w:r>
        <w:rPr>
          <w:rFonts w:ascii="Arial" w:cs="Arial" w:eastAsia="Arial" w:hAnsi="Arial"/>
          <w:sz w:val="18"/>
          <w:szCs w:val="18"/>
          <w:b w:val="1"/>
          <w:bCs w:val="1"/>
          <w:color w:val="51555C"/>
        </w:rPr>
        <w:t>ADJUSTMENTS UPON CHANGES IN COMMON STOCK; OTHER CORPORATE EVENTS</w:t>
      </w:r>
    </w:p>
    <w:p>
      <w:pPr>
        <w:spacing w:after="0" w:line="171" w:lineRule="exact"/>
        <w:rPr>
          <w:rFonts w:ascii="Arial" w:cs="Arial" w:eastAsia="Arial" w:hAnsi="Arial"/>
          <w:sz w:val="18"/>
          <w:szCs w:val="18"/>
          <w:b w:val="1"/>
          <w:bCs w:val="1"/>
          <w:color w:val="51555C"/>
        </w:rPr>
      </w:pPr>
    </w:p>
    <w:p>
      <w:pPr>
        <w:jc w:val="both"/>
        <w:ind w:firstLine="656"/>
        <w:spacing w:after="0" w:line="254" w:lineRule="auto"/>
        <w:tabs>
          <w:tab w:leader="none" w:pos="1149" w:val="left"/>
        </w:tabs>
        <w:numPr>
          <w:ilvl w:val="1"/>
          <w:numId w:val="139"/>
        </w:numPr>
        <w:rPr>
          <w:rFonts w:ascii="Arial" w:cs="Arial" w:eastAsia="Arial" w:hAnsi="Arial"/>
          <w:sz w:val="18"/>
          <w:szCs w:val="18"/>
          <w:b w:val="1"/>
          <w:bCs w:val="1"/>
          <w:color w:val="51555C"/>
        </w:rPr>
      </w:pPr>
      <w:r>
        <w:rPr>
          <w:rFonts w:ascii="Arial" w:cs="Arial" w:eastAsia="Arial" w:hAnsi="Arial"/>
          <w:sz w:val="18"/>
          <w:szCs w:val="18"/>
          <w:b w:val="1"/>
          <w:bCs w:val="1"/>
          <w:color w:val="51555C"/>
        </w:rPr>
        <w:t>Capitalization Adjustments</w:t>
      </w:r>
      <w:r>
        <w:rPr>
          <w:rFonts w:ascii="Arial" w:cs="Arial" w:eastAsia="Arial" w:hAnsi="Arial"/>
          <w:sz w:val="18"/>
          <w:szCs w:val="18"/>
          <w:color w:val="51555C"/>
        </w:rPr>
        <w:t>. In the event of a Capitalization Adjustment, the Committee shall appropriately, equitably and</w:t>
      </w:r>
      <w:r>
        <w:rPr>
          <w:rFonts w:ascii="Arial" w:cs="Arial" w:eastAsia="Arial" w:hAnsi="Arial"/>
          <w:sz w:val="18"/>
          <w:szCs w:val="18"/>
          <w:b w:val="1"/>
          <w:bCs w:val="1"/>
          <w:color w:val="51555C"/>
        </w:rPr>
        <w:t xml:space="preserve"> </w:t>
      </w:r>
      <w:r>
        <w:rPr>
          <w:rFonts w:ascii="Arial" w:cs="Arial" w:eastAsia="Arial" w:hAnsi="Arial"/>
          <w:sz w:val="18"/>
          <w:szCs w:val="18"/>
          <w:color w:val="51555C"/>
        </w:rPr>
        <w:t>proportionately adjust: (i) the class(es) and maximum number of securities subject to the Plan pursuant to Section 3(a); (ii) the class(es) and maximum number of securities that may be issued pursuant to the exercise of Incentive Stock Options pursuant to Section 3(d); (iii) the class(es) and maximum number of securities that may be awarded to any person pursuant to Section 3(e) (to the extent such adjustment would not cause a Performance-Based Compensation Award to fail to comply with the Section 162(m) Exception); and (iv) the class(es) and number of securities and price per share of stock subject to outstanding Stock Awards. Capitalization Adjustments shall, to the extent practicable and applicable, be made in a manner consistent with the requirements of Section 409A of the Code and, in the case of ISOs, Sections 422 and 424(a) of the Code. Notwithstanding the foregoing, the Committee may, in its sole discretion, make such adjustments as it determines are necessary or advisable to eliminate fractional shares that may result from any adjustments made pursuant hereto. The Committee’s determinations regarding adjustments pursuant to this Section 11(a) shall be final, binding and conclusive.</w:t>
      </w:r>
    </w:p>
    <w:p>
      <w:pPr>
        <w:spacing w:after="0" w:line="131" w:lineRule="exact"/>
        <w:rPr>
          <w:rFonts w:ascii="Arial" w:cs="Arial" w:eastAsia="Arial" w:hAnsi="Arial"/>
          <w:sz w:val="18"/>
          <w:szCs w:val="18"/>
          <w:b w:val="1"/>
          <w:bCs w:val="1"/>
          <w:color w:val="51555C"/>
        </w:rPr>
      </w:pPr>
    </w:p>
    <w:p>
      <w:pPr>
        <w:jc w:val="both"/>
        <w:ind w:firstLine="656"/>
        <w:spacing w:after="0" w:line="255" w:lineRule="auto"/>
        <w:tabs>
          <w:tab w:leader="none" w:pos="1172" w:val="left"/>
        </w:tabs>
        <w:numPr>
          <w:ilvl w:val="1"/>
          <w:numId w:val="139"/>
        </w:numPr>
        <w:rPr>
          <w:rFonts w:ascii="Arial" w:cs="Arial" w:eastAsia="Arial" w:hAnsi="Arial"/>
          <w:sz w:val="18"/>
          <w:szCs w:val="18"/>
          <w:b w:val="1"/>
          <w:bCs w:val="1"/>
          <w:color w:val="51555C"/>
        </w:rPr>
      </w:pPr>
      <w:r>
        <w:rPr>
          <w:rFonts w:ascii="Arial" w:cs="Arial" w:eastAsia="Arial" w:hAnsi="Arial"/>
          <w:sz w:val="18"/>
          <w:szCs w:val="18"/>
          <w:b w:val="1"/>
          <w:bCs w:val="1"/>
          <w:color w:val="51555C"/>
        </w:rPr>
        <w:t>Dissolution or Liquidation</w:t>
      </w:r>
      <w:r>
        <w:rPr>
          <w:rFonts w:ascii="Arial" w:cs="Arial" w:eastAsia="Arial" w:hAnsi="Arial"/>
          <w:sz w:val="18"/>
          <w:szCs w:val="18"/>
          <w:color w:val="51555C"/>
        </w:rPr>
        <w:t>. Except as otherwise provided in a Stock Award Agreement, in the event of a dissolution or</w:t>
      </w:r>
      <w:r>
        <w:rPr>
          <w:rFonts w:ascii="Arial" w:cs="Arial" w:eastAsia="Arial" w:hAnsi="Arial"/>
          <w:sz w:val="18"/>
          <w:szCs w:val="18"/>
          <w:b w:val="1"/>
          <w:bCs w:val="1"/>
          <w:color w:val="51555C"/>
        </w:rPr>
        <w:t xml:space="preserve"> </w:t>
      </w:r>
      <w:r>
        <w:rPr>
          <w:rFonts w:ascii="Arial" w:cs="Arial" w:eastAsia="Arial" w:hAnsi="Arial"/>
          <w:sz w:val="18"/>
          <w:szCs w:val="18"/>
          <w:color w:val="51555C"/>
        </w:rPr>
        <w:t xml:space="preserve">liquidation of the Company, all outstanding Stock Awards (other than Stock Awards consisting of vested and outstanding shares of Common Stock not subject to a forfeiture condition or the Company’s right of repurchase) shall terminate immediately prior to the completion of such dissolution or liquidation, and the shares of Common Stock subject to the Company’s repurchase rights may be repurchased by the Company notwithstanding the fact that the holder of such Stock Award is providing Continuous Service; </w:t>
      </w:r>
      <w:r>
        <w:rPr>
          <w:rFonts w:ascii="Arial" w:cs="Arial" w:eastAsia="Arial" w:hAnsi="Arial"/>
          <w:sz w:val="18"/>
          <w:szCs w:val="18"/>
          <w:i w:val="1"/>
          <w:iCs w:val="1"/>
          <w:color w:val="51555C"/>
        </w:rPr>
        <w:t>provided, however,</w:t>
      </w:r>
      <w:r>
        <w:rPr>
          <w:rFonts w:ascii="Arial" w:cs="Arial" w:eastAsia="Arial" w:hAnsi="Arial"/>
          <w:sz w:val="18"/>
          <w:szCs w:val="18"/>
          <w:color w:val="51555C"/>
        </w:rPr>
        <w:t xml:space="preserve"> that the Committee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30" w:lineRule="exact"/>
        <w:rPr>
          <w:rFonts w:ascii="Arial" w:cs="Arial" w:eastAsia="Arial" w:hAnsi="Arial"/>
          <w:sz w:val="18"/>
          <w:szCs w:val="18"/>
          <w:b w:val="1"/>
          <w:bCs w:val="1"/>
          <w:color w:val="51555C"/>
        </w:rPr>
      </w:pPr>
    </w:p>
    <w:p>
      <w:pPr>
        <w:jc w:val="both"/>
        <w:ind w:firstLine="656"/>
        <w:spacing w:after="0" w:line="257" w:lineRule="auto"/>
        <w:tabs>
          <w:tab w:leader="none" w:pos="1216" w:val="left"/>
        </w:tabs>
        <w:numPr>
          <w:ilvl w:val="1"/>
          <w:numId w:val="139"/>
        </w:numPr>
        <w:rPr>
          <w:rFonts w:ascii="Arial" w:cs="Arial" w:eastAsia="Arial" w:hAnsi="Arial"/>
          <w:sz w:val="18"/>
          <w:szCs w:val="18"/>
          <w:b w:val="1"/>
          <w:bCs w:val="1"/>
          <w:color w:val="51555C"/>
        </w:rPr>
      </w:pPr>
      <w:r>
        <w:rPr>
          <w:rFonts w:ascii="Arial" w:cs="Arial" w:eastAsia="Arial" w:hAnsi="Arial"/>
          <w:sz w:val="18"/>
          <w:szCs w:val="18"/>
          <w:b w:val="1"/>
          <w:bCs w:val="1"/>
          <w:color w:val="51555C"/>
        </w:rPr>
        <w:t>Change in Control</w:t>
      </w:r>
      <w:r>
        <w:rPr>
          <w:rFonts w:ascii="Arial" w:cs="Arial" w:eastAsia="Arial" w:hAnsi="Arial"/>
          <w:sz w:val="18"/>
          <w:szCs w:val="18"/>
          <w:color w:val="51555C"/>
        </w:rPr>
        <w:t>. In the event of a Change in Control, each outstanding Award shall be treated as the Committee</w:t>
      </w:r>
      <w:r>
        <w:rPr>
          <w:rFonts w:ascii="Arial" w:cs="Arial" w:eastAsia="Arial" w:hAnsi="Arial"/>
          <w:sz w:val="18"/>
          <w:szCs w:val="18"/>
          <w:b w:val="1"/>
          <w:bCs w:val="1"/>
          <w:color w:val="51555C"/>
        </w:rPr>
        <w:t xml:space="preserve"> </w:t>
      </w:r>
      <w:r>
        <w:rPr>
          <w:rFonts w:ascii="Arial" w:cs="Arial" w:eastAsia="Arial" w:hAnsi="Arial"/>
          <w:sz w:val="18"/>
          <w:szCs w:val="18"/>
          <w:color w:val="51555C"/>
        </w:rPr>
        <w:t>determines (subject to Section 11(c)(ii) below), including, without limitation, that each Award be assumed as provided in Section 11(c)(i) below. The Committee will not be required to treat all Awards similarly and may treat Stock Awards differently in its sole discretion. In the absence of the Committee’s determination otherwise, the following provisions shall apply to Stock Awards and Cash Incentive Awards in the event of a Change in Control unless otherwise provided in the instrument evidencing the Stock Award or any other written agreement between the Company or any Affiliate and the holder of the Stock Award.</w:t>
      </w:r>
    </w:p>
    <w:p>
      <w:pPr>
        <w:spacing w:after="0" w:line="128" w:lineRule="exact"/>
        <w:rPr>
          <w:rFonts w:ascii="Arial" w:cs="Arial" w:eastAsia="Arial" w:hAnsi="Arial"/>
          <w:sz w:val="18"/>
          <w:szCs w:val="18"/>
          <w:b w:val="1"/>
          <w:bCs w:val="1"/>
          <w:color w:val="51555C"/>
        </w:rPr>
      </w:pPr>
    </w:p>
    <w:p>
      <w:pPr>
        <w:jc w:val="both"/>
        <w:ind w:firstLine="1304"/>
        <w:spacing w:after="0" w:line="255" w:lineRule="auto"/>
        <w:tabs>
          <w:tab w:leader="none" w:pos="1666" w:val="left"/>
        </w:tabs>
        <w:numPr>
          <w:ilvl w:val="2"/>
          <w:numId w:val="139"/>
        </w:numPr>
        <w:rPr>
          <w:rFonts w:ascii="Arial" w:cs="Arial" w:eastAsia="Arial" w:hAnsi="Arial"/>
          <w:sz w:val="18"/>
          <w:szCs w:val="18"/>
          <w:b w:val="1"/>
          <w:bCs w:val="1"/>
          <w:color w:val="51555C"/>
        </w:rPr>
      </w:pPr>
      <w:r>
        <w:rPr>
          <w:rFonts w:ascii="Arial" w:cs="Arial" w:eastAsia="Arial" w:hAnsi="Arial"/>
          <w:sz w:val="18"/>
          <w:szCs w:val="18"/>
          <w:b w:val="1"/>
          <w:bCs w:val="1"/>
          <w:color w:val="51555C"/>
        </w:rPr>
        <w:t>Stock Awards May Be Assumed</w:t>
      </w:r>
      <w:r>
        <w:rPr>
          <w:rFonts w:ascii="Arial" w:cs="Arial" w:eastAsia="Arial" w:hAnsi="Arial"/>
          <w:sz w:val="18"/>
          <w:szCs w:val="18"/>
          <w:color w:val="51555C"/>
        </w:rPr>
        <w:t>. Except as otherwise stated in the Stock Award Agreement, in the event of a Change</w:t>
      </w:r>
      <w:r>
        <w:rPr>
          <w:rFonts w:ascii="Arial" w:cs="Arial" w:eastAsia="Arial" w:hAnsi="Arial"/>
          <w:sz w:val="18"/>
          <w:szCs w:val="18"/>
          <w:b w:val="1"/>
          <w:bCs w:val="1"/>
          <w:color w:val="51555C"/>
        </w:rPr>
        <w:t xml:space="preserve"> </w:t>
      </w:r>
      <w:r>
        <w:rPr>
          <w:rFonts w:ascii="Arial" w:cs="Arial" w:eastAsia="Arial" w:hAnsi="Arial"/>
          <w:sz w:val="18"/>
          <w:szCs w:val="18"/>
          <w:color w:val="51555C"/>
        </w:rPr>
        <w:t>in Control, any surviving corporation or acquiring corporation (or the surviving or acquiring corporation’s parent company) may assume or continue any or all Stock Awards outstanding under the Plan or may substitute similar stock awards for Stock Awards outstanding under the Plan (including, but not limited to, awards to acquire the same consideration paid to the stockholders of the Company pursuant to the Change in Control), and any reacquisition or repurchase rights held by the Company in respect of Common Stock issued pursuant to Stock Awards may be assigned by the Company to the successor of the Company (or the successor’s parent company, if any), in connection with such Change in Control. A surviving corporation or acquiring corporation (or its parent) may choose to assume or continue only a portion of a Stock Award or substitute a similar stock award for only a portion of a Stock Award. In connection with a Change in Control, the Committee may establish terms and conditions for the assumption, continuation or substitution of any Stock Award.</w:t>
      </w:r>
    </w:p>
    <w:p>
      <w:pPr>
        <w:spacing w:after="0" w:line="126" w:lineRule="exact"/>
        <w:rPr>
          <w:rFonts w:ascii="Arial" w:cs="Arial" w:eastAsia="Arial" w:hAnsi="Arial"/>
          <w:sz w:val="18"/>
          <w:szCs w:val="18"/>
          <w:b w:val="1"/>
          <w:bCs w:val="1"/>
          <w:color w:val="51555C"/>
        </w:rPr>
      </w:pPr>
    </w:p>
    <w:p>
      <w:pPr>
        <w:jc w:val="both"/>
        <w:ind w:firstLine="1304"/>
        <w:spacing w:after="0" w:line="254" w:lineRule="auto"/>
        <w:tabs>
          <w:tab w:leader="none" w:pos="1716" w:val="left"/>
        </w:tabs>
        <w:numPr>
          <w:ilvl w:val="2"/>
          <w:numId w:val="139"/>
        </w:numPr>
        <w:rPr>
          <w:rFonts w:ascii="Arial" w:cs="Arial" w:eastAsia="Arial" w:hAnsi="Arial"/>
          <w:sz w:val="18"/>
          <w:szCs w:val="18"/>
          <w:b w:val="1"/>
          <w:bCs w:val="1"/>
          <w:color w:val="51555C"/>
        </w:rPr>
      </w:pPr>
      <w:r>
        <w:rPr>
          <w:rFonts w:ascii="Arial" w:cs="Arial" w:eastAsia="Arial" w:hAnsi="Arial"/>
          <w:sz w:val="18"/>
          <w:szCs w:val="18"/>
          <w:b w:val="1"/>
          <w:bCs w:val="1"/>
          <w:color w:val="51555C"/>
        </w:rPr>
        <w:t>Stock Awards Held by Current Participants</w:t>
      </w:r>
      <w:r>
        <w:rPr>
          <w:rFonts w:ascii="Arial" w:cs="Arial" w:eastAsia="Arial" w:hAnsi="Arial"/>
          <w:sz w:val="18"/>
          <w:szCs w:val="18"/>
          <w:color w:val="51555C"/>
        </w:rPr>
        <w:t>. Except as otherwise stated in the Stock Award Agreement, in the event</w:t>
      </w:r>
      <w:r>
        <w:rPr>
          <w:rFonts w:ascii="Arial" w:cs="Arial" w:eastAsia="Arial" w:hAnsi="Arial"/>
          <w:sz w:val="18"/>
          <w:szCs w:val="18"/>
          <w:b w:val="1"/>
          <w:bCs w:val="1"/>
          <w:color w:val="51555C"/>
        </w:rPr>
        <w:t xml:space="preserve"> </w:t>
      </w:r>
      <w:r>
        <w:rPr>
          <w:rFonts w:ascii="Arial" w:cs="Arial" w:eastAsia="Arial" w:hAnsi="Arial"/>
          <w:sz w:val="18"/>
          <w:szCs w:val="18"/>
          <w:color w:val="51555C"/>
        </w:rPr>
        <w:t>of a Change in Control in which the surviving corporation or acquiring corporation (or its parent company) does not assume or continue all outstanding Stock Awards or substitute similar stock awards for such outstanding Stock Awards in accordance with Section 11(c)(i) above, then with respect to Stock Awards that have not been assumed, continued or substituted and that are held by Participants whose Continuous Service has not terminated prior to the effective time of the Change in Control (referred to as the “</w:t>
      </w:r>
      <w:r>
        <w:rPr>
          <w:rFonts w:ascii="Arial" w:cs="Arial" w:eastAsia="Arial" w:hAnsi="Arial"/>
          <w:sz w:val="18"/>
          <w:szCs w:val="18"/>
          <w:b w:val="1"/>
          <w:bCs w:val="1"/>
          <w:i w:val="1"/>
          <w:iCs w:val="1"/>
          <w:color w:val="51555C"/>
        </w:rPr>
        <w:t>Current Participants</w:t>
      </w:r>
      <w:r>
        <w:rPr>
          <w:rFonts w:ascii="Arial" w:cs="Arial" w:eastAsia="Arial" w:hAnsi="Arial"/>
          <w:sz w:val="18"/>
          <w:szCs w:val="18"/>
          <w:color w:val="51555C"/>
        </w:rPr>
        <w:t>”), the vesting of such Stock Awards (and, with respect to Options and Stock Appreciation Rights, the time at which such Stock Awards may be exercised) shall (contingent upon the effectiveness of the Change in Control) be accelerated in full to a date prior to the effective time of such Change in Control as the Committee shall determine (or, if the Committee shall not determine such a date, to the date that is five (5) days prior to the effective time of the Change in Control), and such Stock Awards shall terminate if not exercised (if applicable) at or prior to the effective time of the Change in Control, and any reacquisition or repurchase rights held by the Company with respect to such Stock Awards shall lapse (contingent upon the effectiveness of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222250</wp:posOffset>
            </wp:positionV>
            <wp:extent cx="702945" cy="11112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18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60" w:type="dxa"/>
            <w:vAlign w:val="bottom"/>
          </w:tcPr>
          <w:p>
            <w:pPr>
              <w:jc w:val="right"/>
              <w:ind w:right="8"/>
              <w:spacing w:after="0"/>
              <w:rPr>
                <w:sz w:val="20"/>
                <w:szCs w:val="20"/>
                <w:color w:val="auto"/>
              </w:rPr>
            </w:pPr>
            <w:r>
              <w:rPr>
                <w:rFonts w:ascii="Arial" w:cs="Arial" w:eastAsia="Arial" w:hAnsi="Arial"/>
                <w:sz w:val="14"/>
                <w:szCs w:val="14"/>
                <w:color w:val="51555C"/>
              </w:rPr>
              <w:t>105</w:t>
            </w:r>
          </w:p>
        </w:tc>
      </w:tr>
      <w:tr>
        <w:trPr>
          <w:trHeight w:val="285"/>
        </w:trPr>
        <w:tc>
          <w:tcPr>
            <w:tcW w:w="10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07" w:name="page108"/>
    <w:bookmarkEnd w:id="107"/>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APPENDICES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7"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both"/>
        <w:ind w:firstLine="1304"/>
        <w:spacing w:after="0" w:line="255" w:lineRule="auto"/>
        <w:tabs>
          <w:tab w:leader="none" w:pos="1806" w:val="left"/>
        </w:tabs>
        <w:numPr>
          <w:ilvl w:val="2"/>
          <w:numId w:val="140"/>
        </w:numPr>
        <w:rPr>
          <w:rFonts w:ascii="Arial" w:cs="Arial" w:eastAsia="Arial" w:hAnsi="Arial"/>
          <w:sz w:val="18"/>
          <w:szCs w:val="18"/>
          <w:b w:val="1"/>
          <w:bCs w:val="1"/>
          <w:color w:val="51555C"/>
        </w:rPr>
      </w:pPr>
      <w:r>
        <w:rPr>
          <w:rFonts w:ascii="Arial" w:cs="Arial" w:eastAsia="Arial" w:hAnsi="Arial"/>
          <w:sz w:val="18"/>
          <w:szCs w:val="18"/>
          <w:b w:val="1"/>
          <w:bCs w:val="1"/>
          <w:color w:val="51555C"/>
        </w:rPr>
        <w:t>Stock Awards Held by Persons other than Current Participants</w:t>
      </w:r>
      <w:r>
        <w:rPr>
          <w:rFonts w:ascii="Arial" w:cs="Arial" w:eastAsia="Arial" w:hAnsi="Arial"/>
          <w:sz w:val="18"/>
          <w:szCs w:val="18"/>
          <w:color w:val="51555C"/>
        </w:rPr>
        <w:t>. Except as otherwise stated in the Stock Award</w:t>
      </w:r>
      <w:r>
        <w:rPr>
          <w:rFonts w:ascii="Arial" w:cs="Arial" w:eastAsia="Arial" w:hAnsi="Arial"/>
          <w:sz w:val="18"/>
          <w:szCs w:val="18"/>
          <w:b w:val="1"/>
          <w:bCs w:val="1"/>
          <w:color w:val="51555C"/>
        </w:rPr>
        <w:t xml:space="preserve"> </w:t>
      </w:r>
      <w:r>
        <w:rPr>
          <w:rFonts w:ascii="Arial" w:cs="Arial" w:eastAsia="Arial" w:hAnsi="Arial"/>
          <w:sz w:val="18"/>
          <w:szCs w:val="18"/>
          <w:color w:val="51555C"/>
        </w:rPr>
        <w:t xml:space="preserve">Agreement, in the event of a Change in Control in which the surviving corporation or acquiring corporation (or its parent company) does not assume or continue such outstanding Stock Awards or substitute similar stock awards for such outstanding Stock Awards in accordance with Section 11(c)(i) above, then with respect to Stock Awards that have not been assumed, continued or substituted and that are held by persons other than Current Participants, the vesting of such Stock Awards (and, if applicable, the time at which such Stock Award may be exercised) shall not be accelerated and such Stock Awards (other than a Stock Award consisting of vested and outstanding shares of Common Stock not subject to a forfeiture condition or the Company’s right of repurchase) shall terminate if not exercised (if applicable) prior to the effective time of the Change in Control; </w:t>
      </w:r>
      <w:r>
        <w:rPr>
          <w:rFonts w:ascii="Arial" w:cs="Arial" w:eastAsia="Arial" w:hAnsi="Arial"/>
          <w:sz w:val="18"/>
          <w:szCs w:val="18"/>
          <w:i w:val="1"/>
          <w:iCs w:val="1"/>
          <w:color w:val="51555C"/>
        </w:rPr>
        <w:t>provided, however,</w:t>
      </w:r>
      <w:r>
        <w:rPr>
          <w:rFonts w:ascii="Arial" w:cs="Arial" w:eastAsia="Arial" w:hAnsi="Arial"/>
          <w:sz w:val="18"/>
          <w:szCs w:val="18"/>
          <w:color w:val="51555C"/>
        </w:rPr>
        <w:t xml:space="preserve"> that any reacquisition or repurchase rights held by the Company with respect to such Stock Awards shall not terminate and may continue to be exercised notwithstanding the Change in Control.</w:t>
      </w:r>
    </w:p>
    <w:p>
      <w:pPr>
        <w:spacing w:after="0" w:line="126" w:lineRule="exact"/>
        <w:rPr>
          <w:rFonts w:ascii="Arial" w:cs="Arial" w:eastAsia="Arial" w:hAnsi="Arial"/>
          <w:sz w:val="18"/>
          <w:szCs w:val="18"/>
          <w:b w:val="1"/>
          <w:bCs w:val="1"/>
          <w:color w:val="51555C"/>
        </w:rPr>
      </w:pPr>
    </w:p>
    <w:p>
      <w:pPr>
        <w:jc w:val="both"/>
        <w:ind w:firstLine="1304"/>
        <w:spacing w:after="0" w:line="255" w:lineRule="auto"/>
        <w:tabs>
          <w:tab w:leader="none" w:pos="1847" w:val="left"/>
        </w:tabs>
        <w:numPr>
          <w:ilvl w:val="2"/>
          <w:numId w:val="140"/>
        </w:numPr>
        <w:rPr>
          <w:rFonts w:ascii="Arial" w:cs="Arial" w:eastAsia="Arial" w:hAnsi="Arial"/>
          <w:sz w:val="18"/>
          <w:szCs w:val="18"/>
          <w:b w:val="1"/>
          <w:bCs w:val="1"/>
          <w:color w:val="51555C"/>
        </w:rPr>
      </w:pPr>
      <w:r>
        <w:rPr>
          <w:rFonts w:ascii="Arial" w:cs="Arial" w:eastAsia="Arial" w:hAnsi="Arial"/>
          <w:sz w:val="18"/>
          <w:szCs w:val="18"/>
          <w:b w:val="1"/>
          <w:bCs w:val="1"/>
          <w:color w:val="51555C"/>
        </w:rPr>
        <w:t>Payment for Stock Awards in Lieu of Exercise</w:t>
      </w:r>
      <w:r>
        <w:rPr>
          <w:rFonts w:ascii="Arial" w:cs="Arial" w:eastAsia="Arial" w:hAnsi="Arial"/>
          <w:sz w:val="18"/>
          <w:szCs w:val="18"/>
          <w:color w:val="51555C"/>
        </w:rPr>
        <w:t>. Notwithstanding the foregoing, in the event an Option or Stock</w:t>
      </w:r>
      <w:r>
        <w:rPr>
          <w:rFonts w:ascii="Arial" w:cs="Arial" w:eastAsia="Arial" w:hAnsi="Arial"/>
          <w:sz w:val="18"/>
          <w:szCs w:val="18"/>
          <w:b w:val="1"/>
          <w:bCs w:val="1"/>
          <w:color w:val="51555C"/>
        </w:rPr>
        <w:t xml:space="preserve"> </w:t>
      </w:r>
      <w:r>
        <w:rPr>
          <w:rFonts w:ascii="Arial" w:cs="Arial" w:eastAsia="Arial" w:hAnsi="Arial"/>
          <w:sz w:val="18"/>
          <w:szCs w:val="18"/>
          <w:color w:val="51555C"/>
        </w:rPr>
        <w:t xml:space="preserve">Appreciation Right will terminate if not exercised prior to the effective time of a Change in Control, the Committee may provide, in its sole discretion and without the holder’s consent, that the Option or the Stock Appreciation Right may not be exercised but instead shall be cancelled and the holder thereof shall receive a payment, in such form as may be determined by the Committee, equal in value to the excess, if any, of (A) the amount or value of the property the holder of the Stock Award would have received upon the exercise of the Stock Award (including, at the sole discretion of the Committee, any unvested portion of such Stock Award), over (B) any exercise price payable by such holder in connection with such exercise; </w:t>
      </w:r>
      <w:r>
        <w:rPr>
          <w:rFonts w:ascii="Arial" w:cs="Arial" w:eastAsia="Arial" w:hAnsi="Arial"/>
          <w:sz w:val="18"/>
          <w:szCs w:val="18"/>
          <w:i w:val="1"/>
          <w:iCs w:val="1"/>
          <w:color w:val="51555C"/>
        </w:rPr>
        <w:t>provided, however</w:t>
      </w:r>
      <w:r>
        <w:rPr>
          <w:rFonts w:ascii="Arial" w:cs="Arial" w:eastAsia="Arial" w:hAnsi="Arial"/>
          <w:sz w:val="18"/>
          <w:szCs w:val="18"/>
          <w:color w:val="51555C"/>
        </w:rPr>
        <w:t>, that if there is no such excess, the Option or Stock Appreciation Right may be cancelled without any payment to the holder.</w:t>
      </w:r>
    </w:p>
    <w:p>
      <w:pPr>
        <w:spacing w:after="0" w:line="130" w:lineRule="exact"/>
        <w:rPr>
          <w:rFonts w:ascii="Arial" w:cs="Arial" w:eastAsia="Arial" w:hAnsi="Arial"/>
          <w:sz w:val="18"/>
          <w:szCs w:val="18"/>
          <w:b w:val="1"/>
          <w:bCs w:val="1"/>
          <w:color w:val="51555C"/>
        </w:rPr>
      </w:pPr>
    </w:p>
    <w:p>
      <w:pPr>
        <w:jc w:val="both"/>
        <w:ind w:firstLine="1304"/>
        <w:spacing w:after="0" w:line="268" w:lineRule="auto"/>
        <w:tabs>
          <w:tab w:leader="none" w:pos="1743" w:val="left"/>
        </w:tabs>
        <w:numPr>
          <w:ilvl w:val="2"/>
          <w:numId w:val="140"/>
        </w:numPr>
        <w:rPr>
          <w:rFonts w:ascii="Arial" w:cs="Arial" w:eastAsia="Arial" w:hAnsi="Arial"/>
          <w:sz w:val="18"/>
          <w:szCs w:val="18"/>
          <w:b w:val="1"/>
          <w:bCs w:val="1"/>
          <w:color w:val="51555C"/>
        </w:rPr>
      </w:pPr>
      <w:r>
        <w:rPr>
          <w:rFonts w:ascii="Arial" w:cs="Arial" w:eastAsia="Arial" w:hAnsi="Arial"/>
          <w:sz w:val="18"/>
          <w:szCs w:val="18"/>
          <w:b w:val="1"/>
          <w:bCs w:val="1"/>
          <w:color w:val="51555C"/>
        </w:rPr>
        <w:t>Cash Incentive Awards</w:t>
      </w:r>
      <w:r>
        <w:rPr>
          <w:rFonts w:ascii="Arial" w:cs="Arial" w:eastAsia="Arial" w:hAnsi="Arial"/>
          <w:sz w:val="18"/>
          <w:szCs w:val="18"/>
          <w:color w:val="51555C"/>
        </w:rPr>
        <w:t>. All Cash Incentive Awards earned but still outstanding as of the date of a Change in Control</w:t>
      </w:r>
      <w:r>
        <w:rPr>
          <w:rFonts w:ascii="Arial" w:cs="Arial" w:eastAsia="Arial" w:hAnsi="Arial"/>
          <w:sz w:val="18"/>
          <w:szCs w:val="18"/>
          <w:b w:val="1"/>
          <w:bCs w:val="1"/>
          <w:color w:val="51555C"/>
        </w:rPr>
        <w:t xml:space="preserve"> </w:t>
      </w:r>
      <w:r>
        <w:rPr>
          <w:rFonts w:ascii="Arial" w:cs="Arial" w:eastAsia="Arial" w:hAnsi="Arial"/>
          <w:sz w:val="18"/>
          <w:szCs w:val="18"/>
          <w:color w:val="51555C"/>
        </w:rPr>
        <w:t>shall be payable in full immediately upon a Change in Control. Any remaining Cash Incentive Awards shall be accelerated and immediately paid upon a Change in Control based upon assumed achievement of 100% of target levels under the Performance Goals.</w:t>
      </w:r>
    </w:p>
    <w:p>
      <w:pPr>
        <w:spacing w:after="0" w:line="116" w:lineRule="exact"/>
        <w:rPr>
          <w:rFonts w:ascii="Arial" w:cs="Arial" w:eastAsia="Arial" w:hAnsi="Arial"/>
          <w:sz w:val="18"/>
          <w:szCs w:val="18"/>
          <w:b w:val="1"/>
          <w:bCs w:val="1"/>
          <w:color w:val="51555C"/>
        </w:rPr>
      </w:pPr>
    </w:p>
    <w:p>
      <w:pPr>
        <w:jc w:val="both"/>
        <w:ind w:firstLine="656"/>
        <w:spacing w:after="0" w:line="259" w:lineRule="auto"/>
        <w:tabs>
          <w:tab w:leader="none" w:pos="1091" w:val="left"/>
        </w:tabs>
        <w:numPr>
          <w:ilvl w:val="1"/>
          <w:numId w:val="141"/>
        </w:numPr>
        <w:rPr>
          <w:rFonts w:ascii="Arial" w:cs="Arial" w:eastAsia="Arial" w:hAnsi="Arial"/>
          <w:sz w:val="18"/>
          <w:szCs w:val="18"/>
          <w:b w:val="1"/>
          <w:bCs w:val="1"/>
          <w:color w:val="51555C"/>
        </w:rPr>
      </w:pPr>
      <w:r>
        <w:rPr>
          <w:rFonts w:ascii="Arial" w:cs="Arial" w:eastAsia="Arial" w:hAnsi="Arial"/>
          <w:sz w:val="18"/>
          <w:szCs w:val="18"/>
          <w:b w:val="1"/>
          <w:bCs w:val="1"/>
          <w:color w:val="51555C"/>
        </w:rPr>
        <w:t>Other Change in Control Provisions</w:t>
      </w:r>
      <w:r>
        <w:rPr>
          <w:rFonts w:ascii="Arial" w:cs="Arial" w:eastAsia="Arial" w:hAnsi="Arial"/>
          <w:sz w:val="18"/>
          <w:szCs w:val="18"/>
          <w:color w:val="51555C"/>
        </w:rPr>
        <w:t>. An Award may be subject to additional provisions upon or after a Change in Control as</w:t>
      </w:r>
      <w:r>
        <w:rPr>
          <w:rFonts w:ascii="Arial" w:cs="Arial" w:eastAsia="Arial" w:hAnsi="Arial"/>
          <w:sz w:val="18"/>
          <w:szCs w:val="18"/>
          <w:b w:val="1"/>
          <w:bCs w:val="1"/>
          <w:color w:val="51555C"/>
        </w:rPr>
        <w:t xml:space="preserve"> </w:t>
      </w:r>
      <w:r>
        <w:rPr>
          <w:rFonts w:ascii="Arial" w:cs="Arial" w:eastAsia="Arial" w:hAnsi="Arial"/>
          <w:sz w:val="18"/>
          <w:szCs w:val="18"/>
          <w:color w:val="51555C"/>
        </w:rPr>
        <w:t>may be provided in the Stock Award Agreement for such Stock Award or as may be provided in any other written agreement between the Company or any Affiliate and the Participant or as may be provided by the Committee with respect to a Cash Incentive Award. A Stock Award may vest as to all or any portion of the shares subject to the Stock Award in the event a Participant’s Continuous Service is terminated, actually or constructively, within a designated period before or after the occurrence of a Change in Control.</w:t>
      </w:r>
    </w:p>
    <w:p>
      <w:pPr>
        <w:spacing w:after="0" w:line="125" w:lineRule="exact"/>
        <w:rPr>
          <w:rFonts w:ascii="Arial" w:cs="Arial" w:eastAsia="Arial" w:hAnsi="Arial"/>
          <w:sz w:val="18"/>
          <w:szCs w:val="18"/>
          <w:b w:val="1"/>
          <w:bCs w:val="1"/>
          <w:color w:val="51555C"/>
        </w:rPr>
      </w:pPr>
    </w:p>
    <w:p>
      <w:pPr>
        <w:ind w:left="460" w:hanging="452"/>
        <w:spacing w:after="0"/>
        <w:tabs>
          <w:tab w:leader="none" w:pos="460" w:val="left"/>
        </w:tabs>
        <w:numPr>
          <w:ilvl w:val="0"/>
          <w:numId w:val="142"/>
        </w:numPr>
        <w:rPr>
          <w:rFonts w:ascii="Arial" w:cs="Arial" w:eastAsia="Arial" w:hAnsi="Arial"/>
          <w:sz w:val="18"/>
          <w:szCs w:val="18"/>
          <w:b w:val="1"/>
          <w:bCs w:val="1"/>
          <w:color w:val="51555C"/>
        </w:rPr>
      </w:pPr>
      <w:r>
        <w:rPr>
          <w:rFonts w:ascii="Arial" w:cs="Arial" w:eastAsia="Arial" w:hAnsi="Arial"/>
          <w:sz w:val="18"/>
          <w:szCs w:val="18"/>
          <w:b w:val="1"/>
          <w:bCs w:val="1"/>
          <w:color w:val="51555C"/>
        </w:rPr>
        <w:t>AMENDMENT, SUSPENSION AND TERMINATION OF THE PLAN</w:t>
      </w:r>
    </w:p>
    <w:p>
      <w:pPr>
        <w:spacing w:after="0" w:line="171" w:lineRule="exact"/>
        <w:rPr>
          <w:rFonts w:ascii="Arial" w:cs="Arial" w:eastAsia="Arial" w:hAnsi="Arial"/>
          <w:sz w:val="18"/>
          <w:szCs w:val="18"/>
          <w:b w:val="1"/>
          <w:bCs w:val="1"/>
          <w:color w:val="51555C"/>
        </w:rPr>
      </w:pPr>
    </w:p>
    <w:p>
      <w:pPr>
        <w:jc w:val="both"/>
        <w:ind w:firstLine="656"/>
        <w:spacing w:after="0" w:line="253" w:lineRule="auto"/>
        <w:tabs>
          <w:tab w:leader="none" w:pos="1081" w:val="left"/>
        </w:tabs>
        <w:numPr>
          <w:ilvl w:val="1"/>
          <w:numId w:val="142"/>
        </w:numPr>
        <w:rPr>
          <w:rFonts w:ascii="Arial" w:cs="Arial" w:eastAsia="Arial" w:hAnsi="Arial"/>
          <w:sz w:val="18"/>
          <w:szCs w:val="18"/>
          <w:b w:val="1"/>
          <w:bCs w:val="1"/>
          <w:color w:val="51555C"/>
        </w:rPr>
      </w:pPr>
      <w:r>
        <w:rPr>
          <w:rFonts w:ascii="Arial" w:cs="Arial" w:eastAsia="Arial" w:hAnsi="Arial"/>
          <w:sz w:val="18"/>
          <w:szCs w:val="18"/>
          <w:b w:val="1"/>
          <w:bCs w:val="1"/>
          <w:color w:val="51555C"/>
        </w:rPr>
        <w:t>Amendment of the Plan</w:t>
      </w:r>
      <w:r>
        <w:rPr>
          <w:rFonts w:ascii="Arial" w:cs="Arial" w:eastAsia="Arial" w:hAnsi="Arial"/>
          <w:sz w:val="18"/>
          <w:szCs w:val="18"/>
          <w:color w:val="51555C"/>
        </w:rPr>
        <w:t>. The Board may at any time, and from time to time, amend the Plan in whole or in part in any respect</w:t>
      </w:r>
      <w:r>
        <w:rPr>
          <w:rFonts w:ascii="Arial" w:cs="Arial" w:eastAsia="Arial" w:hAnsi="Arial"/>
          <w:sz w:val="18"/>
          <w:szCs w:val="18"/>
          <w:b w:val="1"/>
          <w:bCs w:val="1"/>
          <w:color w:val="51555C"/>
        </w:rPr>
        <w:t xml:space="preserve"> </w:t>
      </w:r>
      <w:r>
        <w:rPr>
          <w:rFonts w:ascii="Arial" w:cs="Arial" w:eastAsia="Arial" w:hAnsi="Arial"/>
          <w:sz w:val="18"/>
          <w:szCs w:val="18"/>
          <w:color w:val="51555C"/>
        </w:rPr>
        <w:t xml:space="preserve">it deems necessary or advisable; provided, that any such amendment of the Plan shall be subject to the requisite approval of the stockholders of the Company to the extent stockholder approval is necessary to satisfy the applicable requirements of the Code (including, but not limited to, Section 422 thereof and the Section 162(m) Exception), the Exchange Act or Rule 16b-3 thereunder, any New York Stock Exchange, Nasdaq or other securities exchange listing requirements or any other law or regulation or Section 2(d) of the Plan. No amendment of the Plan shall adversely affect in any material way the rights of a Participant under any outstanding Award without the affected Participant’s written consent; </w:t>
      </w:r>
      <w:r>
        <w:rPr>
          <w:rFonts w:ascii="Arial" w:cs="Arial" w:eastAsia="Arial" w:hAnsi="Arial"/>
          <w:sz w:val="18"/>
          <w:szCs w:val="18"/>
          <w:i w:val="1"/>
          <w:iCs w:val="1"/>
          <w:color w:val="51555C"/>
        </w:rPr>
        <w:t>provided, however</w:t>
      </w:r>
      <w:r>
        <w:rPr>
          <w:rFonts w:ascii="Arial" w:cs="Arial" w:eastAsia="Arial" w:hAnsi="Arial"/>
          <w:sz w:val="18"/>
          <w:szCs w:val="18"/>
          <w:color w:val="51555C"/>
        </w:rPr>
        <w:t>, that the Board may amend the Plan in any respect it deems necessary or advisable (i) to comply with applicable law or to address other regulatory matters without obtaining a Participant’s consent, including, but not limited to, reforming (including on a retroactive basis, if permissible and applicable) the Plan (and the Committee may amend the terms of an outstanding Award) to comply with, or meet an exemption from, Section 409A of the Code or to comply with any other applicable laws, regulations or exchange listing requirements (including changes thereto), or (ii) if the Board determines that the amendment of the Plan is in the best interest of the affected Participant.</w:t>
      </w:r>
    </w:p>
    <w:p>
      <w:pPr>
        <w:spacing w:after="0" w:line="135" w:lineRule="exact"/>
        <w:rPr>
          <w:rFonts w:ascii="Arial" w:cs="Arial" w:eastAsia="Arial" w:hAnsi="Arial"/>
          <w:sz w:val="18"/>
          <w:szCs w:val="18"/>
          <w:b w:val="1"/>
          <w:bCs w:val="1"/>
          <w:color w:val="51555C"/>
        </w:rPr>
      </w:pPr>
    </w:p>
    <w:p>
      <w:pPr>
        <w:ind w:left="1120" w:hanging="464"/>
        <w:spacing w:after="0"/>
        <w:tabs>
          <w:tab w:leader="none" w:pos="1120" w:val="left"/>
        </w:tabs>
        <w:numPr>
          <w:ilvl w:val="1"/>
          <w:numId w:val="142"/>
        </w:numPr>
        <w:rPr>
          <w:rFonts w:ascii="Arial" w:cs="Arial" w:eastAsia="Arial" w:hAnsi="Arial"/>
          <w:sz w:val="18"/>
          <w:szCs w:val="18"/>
          <w:b w:val="1"/>
          <w:bCs w:val="1"/>
          <w:color w:val="51555C"/>
        </w:rPr>
      </w:pPr>
      <w:r>
        <w:rPr>
          <w:rFonts w:ascii="Arial" w:cs="Arial" w:eastAsia="Arial" w:hAnsi="Arial"/>
          <w:sz w:val="18"/>
          <w:szCs w:val="18"/>
          <w:b w:val="1"/>
          <w:bCs w:val="1"/>
          <w:color w:val="51555C"/>
        </w:rPr>
        <w:t>Plan Term</w:t>
      </w:r>
      <w:r>
        <w:rPr>
          <w:rFonts w:ascii="Arial" w:cs="Arial" w:eastAsia="Arial" w:hAnsi="Arial"/>
          <w:sz w:val="18"/>
          <w:szCs w:val="18"/>
          <w:color w:val="51555C"/>
        </w:rPr>
        <w:t>. The Board may suspend or terminate the Plan at any time. Unless terminated sooner, the Plan shall terminate at</w:t>
      </w:r>
    </w:p>
    <w:p>
      <w:pPr>
        <w:spacing w:after="0" w:line="27" w:lineRule="exact"/>
        <w:rPr>
          <w:rFonts w:ascii="Arial" w:cs="Arial" w:eastAsia="Arial" w:hAnsi="Arial"/>
          <w:sz w:val="18"/>
          <w:szCs w:val="18"/>
          <w:b w:val="1"/>
          <w:bCs w:val="1"/>
          <w:color w:val="51555C"/>
        </w:rPr>
      </w:pPr>
    </w:p>
    <w:p>
      <w:pPr>
        <w:jc w:val="both"/>
        <w:spacing w:after="0" w:line="258" w:lineRule="auto"/>
        <w:rPr>
          <w:rFonts w:ascii="Arial" w:cs="Arial" w:eastAsia="Arial" w:hAnsi="Arial"/>
          <w:sz w:val="18"/>
          <w:szCs w:val="18"/>
          <w:b w:val="1"/>
          <w:bCs w:val="1"/>
          <w:color w:val="51555C"/>
        </w:rPr>
      </w:pPr>
      <w:r>
        <w:rPr>
          <w:rFonts w:ascii="Arial" w:cs="Arial" w:eastAsia="Arial" w:hAnsi="Arial"/>
          <w:sz w:val="18"/>
          <w:szCs w:val="18"/>
          <w:color w:val="51555C"/>
        </w:rPr>
        <w:t>11:59 pm on March 7, 2028; provided, that no Incentive Stock Options may be granted under the Plan on or after March 7, 2026. No Awards may be granted under the Plan while the Plan is suspended or after it is terminated, but the Plan shall remain effective with respect to any outstanding Awards previously granted.</w:t>
      </w:r>
    </w:p>
    <w:p>
      <w:pPr>
        <w:spacing w:after="0" w:line="124" w:lineRule="exact"/>
        <w:rPr>
          <w:rFonts w:ascii="Arial" w:cs="Arial" w:eastAsia="Arial" w:hAnsi="Arial"/>
          <w:sz w:val="18"/>
          <w:szCs w:val="18"/>
          <w:b w:val="1"/>
          <w:bCs w:val="1"/>
          <w:color w:val="51555C"/>
        </w:rPr>
      </w:pPr>
    </w:p>
    <w:p>
      <w:pPr>
        <w:jc w:val="both"/>
        <w:ind w:firstLine="656"/>
        <w:spacing w:after="0" w:line="268" w:lineRule="auto"/>
        <w:tabs>
          <w:tab w:leader="none" w:pos="1108" w:val="left"/>
        </w:tabs>
        <w:numPr>
          <w:ilvl w:val="1"/>
          <w:numId w:val="142"/>
        </w:numPr>
        <w:rPr>
          <w:rFonts w:ascii="Arial" w:cs="Arial" w:eastAsia="Arial" w:hAnsi="Arial"/>
          <w:sz w:val="18"/>
          <w:szCs w:val="18"/>
          <w:b w:val="1"/>
          <w:bCs w:val="1"/>
          <w:color w:val="51555C"/>
        </w:rPr>
      </w:pPr>
      <w:r>
        <w:rPr>
          <w:rFonts w:ascii="Arial" w:cs="Arial" w:eastAsia="Arial" w:hAnsi="Arial"/>
          <w:sz w:val="18"/>
          <w:szCs w:val="18"/>
          <w:b w:val="1"/>
          <w:bCs w:val="1"/>
          <w:color w:val="51555C"/>
        </w:rPr>
        <w:t>No Impairment of Rights</w:t>
      </w:r>
      <w:r>
        <w:rPr>
          <w:rFonts w:ascii="Arial" w:cs="Arial" w:eastAsia="Arial" w:hAnsi="Arial"/>
          <w:sz w:val="18"/>
          <w:szCs w:val="18"/>
          <w:color w:val="51555C"/>
        </w:rPr>
        <w:t>. Suspension or termination of the Plan may not materially impair rights and obligations under any</w:t>
      </w:r>
      <w:r>
        <w:rPr>
          <w:rFonts w:ascii="Arial" w:cs="Arial" w:eastAsia="Arial" w:hAnsi="Arial"/>
          <w:sz w:val="18"/>
          <w:szCs w:val="18"/>
          <w:b w:val="1"/>
          <w:bCs w:val="1"/>
          <w:color w:val="51555C"/>
        </w:rPr>
        <w:t xml:space="preserve"> </w:t>
      </w:r>
      <w:r>
        <w:rPr>
          <w:rFonts w:ascii="Arial" w:cs="Arial" w:eastAsia="Arial" w:hAnsi="Arial"/>
          <w:sz w:val="18"/>
          <w:szCs w:val="18"/>
          <w:color w:val="51555C"/>
        </w:rPr>
        <w:t>Award granted while the Plan is in effect without the written consent of the affected Participant except to the same extent as provided in Section 12(a) with respect to amendments to the Plan.</w:t>
      </w:r>
    </w:p>
    <w:p>
      <w:pPr>
        <w:spacing w:after="0" w:line="327" w:lineRule="exact"/>
        <w:rPr>
          <w:sz w:val="20"/>
          <w:szCs w:val="20"/>
          <w:color w:val="auto"/>
        </w:rPr>
      </w:pPr>
    </w:p>
    <w:p>
      <w:pPr>
        <w:ind w:left="100"/>
        <w:spacing w:after="0"/>
        <w:tabs>
          <w:tab w:leader="none" w:pos="514" w:val="left"/>
        </w:tabs>
        <w:rPr>
          <w:sz w:val="20"/>
          <w:szCs w:val="20"/>
          <w:color w:val="auto"/>
        </w:rPr>
      </w:pPr>
      <w:r>
        <w:rPr>
          <w:rFonts w:ascii="Arial" w:cs="Arial" w:eastAsia="Arial" w:hAnsi="Arial"/>
          <w:sz w:val="14"/>
          <w:szCs w:val="14"/>
          <w:color w:val="51555C"/>
        </w:rPr>
        <w:t>106</w:t>
      </w:r>
      <w:r>
        <w:rPr>
          <w:sz w:val="20"/>
          <w:szCs w:val="20"/>
          <w:color w:val="auto"/>
        </w:rPr>
        <w:tab/>
      </w:r>
      <w:r>
        <w:rPr>
          <w:sz w:val="1"/>
          <w:szCs w:val="1"/>
          <w:color w:val="auto"/>
        </w:rPr>
        <w:drawing>
          <wp:inline distT="0" distB="0" distL="0" distR="0">
            <wp:extent cx="702945" cy="111125"/>
            <wp:effectExtent l="0" t="0" r="0" b="0"/>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8" w:name="page109"/>
    <w:bookmarkEnd w:id="108"/>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9440"/>
        <w:spacing w:after="0"/>
        <w:rPr>
          <w:sz w:val="20"/>
          <w:szCs w:val="20"/>
          <w:color w:val="auto"/>
        </w:rPr>
      </w:pPr>
      <w:r>
        <w:rPr>
          <w:rFonts w:ascii="Arial" w:cs="Arial" w:eastAsia="Arial" w:hAnsi="Arial"/>
          <w:sz w:val="18"/>
          <w:szCs w:val="18"/>
          <w:b w:val="1"/>
          <w:bCs w:val="1"/>
          <w:color w:val="51555C"/>
        </w:rPr>
        <w:t>APPENDICES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51555C"/>
        </w:rPr>
      </w:pPr>
      <w:r>
        <w:rPr>
          <w:rFonts w:ascii="Arial" w:cs="Arial" w:eastAsia="Arial" w:hAnsi="Arial"/>
          <w:sz w:val="18"/>
          <w:szCs w:val="18"/>
          <w:b w:val="1"/>
          <w:bCs w:val="1"/>
          <w:color w:val="51555C"/>
        </w:rPr>
        <w:t>CHOICE OF LAW</w:t>
      </w:r>
    </w:p>
    <w:p>
      <w:pPr>
        <w:spacing w:after="0" w:line="171"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51555C"/>
        </w:rPr>
        <w:t>The law of the State of Delaware shall govern all questions concerning the construction, validity and interpretation of this Plan, without regard to that state’s conflict of laws rules.</w:t>
      </w:r>
    </w:p>
    <w:p>
      <w:pPr>
        <w:spacing w:after="0" w:line="99"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51555C"/>
        </w:rPr>
      </w:pPr>
      <w:r>
        <w:rPr>
          <w:rFonts w:ascii="Arial" w:cs="Arial" w:eastAsia="Arial" w:hAnsi="Arial"/>
          <w:sz w:val="18"/>
          <w:szCs w:val="18"/>
          <w:b w:val="1"/>
          <w:bCs w:val="1"/>
          <w:color w:val="51555C"/>
        </w:rPr>
        <w:t>DEFINITIONS</w:t>
      </w:r>
    </w:p>
    <w:p>
      <w:pPr>
        <w:spacing w:after="0" w:line="171" w:lineRule="exact"/>
        <w:rPr>
          <w:rFonts w:ascii="Arial" w:cs="Arial" w:eastAsia="Arial" w:hAnsi="Arial"/>
          <w:sz w:val="18"/>
          <w:szCs w:val="18"/>
          <w:b w:val="1"/>
          <w:bCs w:val="1"/>
          <w:color w:val="51555C"/>
        </w:rPr>
      </w:pPr>
    </w:p>
    <w:p>
      <w:pPr>
        <w:ind w:left="460"/>
        <w:spacing w:after="0"/>
        <w:rPr>
          <w:rFonts w:ascii="Arial" w:cs="Arial" w:eastAsia="Arial" w:hAnsi="Arial"/>
          <w:sz w:val="18"/>
          <w:szCs w:val="18"/>
          <w:b w:val="1"/>
          <w:bCs w:val="1"/>
          <w:color w:val="51555C"/>
        </w:rPr>
      </w:pPr>
      <w:r>
        <w:rPr>
          <w:rFonts w:ascii="Arial" w:cs="Arial" w:eastAsia="Arial" w:hAnsi="Arial"/>
          <w:sz w:val="18"/>
          <w:szCs w:val="18"/>
          <w:color w:val="51555C"/>
        </w:rPr>
        <w:t>As used in the Plan, the following definitions shall apply to the capitalized terms indicated below:</w:t>
      </w:r>
    </w:p>
    <w:p>
      <w:pPr>
        <w:spacing w:after="0" w:line="171" w:lineRule="exact"/>
        <w:rPr>
          <w:rFonts w:ascii="Arial" w:cs="Arial" w:eastAsia="Arial" w:hAnsi="Arial"/>
          <w:sz w:val="18"/>
          <w:szCs w:val="18"/>
          <w:b w:val="1"/>
          <w:bCs w:val="1"/>
          <w:color w:val="51555C"/>
        </w:rPr>
      </w:pPr>
    </w:p>
    <w:p>
      <w:pPr>
        <w:jc w:val="both"/>
        <w:ind w:firstLine="656"/>
        <w:spacing w:after="0" w:line="257" w:lineRule="auto"/>
        <w:tabs>
          <w:tab w:leader="none" w:pos="1176" w:val="left"/>
        </w:tabs>
        <w:numPr>
          <w:ilvl w:val="1"/>
          <w:numId w:val="144"/>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Affiliate</w:t>
      </w:r>
      <w:r>
        <w:rPr>
          <w:rFonts w:ascii="Arial" w:cs="Arial" w:eastAsia="Arial" w:hAnsi="Arial"/>
          <w:sz w:val="18"/>
          <w:szCs w:val="18"/>
          <w:color w:val="51555C"/>
        </w:rPr>
        <w:t>” means, at the time of determination, any “parent” or “subsidiary” of the Company as such terms are defined in Rule 405 of the Securities Act. The Committee shall have the authority to determine the time or times at which “parent” or “subsidiary” status is determined within the foregoing definition. Notwithstanding the foregoing, for purposes of Incentive Stock Options, Affiliate means a “subsidiary corporation” within the meaning of Section 424(f) of the Code. Unless the Committee provides otherwise, for purposes of granting Options or Stock Appreciation Rights, an entity shall not be considered an Affiliate if such Options or Stock Appreciation Rights would then be considered to provide for a deferral of compensation within the meaning of Section 409A of the Code.</w:t>
      </w:r>
    </w:p>
    <w:p>
      <w:pPr>
        <w:spacing w:after="0" w:line="128" w:lineRule="exact"/>
        <w:rPr>
          <w:rFonts w:ascii="Arial" w:cs="Arial" w:eastAsia="Arial" w:hAnsi="Arial"/>
          <w:sz w:val="18"/>
          <w:szCs w:val="18"/>
          <w:b w:val="1"/>
          <w:bCs w:val="1"/>
          <w:color w:val="51555C"/>
        </w:rPr>
      </w:pPr>
    </w:p>
    <w:p>
      <w:pPr>
        <w:jc w:val="both"/>
        <w:ind w:firstLine="656"/>
        <w:spacing w:after="0" w:line="244" w:lineRule="auto"/>
        <w:tabs>
          <w:tab w:leader="none" w:pos="1091" w:val="left"/>
        </w:tabs>
        <w:numPr>
          <w:ilvl w:val="1"/>
          <w:numId w:val="144"/>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Applicable Period</w:t>
      </w:r>
      <w:r>
        <w:rPr>
          <w:rFonts w:ascii="Arial" w:cs="Arial" w:eastAsia="Arial" w:hAnsi="Arial"/>
          <w:sz w:val="18"/>
          <w:szCs w:val="18"/>
          <w:color w:val="51555C"/>
        </w:rPr>
        <w:t>” means, with respect to any Performance Period for a Performance-Based Compensation Award, a period commencing on or before the first day of the Performance Period and ending not later than the earliest of (i) the 90</w:t>
      </w:r>
      <w:r>
        <w:rPr>
          <w:rFonts w:ascii="Arial" w:cs="Arial" w:eastAsia="Arial" w:hAnsi="Arial"/>
          <w:sz w:val="23"/>
          <w:szCs w:val="23"/>
          <w:color w:val="51555C"/>
          <w:vertAlign w:val="superscript"/>
        </w:rPr>
        <w:t>th</w:t>
      </w:r>
      <w:r>
        <w:rPr>
          <w:rFonts w:ascii="Arial" w:cs="Arial" w:eastAsia="Arial" w:hAnsi="Arial"/>
          <w:sz w:val="18"/>
          <w:szCs w:val="18"/>
          <w:color w:val="51555C"/>
        </w:rPr>
        <w:t xml:space="preserve"> day after the commencement of the Performance Period and (ii) the date on which twenty-five percent (25%) of the Performance Period has been completed (or such shorter or longer maximum period during which Performance Goals must be pre-established for Performance-Based Compensation Awards in accordance with the Section 162(m) Exception). Any action required to be taken within an Applicable Period may be taken at a later date if permissible under the Section 162(m) Exception.</w:t>
      </w:r>
    </w:p>
    <w:p>
      <w:pPr>
        <w:spacing w:after="0" w:line="136" w:lineRule="exact"/>
        <w:rPr>
          <w:rFonts w:ascii="Arial" w:cs="Arial" w:eastAsia="Arial" w:hAnsi="Arial"/>
          <w:sz w:val="18"/>
          <w:szCs w:val="18"/>
          <w:b w:val="1"/>
          <w:bCs w:val="1"/>
          <w:color w:val="51555C"/>
        </w:rPr>
      </w:pPr>
    </w:p>
    <w:p>
      <w:pPr>
        <w:ind w:left="1080" w:hanging="424"/>
        <w:spacing w:after="0"/>
        <w:tabs>
          <w:tab w:leader="none" w:pos="1080" w:val="left"/>
        </w:tabs>
        <w:numPr>
          <w:ilvl w:val="1"/>
          <w:numId w:val="144"/>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Award</w:t>
      </w:r>
      <w:r>
        <w:rPr>
          <w:rFonts w:ascii="Arial" w:cs="Arial" w:eastAsia="Arial" w:hAnsi="Arial"/>
          <w:sz w:val="18"/>
          <w:szCs w:val="18"/>
          <w:color w:val="51555C"/>
        </w:rPr>
        <w:t>” or “</w:t>
      </w:r>
      <w:r>
        <w:rPr>
          <w:rFonts w:ascii="Arial" w:cs="Arial" w:eastAsia="Arial" w:hAnsi="Arial"/>
          <w:sz w:val="18"/>
          <w:szCs w:val="18"/>
          <w:b w:val="1"/>
          <w:bCs w:val="1"/>
          <w:i w:val="1"/>
          <w:iCs w:val="1"/>
          <w:color w:val="51555C"/>
        </w:rPr>
        <w:t>Awards</w:t>
      </w:r>
      <w:r>
        <w:rPr>
          <w:rFonts w:ascii="Arial" w:cs="Arial" w:eastAsia="Arial" w:hAnsi="Arial"/>
          <w:sz w:val="18"/>
          <w:szCs w:val="18"/>
          <w:color w:val="51555C"/>
        </w:rPr>
        <w:t>” means, individually or collectively, a Stock Award or a Cash Incentive Award.</w:t>
      </w:r>
    </w:p>
    <w:p>
      <w:pPr>
        <w:spacing w:after="0" w:line="171" w:lineRule="exact"/>
        <w:rPr>
          <w:rFonts w:ascii="Arial" w:cs="Arial" w:eastAsia="Arial" w:hAnsi="Arial"/>
          <w:sz w:val="18"/>
          <w:szCs w:val="18"/>
          <w:b w:val="1"/>
          <w:bCs w:val="1"/>
          <w:color w:val="51555C"/>
        </w:rPr>
      </w:pPr>
    </w:p>
    <w:p>
      <w:pPr>
        <w:ind w:left="1080" w:hanging="424"/>
        <w:spacing w:after="0"/>
        <w:tabs>
          <w:tab w:leader="none" w:pos="1080" w:val="left"/>
        </w:tabs>
        <w:numPr>
          <w:ilvl w:val="1"/>
          <w:numId w:val="144"/>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Board</w:t>
      </w:r>
      <w:r>
        <w:rPr>
          <w:rFonts w:ascii="Arial" w:cs="Arial" w:eastAsia="Arial" w:hAnsi="Arial"/>
          <w:sz w:val="18"/>
          <w:szCs w:val="18"/>
          <w:color w:val="51555C"/>
        </w:rPr>
        <w:t>” means the Board of Directors of the Company.</w:t>
      </w:r>
    </w:p>
    <w:p>
      <w:pPr>
        <w:spacing w:after="0" w:line="171" w:lineRule="exact"/>
        <w:rPr>
          <w:rFonts w:ascii="Arial" w:cs="Arial" w:eastAsia="Arial" w:hAnsi="Arial"/>
          <w:sz w:val="18"/>
          <w:szCs w:val="18"/>
          <w:b w:val="1"/>
          <w:bCs w:val="1"/>
          <w:color w:val="51555C"/>
        </w:rPr>
      </w:pPr>
    </w:p>
    <w:p>
      <w:pPr>
        <w:jc w:val="both"/>
        <w:ind w:firstLine="656"/>
        <w:spacing w:after="0" w:line="257" w:lineRule="auto"/>
        <w:tabs>
          <w:tab w:leader="none" w:pos="1068" w:val="left"/>
        </w:tabs>
        <w:numPr>
          <w:ilvl w:val="1"/>
          <w:numId w:val="144"/>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Capitalization Adjustment</w:t>
      </w:r>
      <w:r>
        <w:rPr>
          <w:rFonts w:ascii="Arial" w:cs="Arial" w:eastAsia="Arial" w:hAnsi="Arial"/>
          <w:sz w:val="18"/>
          <w:szCs w:val="18"/>
          <w:color w:val="51555C"/>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Notwithstanding the foregoing, the conversion of any convertible securities of the Company shall not be treated as a transaction “without the receipt of consideration” by the Company.</w:t>
      </w:r>
    </w:p>
    <w:p>
      <w:pPr>
        <w:spacing w:after="0" w:line="128" w:lineRule="exact"/>
        <w:rPr>
          <w:rFonts w:ascii="Arial" w:cs="Arial" w:eastAsia="Arial" w:hAnsi="Arial"/>
          <w:sz w:val="18"/>
          <w:szCs w:val="18"/>
          <w:b w:val="1"/>
          <w:bCs w:val="1"/>
          <w:color w:val="51555C"/>
        </w:rPr>
      </w:pPr>
    </w:p>
    <w:p>
      <w:pPr>
        <w:jc w:val="both"/>
        <w:ind w:firstLine="656"/>
        <w:spacing w:after="0" w:line="268" w:lineRule="auto"/>
        <w:tabs>
          <w:tab w:leader="none" w:pos="1068" w:val="left"/>
        </w:tabs>
        <w:numPr>
          <w:ilvl w:val="1"/>
          <w:numId w:val="144"/>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Cash Incentive Award</w:t>
      </w:r>
      <w:r>
        <w:rPr>
          <w:rFonts w:ascii="Arial" w:cs="Arial" w:eastAsia="Arial" w:hAnsi="Arial"/>
          <w:sz w:val="18"/>
          <w:szCs w:val="18"/>
          <w:color w:val="51555C"/>
        </w:rPr>
        <w:t>” means a cash award to which a Participant may be entitled if Performance Goals for a Performance Period are satisfied. A Cash Incentive Award may be expressed in U.S. dollars or pursuant to a formula that is consistent with the provisions of the Plan.</w:t>
      </w:r>
    </w:p>
    <w:p>
      <w:pPr>
        <w:spacing w:after="0" w:line="116" w:lineRule="exact"/>
        <w:rPr>
          <w:rFonts w:ascii="Arial" w:cs="Arial" w:eastAsia="Arial" w:hAnsi="Arial"/>
          <w:sz w:val="18"/>
          <w:szCs w:val="18"/>
          <w:b w:val="1"/>
          <w:bCs w:val="1"/>
          <w:color w:val="51555C"/>
        </w:rPr>
      </w:pPr>
    </w:p>
    <w:p>
      <w:pPr>
        <w:jc w:val="both"/>
        <w:ind w:firstLine="656"/>
        <w:spacing w:after="0" w:line="253" w:lineRule="auto"/>
        <w:tabs>
          <w:tab w:leader="none" w:pos="1078" w:val="left"/>
        </w:tabs>
        <w:numPr>
          <w:ilvl w:val="1"/>
          <w:numId w:val="144"/>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Cause</w:t>
      </w:r>
      <w:r>
        <w:rPr>
          <w:rFonts w:ascii="Arial" w:cs="Arial" w:eastAsia="Arial" w:hAnsi="Arial"/>
          <w:sz w:val="18"/>
          <w:szCs w:val="18"/>
          <w:color w:val="51555C"/>
        </w:rPr>
        <w:t>” means with respect to a Participant, except to the extent the applicable Stock Award Agreement provides otherwise or incorporates a different definition of “Cause,” the occurrence of any of the following events: (i) such Participant’s conviction of, or a plea of nolo contendere to, a felony; (ii) such Participant’s theft, fraud or embezzlement, or attempted theft, fraud or embezzlement, with respect to money or property or assets or the business of the Company and/or any Affiliate; (iii) such Participant’s material violation of Company or Affiliate policies, including, without limitation, nondisclosure of confidential information; (iv) such Participant’s material violation of any employment agreement and/or restrictive covenant agreement and/or confidentiality agreement with the Company and/or an Affiliate;</w:t>
      </w:r>
    </w:p>
    <w:p>
      <w:pPr>
        <w:spacing w:after="0" w:line="4" w:lineRule="exact"/>
        <w:rPr>
          <w:rFonts w:ascii="Arial" w:cs="Arial" w:eastAsia="Arial" w:hAnsi="Arial"/>
          <w:sz w:val="18"/>
          <w:szCs w:val="18"/>
          <w:b w:val="1"/>
          <w:bCs w:val="1"/>
          <w:color w:val="51555C"/>
        </w:rPr>
      </w:pPr>
    </w:p>
    <w:p>
      <w:pPr>
        <w:jc w:val="both"/>
        <w:spacing w:after="0" w:line="252" w:lineRule="auto"/>
        <w:rPr>
          <w:rFonts w:ascii="Arial" w:cs="Arial" w:eastAsia="Arial" w:hAnsi="Arial"/>
          <w:sz w:val="18"/>
          <w:szCs w:val="18"/>
          <w:b w:val="1"/>
          <w:bCs w:val="1"/>
          <w:color w:val="51555C"/>
        </w:rPr>
      </w:pPr>
      <w:r>
        <w:rPr>
          <w:rFonts w:ascii="Arial" w:cs="Arial" w:eastAsia="Arial" w:hAnsi="Arial"/>
          <w:sz w:val="18"/>
          <w:szCs w:val="18"/>
          <w:color w:val="51555C"/>
        </w:rPr>
        <w:t>(v) such Participant’s willful misconduct or willfully dishonest behavior; (vi) such Participant’s failure or refusal to perform his or her reasonably-assigned duties (other than due to a Disability), provided that such failure or refusal is not corrected as promptly as practicable, and in any event within thirty (30) calendar days after the Participant shall have received written notice from the Company or applicable Affiliate stating the nature of such failure or refusal; (vii) personal conduct by such Participant (including employee harassment or discrimination) which materially discredits or damages the Company or any Affiliate; or (viii) such Participant’s illegal use of controlled substances. Notwithstanding the foregoing, if the Participant has entered into an employment or other agreement with the Company or an Affiliate that includes a definition of “Cause,” then in the absence of a specific definition of “Cause” in the applicable Award Agreement, the definition of “Cause” in such employment or other agreement shall take precedence over the foregoing definition of “Cause.” Following a Participant’s termination of Continuous Service, if it is determined that the Participant’s Continuous Service could have been terminated for Cause, such Participant’s Continuous Service shall be deemed to have been terminated for Cause. In any event, “Cause” shall be determined by the Committee (or its delegate).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222885</wp:posOffset>
            </wp:positionV>
            <wp:extent cx="702945" cy="11112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18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60" w:type="dxa"/>
            <w:vAlign w:val="bottom"/>
          </w:tcPr>
          <w:p>
            <w:pPr>
              <w:jc w:val="right"/>
              <w:ind w:right="8"/>
              <w:spacing w:after="0"/>
              <w:rPr>
                <w:sz w:val="20"/>
                <w:szCs w:val="20"/>
                <w:color w:val="auto"/>
              </w:rPr>
            </w:pPr>
            <w:r>
              <w:rPr>
                <w:rFonts w:ascii="Arial" w:cs="Arial" w:eastAsia="Arial" w:hAnsi="Arial"/>
                <w:sz w:val="14"/>
                <w:szCs w:val="14"/>
                <w:color w:val="51555C"/>
              </w:rPr>
              <w:t>107</w:t>
            </w:r>
          </w:p>
        </w:tc>
      </w:tr>
      <w:tr>
        <w:trPr>
          <w:trHeight w:val="285"/>
        </w:trPr>
        <w:tc>
          <w:tcPr>
            <w:tcW w:w="10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09" w:name="page110"/>
    <w:bookmarkEnd w:id="109"/>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APPENDICES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7"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right="20" w:firstLine="656"/>
        <w:spacing w:after="0" w:line="287" w:lineRule="auto"/>
        <w:tabs>
          <w:tab w:leader="none" w:pos="1091" w:val="left"/>
        </w:tabs>
        <w:numPr>
          <w:ilvl w:val="0"/>
          <w:numId w:val="145"/>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Change in Control</w:t>
      </w:r>
      <w:r>
        <w:rPr>
          <w:rFonts w:ascii="Arial" w:cs="Arial" w:eastAsia="Arial" w:hAnsi="Arial"/>
          <w:sz w:val="18"/>
          <w:szCs w:val="18"/>
          <w:color w:val="51555C"/>
        </w:rPr>
        <w:t>” means the occurrence, in a single transaction or in a series of related transactions, of any one or more of the following events:</w:t>
      </w:r>
    </w:p>
    <w:p>
      <w:pPr>
        <w:spacing w:after="0" w:line="98" w:lineRule="exact"/>
        <w:rPr>
          <w:rFonts w:ascii="Arial" w:cs="Arial" w:eastAsia="Arial" w:hAnsi="Arial"/>
          <w:sz w:val="18"/>
          <w:szCs w:val="18"/>
          <w:b w:val="1"/>
          <w:bCs w:val="1"/>
          <w:color w:val="51555C"/>
        </w:rPr>
      </w:pPr>
    </w:p>
    <w:p>
      <w:pPr>
        <w:jc w:val="both"/>
        <w:ind w:firstLine="1304"/>
        <w:spacing w:after="0" w:line="253" w:lineRule="auto"/>
        <w:tabs>
          <w:tab w:leader="none" w:pos="1731" w:val="left"/>
        </w:tabs>
        <w:numPr>
          <w:ilvl w:val="1"/>
          <w:numId w:val="145"/>
        </w:numPr>
        <w:rPr>
          <w:rFonts w:ascii="Arial" w:cs="Arial" w:eastAsia="Arial" w:hAnsi="Arial"/>
          <w:sz w:val="18"/>
          <w:szCs w:val="18"/>
          <w:b w:val="1"/>
          <w:bCs w:val="1"/>
          <w:color w:val="51555C"/>
        </w:rPr>
      </w:pPr>
      <w:r>
        <w:rPr>
          <w:rFonts w:ascii="Arial" w:cs="Arial" w:eastAsia="Arial" w:hAnsi="Arial"/>
          <w:sz w:val="18"/>
          <w:szCs w:val="18"/>
          <w:color w:val="51555C"/>
        </w:rPr>
        <w:t>any Exchange Act Person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by an investor, any affiliate thereof or any other Exchange Act Person from the Company in a transaction or series of related transactions the primary purpose of which is to obtain financing for the Company through the issuance of equity securities or (B) solely because the level of Ownership held by any Exchange Act Person (the “</w:t>
      </w:r>
      <w:r>
        <w:rPr>
          <w:rFonts w:ascii="Arial" w:cs="Arial" w:eastAsia="Arial" w:hAnsi="Arial"/>
          <w:sz w:val="18"/>
          <w:szCs w:val="18"/>
          <w:b w:val="1"/>
          <w:bCs w:val="1"/>
          <w:i w:val="1"/>
          <w:iCs w:val="1"/>
          <w:color w:val="51555C"/>
        </w:rPr>
        <w:t>Subject Person</w:t>
      </w:r>
      <w:r>
        <w:rPr>
          <w:rFonts w:ascii="Arial" w:cs="Arial" w:eastAsia="Arial" w:hAnsi="Arial"/>
          <w:sz w:val="18"/>
          <w:szCs w:val="18"/>
          <w:color w:val="51555C"/>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35" w:lineRule="exact"/>
        <w:rPr>
          <w:rFonts w:ascii="Arial" w:cs="Arial" w:eastAsia="Arial" w:hAnsi="Arial"/>
          <w:sz w:val="18"/>
          <w:szCs w:val="18"/>
          <w:b w:val="1"/>
          <w:bCs w:val="1"/>
          <w:color w:val="51555C"/>
        </w:rPr>
      </w:pPr>
    </w:p>
    <w:p>
      <w:pPr>
        <w:jc w:val="both"/>
        <w:ind w:firstLine="1304"/>
        <w:spacing w:after="0" w:line="256" w:lineRule="auto"/>
        <w:tabs>
          <w:tab w:leader="none" w:pos="1744" w:val="left"/>
        </w:tabs>
        <w:numPr>
          <w:ilvl w:val="1"/>
          <w:numId w:val="145"/>
        </w:numPr>
        <w:rPr>
          <w:rFonts w:ascii="Arial" w:cs="Arial" w:eastAsia="Arial" w:hAnsi="Arial"/>
          <w:sz w:val="18"/>
          <w:szCs w:val="18"/>
          <w:b w:val="1"/>
          <w:bCs w:val="1"/>
          <w:color w:val="51555C"/>
        </w:rPr>
      </w:pPr>
      <w:r>
        <w:rPr>
          <w:rFonts w:ascii="Arial" w:cs="Arial" w:eastAsia="Arial" w:hAnsi="Arial"/>
          <w:sz w:val="18"/>
          <w:szCs w:val="18"/>
          <w:color w:val="51555C"/>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28" w:lineRule="exact"/>
        <w:rPr>
          <w:rFonts w:ascii="Arial" w:cs="Arial" w:eastAsia="Arial" w:hAnsi="Arial"/>
          <w:sz w:val="18"/>
          <w:szCs w:val="18"/>
          <w:b w:val="1"/>
          <w:bCs w:val="1"/>
          <w:color w:val="51555C"/>
        </w:rPr>
      </w:pPr>
    </w:p>
    <w:p>
      <w:pPr>
        <w:jc w:val="both"/>
        <w:ind w:firstLine="1304"/>
        <w:spacing w:after="0" w:line="259" w:lineRule="auto"/>
        <w:tabs>
          <w:tab w:leader="none" w:pos="1790" w:val="left"/>
        </w:tabs>
        <w:numPr>
          <w:ilvl w:val="1"/>
          <w:numId w:val="145"/>
        </w:numPr>
        <w:rPr>
          <w:rFonts w:ascii="Arial" w:cs="Arial" w:eastAsia="Arial" w:hAnsi="Arial"/>
          <w:sz w:val="18"/>
          <w:szCs w:val="18"/>
          <w:b w:val="1"/>
          <w:bCs w:val="1"/>
          <w:color w:val="51555C"/>
        </w:rPr>
      </w:pPr>
      <w:r>
        <w:rPr>
          <w:rFonts w:ascii="Arial" w:cs="Arial" w:eastAsia="Arial" w:hAnsi="Arial"/>
          <w:sz w:val="18"/>
          <w:szCs w:val="18"/>
          <w:color w:val="51555C"/>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relative to each other as their Ownership of the outstanding voting securities of the Company immediately prior to such sale, lease, license or other disposition; or</w:t>
      </w:r>
    </w:p>
    <w:p>
      <w:pPr>
        <w:spacing w:after="0" w:line="125" w:lineRule="exact"/>
        <w:rPr>
          <w:rFonts w:ascii="Arial" w:cs="Arial" w:eastAsia="Arial" w:hAnsi="Arial"/>
          <w:sz w:val="18"/>
          <w:szCs w:val="18"/>
          <w:b w:val="1"/>
          <w:bCs w:val="1"/>
          <w:color w:val="51555C"/>
        </w:rPr>
      </w:pPr>
    </w:p>
    <w:p>
      <w:pPr>
        <w:jc w:val="both"/>
        <w:ind w:firstLine="1304"/>
        <w:spacing w:after="0" w:line="262" w:lineRule="auto"/>
        <w:tabs>
          <w:tab w:leader="none" w:pos="1822" w:val="left"/>
        </w:tabs>
        <w:numPr>
          <w:ilvl w:val="1"/>
          <w:numId w:val="145"/>
        </w:numPr>
        <w:rPr>
          <w:rFonts w:ascii="Arial" w:cs="Arial" w:eastAsia="Arial" w:hAnsi="Arial"/>
          <w:sz w:val="18"/>
          <w:szCs w:val="18"/>
          <w:b w:val="1"/>
          <w:bCs w:val="1"/>
          <w:color w:val="51555C"/>
        </w:rPr>
      </w:pPr>
      <w:r>
        <w:rPr>
          <w:rFonts w:ascii="Arial" w:cs="Arial" w:eastAsia="Arial" w:hAnsi="Arial"/>
          <w:sz w:val="18"/>
          <w:szCs w:val="18"/>
          <w:color w:val="51555C"/>
        </w:rPr>
        <w:t>individuals who, on the date the Plan is adopted by the Board, are members of the Board (the “</w:t>
      </w:r>
      <w:r>
        <w:rPr>
          <w:rFonts w:ascii="Arial" w:cs="Arial" w:eastAsia="Arial" w:hAnsi="Arial"/>
          <w:sz w:val="18"/>
          <w:szCs w:val="18"/>
          <w:b w:val="1"/>
          <w:bCs w:val="1"/>
          <w:i w:val="1"/>
          <w:iCs w:val="1"/>
          <w:color w:val="51555C"/>
        </w:rPr>
        <w:t>Incumbent Board</w:t>
      </w:r>
      <w:r>
        <w:rPr>
          <w:rFonts w:ascii="Arial" w:cs="Arial" w:eastAsia="Arial" w:hAnsi="Arial"/>
          <w:sz w:val="18"/>
          <w:szCs w:val="18"/>
          <w:color w:val="51555C"/>
        </w:rPr>
        <w:t xml:space="preserve">”) cease for any reason to constitute at least a majority of the members of the Board; </w:t>
      </w:r>
      <w:r>
        <w:rPr>
          <w:rFonts w:ascii="Arial" w:cs="Arial" w:eastAsia="Arial" w:hAnsi="Arial"/>
          <w:sz w:val="18"/>
          <w:szCs w:val="18"/>
          <w:i w:val="1"/>
          <w:iCs w:val="1"/>
          <w:color w:val="51555C"/>
        </w:rPr>
        <w:t>provided, however,</w:t>
      </w:r>
      <w:r>
        <w:rPr>
          <w:rFonts w:ascii="Arial" w:cs="Arial" w:eastAsia="Arial" w:hAnsi="Arial"/>
          <w:sz w:val="18"/>
          <w:szCs w:val="18"/>
          <w:color w:val="51555C"/>
        </w:rPr>
        <w:t xml:space="preserve"> that if the appointment or election (or nomination for election) of any new Board member was approved or recommended by a majority vote of the members of the Incumbent Board then still in office, such new member shall, for purposes of the Plan, be considered as a member of the Incumbent Board.</w:t>
      </w:r>
    </w:p>
    <w:p>
      <w:pPr>
        <w:spacing w:after="0" w:line="12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51555C"/>
        </w:rPr>
        <w:t>For avoidance of doubt, the term Change in Control shall not include a sale of assets, merger or other transaction effected exclusively for the purpose of changing the domicile of the Company.</w:t>
      </w:r>
    </w:p>
    <w:p>
      <w:pPr>
        <w:spacing w:after="0" w:line="9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51555C"/>
        </w:rPr>
        <w:t xml:space="preserve">Notwithstanding the foregoing or any other provision of the Plan, the definition of Change in Control (or any analogous term) in an individual written agreement between the Company or any Affiliate and the Participant shall supersede the foregoing definition with respect to Stock Awards subject to such agreement; </w:t>
      </w:r>
      <w:r>
        <w:rPr>
          <w:rFonts w:ascii="Arial" w:cs="Arial" w:eastAsia="Arial" w:hAnsi="Arial"/>
          <w:sz w:val="18"/>
          <w:szCs w:val="18"/>
          <w:i w:val="1"/>
          <w:iCs w:val="1"/>
          <w:color w:val="51555C"/>
        </w:rPr>
        <w:t>provided, however,</w:t>
      </w:r>
      <w:r>
        <w:rPr>
          <w:rFonts w:ascii="Arial" w:cs="Arial" w:eastAsia="Arial" w:hAnsi="Arial"/>
          <w:sz w:val="18"/>
          <w:szCs w:val="18"/>
          <w:color w:val="51555C"/>
        </w:rPr>
        <w:t xml:space="preserve"> that if no definition of Change in Control or any analogous term is set forth in such an individual written agreement, the foregoing definition shall apply.</w:t>
      </w:r>
    </w:p>
    <w:p>
      <w:pPr>
        <w:spacing w:after="0" w:line="1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51555C"/>
        </w:rPr>
        <w:t>The Committee may, in its sole discretion and without a Participant’s consent, amend the definition of “Change in Control” to conform to the definition of “Change in Control” under Section 409A of the Code, and the regulations thereunder. In addition, notwithstanding the foregoing, to the extent necessary to comply with Section 409A of the Code, the foregoing events shall constitute a Change in Control to the extent an Award constitutes or provides nonqualified deferred compensation subject to Section 409A of the Code only if such events also constitute a change in the ownership or effective control of the Company or a change in the ownership of a substantial portion of the assets of the Company within the meaning of Section 409A of the Code.</w:t>
      </w:r>
    </w:p>
    <w:p>
      <w:pPr>
        <w:spacing w:after="0" w:line="128" w:lineRule="exact"/>
        <w:rPr>
          <w:sz w:val="20"/>
          <w:szCs w:val="20"/>
          <w:color w:val="auto"/>
        </w:rPr>
      </w:pPr>
    </w:p>
    <w:p>
      <w:pPr>
        <w:jc w:val="both"/>
        <w:ind w:firstLine="656"/>
        <w:spacing w:after="0" w:line="268" w:lineRule="auto"/>
        <w:tabs>
          <w:tab w:leader="none" w:pos="1085" w:val="left"/>
        </w:tabs>
        <w:numPr>
          <w:ilvl w:val="0"/>
          <w:numId w:val="146"/>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Code</w:t>
      </w:r>
      <w:r>
        <w:rPr>
          <w:rFonts w:ascii="Arial" w:cs="Arial" w:eastAsia="Arial" w:hAnsi="Arial"/>
          <w:sz w:val="18"/>
          <w:szCs w:val="18"/>
          <w:color w:val="51555C"/>
        </w:rPr>
        <w:t>” means the Internal Revenue Code of 1986, as amended. Reference to any section of the Code shall be deemed to include reference to applicable regulations or other authoritative guidance thereunder, and any amendments or successor provisions to such section, regulations or guidance.</w:t>
      </w:r>
    </w:p>
    <w:p>
      <w:pPr>
        <w:spacing w:after="0" w:line="116" w:lineRule="exact"/>
        <w:rPr>
          <w:rFonts w:ascii="Arial" w:cs="Arial" w:eastAsia="Arial" w:hAnsi="Arial"/>
          <w:sz w:val="18"/>
          <w:szCs w:val="18"/>
          <w:b w:val="1"/>
          <w:bCs w:val="1"/>
          <w:color w:val="51555C"/>
        </w:rPr>
      </w:pPr>
    </w:p>
    <w:p>
      <w:pPr>
        <w:ind w:firstLine="656"/>
        <w:spacing w:after="0" w:line="287" w:lineRule="auto"/>
        <w:tabs>
          <w:tab w:leader="none" w:pos="1031" w:val="left"/>
        </w:tabs>
        <w:numPr>
          <w:ilvl w:val="0"/>
          <w:numId w:val="146"/>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Committee</w:t>
      </w:r>
      <w:r>
        <w:rPr>
          <w:rFonts w:ascii="Arial" w:cs="Arial" w:eastAsia="Arial" w:hAnsi="Arial"/>
          <w:sz w:val="18"/>
          <w:szCs w:val="18"/>
          <w:color w:val="51555C"/>
        </w:rPr>
        <w:t>” means (i) the committee appointed by the Board to administer the Plan or (ii) in the absence of such appointment, the Board itself. Notwithstanding the foregoing, to the extent required for Awards to be exempt from</w:t>
      </w:r>
    </w:p>
    <w:p>
      <w:pPr>
        <w:spacing w:after="0" w:line="310" w:lineRule="exact"/>
        <w:rPr>
          <w:sz w:val="20"/>
          <w:szCs w:val="20"/>
          <w:color w:val="auto"/>
        </w:rPr>
      </w:pPr>
    </w:p>
    <w:p>
      <w:pPr>
        <w:ind w:left="100"/>
        <w:spacing w:after="0"/>
        <w:tabs>
          <w:tab w:leader="none" w:pos="514" w:val="left"/>
        </w:tabs>
        <w:rPr>
          <w:sz w:val="20"/>
          <w:szCs w:val="20"/>
          <w:color w:val="auto"/>
        </w:rPr>
      </w:pPr>
      <w:r>
        <w:rPr>
          <w:rFonts w:ascii="Arial" w:cs="Arial" w:eastAsia="Arial" w:hAnsi="Arial"/>
          <w:sz w:val="14"/>
          <w:szCs w:val="14"/>
          <w:color w:val="51555C"/>
        </w:rPr>
        <w:t>108</w:t>
      </w:r>
      <w:r>
        <w:rPr>
          <w:sz w:val="20"/>
          <w:szCs w:val="20"/>
          <w:color w:val="auto"/>
        </w:rPr>
        <w:tab/>
      </w:r>
      <w:r>
        <w:rPr>
          <w:sz w:val="1"/>
          <w:szCs w:val="1"/>
          <w:color w:val="auto"/>
        </w:rPr>
        <w:drawing>
          <wp:inline distT="0" distB="0" distL="0" distR="0">
            <wp:extent cx="702945" cy="111125"/>
            <wp:effectExtent l="0" t="0" r="0" b="0"/>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0" w:name="page111"/>
    <w:bookmarkEnd w:id="110"/>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9440"/>
        <w:spacing w:after="0"/>
        <w:rPr>
          <w:sz w:val="20"/>
          <w:szCs w:val="20"/>
          <w:color w:val="auto"/>
        </w:rPr>
      </w:pPr>
      <w:r>
        <w:rPr>
          <w:rFonts w:ascii="Arial" w:cs="Arial" w:eastAsia="Arial" w:hAnsi="Arial"/>
          <w:sz w:val="18"/>
          <w:szCs w:val="18"/>
          <w:b w:val="1"/>
          <w:bCs w:val="1"/>
          <w:color w:val="51555C"/>
        </w:rPr>
        <w:t>APPENDICES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Section 16 of the Exchange Act pursuant to Rule 16b-3, the Committee shall consist of two or more Directors who are “non-employee directors” within the meaning of such Rule 16b-3, and to the extent required for Performance-Based Compensation Awards to satisfy the Section 162(m) Exception, the Committee shall consist of two or more Outside Directors, as described in Section 2(b)(ii) of the Plan. The Compensation Committee of the Board shall constitute the Committee until otherwise provided by the Board.</w:t>
      </w:r>
    </w:p>
    <w:p>
      <w:pPr>
        <w:spacing w:after="0" w:line="122" w:lineRule="exact"/>
        <w:rPr>
          <w:sz w:val="20"/>
          <w:szCs w:val="20"/>
          <w:color w:val="auto"/>
        </w:rPr>
      </w:pPr>
    </w:p>
    <w:p>
      <w:pPr>
        <w:ind w:left="1080" w:hanging="424"/>
        <w:spacing w:after="0"/>
        <w:tabs>
          <w:tab w:leader="none" w:pos="1080" w:val="left"/>
        </w:tabs>
        <w:numPr>
          <w:ilvl w:val="1"/>
          <w:numId w:val="147"/>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Common Stock</w:t>
      </w:r>
      <w:r>
        <w:rPr>
          <w:rFonts w:ascii="Arial" w:cs="Arial" w:eastAsia="Arial" w:hAnsi="Arial"/>
          <w:sz w:val="18"/>
          <w:szCs w:val="18"/>
          <w:color w:val="51555C"/>
        </w:rPr>
        <w:t>” means the common stock of the Company.</w:t>
      </w:r>
    </w:p>
    <w:p>
      <w:pPr>
        <w:spacing w:after="0" w:line="171" w:lineRule="exact"/>
        <w:rPr>
          <w:rFonts w:ascii="Arial" w:cs="Arial" w:eastAsia="Arial" w:hAnsi="Arial"/>
          <w:sz w:val="18"/>
          <w:szCs w:val="18"/>
          <w:b w:val="1"/>
          <w:bCs w:val="1"/>
          <w:color w:val="51555C"/>
        </w:rPr>
      </w:pPr>
    </w:p>
    <w:p>
      <w:pPr>
        <w:ind w:left="1020" w:hanging="364"/>
        <w:spacing w:after="0"/>
        <w:tabs>
          <w:tab w:leader="none" w:pos="1020" w:val="left"/>
        </w:tabs>
        <w:numPr>
          <w:ilvl w:val="1"/>
          <w:numId w:val="147"/>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Company</w:t>
      </w:r>
      <w:r>
        <w:rPr>
          <w:rFonts w:ascii="Arial" w:cs="Arial" w:eastAsia="Arial" w:hAnsi="Arial"/>
          <w:sz w:val="18"/>
          <w:szCs w:val="18"/>
          <w:color w:val="51555C"/>
        </w:rPr>
        <w:t>” means Blackbaud, Inc., a Delaware corporation.</w:t>
      </w:r>
    </w:p>
    <w:p>
      <w:pPr>
        <w:spacing w:after="0" w:line="171" w:lineRule="exact"/>
        <w:rPr>
          <w:rFonts w:ascii="Arial" w:cs="Arial" w:eastAsia="Arial" w:hAnsi="Arial"/>
          <w:sz w:val="18"/>
          <w:szCs w:val="18"/>
          <w:b w:val="1"/>
          <w:bCs w:val="1"/>
          <w:color w:val="51555C"/>
        </w:rPr>
      </w:pPr>
    </w:p>
    <w:p>
      <w:pPr>
        <w:jc w:val="both"/>
        <w:ind w:firstLine="656"/>
        <w:spacing w:after="0" w:line="262" w:lineRule="auto"/>
        <w:tabs>
          <w:tab w:leader="none" w:pos="1155" w:val="left"/>
        </w:tabs>
        <w:numPr>
          <w:ilvl w:val="1"/>
          <w:numId w:val="147"/>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Consultant</w:t>
      </w:r>
      <w:r>
        <w:rPr>
          <w:rFonts w:ascii="Arial" w:cs="Arial" w:eastAsia="Arial" w:hAnsi="Arial"/>
          <w:sz w:val="18"/>
          <w:szCs w:val="18"/>
          <w:color w:val="51555C"/>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shall not cause a Director to be considered a “Consultant” for purposes of the Plan.</w:t>
      </w:r>
    </w:p>
    <w:p>
      <w:pPr>
        <w:spacing w:after="0" w:line="122" w:lineRule="exact"/>
        <w:rPr>
          <w:rFonts w:ascii="Arial" w:cs="Arial" w:eastAsia="Arial" w:hAnsi="Arial"/>
          <w:sz w:val="18"/>
          <w:szCs w:val="18"/>
          <w:b w:val="1"/>
          <w:bCs w:val="1"/>
          <w:color w:val="51555C"/>
        </w:rPr>
      </w:pPr>
    </w:p>
    <w:p>
      <w:pPr>
        <w:jc w:val="both"/>
        <w:ind w:firstLine="656"/>
        <w:spacing w:after="0" w:line="252" w:lineRule="auto"/>
        <w:tabs>
          <w:tab w:leader="none" w:pos="1078" w:val="left"/>
        </w:tabs>
        <w:numPr>
          <w:ilvl w:val="1"/>
          <w:numId w:val="147"/>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Continuous Service</w:t>
      </w:r>
      <w:r>
        <w:rPr>
          <w:rFonts w:ascii="Arial" w:cs="Arial" w:eastAsia="Arial" w:hAnsi="Arial"/>
          <w:sz w:val="18"/>
          <w:szCs w:val="18"/>
          <w:color w:val="51555C"/>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shall not terminate a Participant’s Continuous Service; </w:t>
      </w:r>
      <w:r>
        <w:rPr>
          <w:rFonts w:ascii="Arial" w:cs="Arial" w:eastAsia="Arial" w:hAnsi="Arial"/>
          <w:sz w:val="18"/>
          <w:szCs w:val="18"/>
          <w:i w:val="1"/>
          <w:iCs w:val="1"/>
          <w:color w:val="51555C"/>
        </w:rPr>
        <w:t>provided, however</w:t>
      </w:r>
      <w:r>
        <w:rPr>
          <w:rFonts w:ascii="Arial" w:cs="Arial" w:eastAsia="Arial" w:hAnsi="Arial"/>
          <w:sz w:val="18"/>
          <w:szCs w:val="18"/>
          <w:color w:val="51555C"/>
        </w:rPr>
        <w:t>, if the Entity for which a Participant is rendering services ceases to qualify as an “Affiliate,” as determined by the Committee in its sole discretion, such Participant’s Continuous Service shall be considered to have terminated on the date such Entity ceases to qualify as an Affiliate. The Committee or the chief executive officer of the Company, in that party’s sole discretion but subject to applicable law, may determine whether Continuous Service shall be considered interrupted in the case of: (i) any leave of absence approved by the Committee or the chief executive officer of the Company, including sick leave, military leave or any other personal leave; or</w:t>
      </w:r>
    </w:p>
    <w:p>
      <w:pPr>
        <w:spacing w:after="0" w:line="6" w:lineRule="exact"/>
        <w:rPr>
          <w:rFonts w:ascii="Arial" w:cs="Arial" w:eastAsia="Arial" w:hAnsi="Arial"/>
          <w:sz w:val="18"/>
          <w:szCs w:val="18"/>
          <w:b w:val="1"/>
          <w:bCs w:val="1"/>
          <w:color w:val="51555C"/>
        </w:rPr>
      </w:pPr>
    </w:p>
    <w:p>
      <w:pPr>
        <w:jc w:val="both"/>
        <w:ind w:firstLine="8"/>
        <w:spacing w:after="0" w:line="258" w:lineRule="auto"/>
        <w:tabs>
          <w:tab w:leader="none" w:pos="263" w:val="left"/>
        </w:tabs>
        <w:numPr>
          <w:ilvl w:val="0"/>
          <w:numId w:val="148"/>
        </w:numPr>
        <w:rPr>
          <w:rFonts w:ascii="Arial" w:cs="Arial" w:eastAsia="Arial" w:hAnsi="Arial"/>
          <w:sz w:val="18"/>
          <w:szCs w:val="18"/>
          <w:color w:val="51555C"/>
        </w:rPr>
      </w:pPr>
      <w:r>
        <w:rPr>
          <w:rFonts w:ascii="Arial" w:cs="Arial" w:eastAsia="Arial" w:hAnsi="Arial"/>
          <w:sz w:val="18"/>
          <w:szCs w:val="18"/>
          <w:color w:val="51555C"/>
        </w:rPr>
        <w:t>transfers between the Company, an Affiliate, or their successors. Notwithstanding the foregoing, a leave of absence shall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spacing w:after="0" w:line="124" w:lineRule="exact"/>
        <w:rPr>
          <w:rFonts w:ascii="Arial" w:cs="Arial" w:eastAsia="Arial" w:hAnsi="Arial"/>
          <w:sz w:val="18"/>
          <w:szCs w:val="18"/>
          <w:color w:val="51555C"/>
        </w:rPr>
      </w:pPr>
    </w:p>
    <w:p>
      <w:pPr>
        <w:ind w:left="1080" w:hanging="424"/>
        <w:spacing w:after="0"/>
        <w:tabs>
          <w:tab w:leader="none" w:pos="1080" w:val="left"/>
        </w:tabs>
        <w:numPr>
          <w:ilvl w:val="1"/>
          <w:numId w:val="148"/>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Covered Employee</w:t>
      </w:r>
      <w:r>
        <w:rPr>
          <w:rFonts w:ascii="Arial" w:cs="Arial" w:eastAsia="Arial" w:hAnsi="Arial"/>
          <w:sz w:val="18"/>
          <w:szCs w:val="18"/>
          <w:color w:val="51555C"/>
        </w:rPr>
        <w:t>” shall have the meaning ascribed thereto under the Section 162 Exception.</w:t>
      </w:r>
    </w:p>
    <w:p>
      <w:pPr>
        <w:spacing w:after="0" w:line="171" w:lineRule="exact"/>
        <w:rPr>
          <w:rFonts w:ascii="Arial" w:cs="Arial" w:eastAsia="Arial" w:hAnsi="Arial"/>
          <w:sz w:val="18"/>
          <w:szCs w:val="18"/>
          <w:b w:val="1"/>
          <w:bCs w:val="1"/>
          <w:color w:val="51555C"/>
        </w:rPr>
      </w:pPr>
    </w:p>
    <w:p>
      <w:pPr>
        <w:ind w:left="1080" w:hanging="424"/>
        <w:spacing w:after="0"/>
        <w:tabs>
          <w:tab w:leader="none" w:pos="1080" w:val="left"/>
        </w:tabs>
        <w:numPr>
          <w:ilvl w:val="1"/>
          <w:numId w:val="148"/>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Director</w:t>
      </w:r>
      <w:r>
        <w:rPr>
          <w:rFonts w:ascii="Arial" w:cs="Arial" w:eastAsia="Arial" w:hAnsi="Arial"/>
          <w:sz w:val="18"/>
          <w:szCs w:val="18"/>
          <w:color w:val="51555C"/>
        </w:rPr>
        <w:t>” means a member of the Board.</w:t>
      </w:r>
    </w:p>
    <w:p>
      <w:pPr>
        <w:spacing w:after="0" w:line="171" w:lineRule="exact"/>
        <w:rPr>
          <w:rFonts w:ascii="Arial" w:cs="Arial" w:eastAsia="Arial" w:hAnsi="Arial"/>
          <w:sz w:val="18"/>
          <w:szCs w:val="18"/>
          <w:b w:val="1"/>
          <w:bCs w:val="1"/>
          <w:color w:val="51555C"/>
        </w:rPr>
      </w:pPr>
    </w:p>
    <w:p>
      <w:pPr>
        <w:jc w:val="both"/>
        <w:ind w:firstLine="656"/>
        <w:spacing w:after="0" w:line="268" w:lineRule="auto"/>
        <w:tabs>
          <w:tab w:leader="none" w:pos="1091" w:val="left"/>
        </w:tabs>
        <w:numPr>
          <w:ilvl w:val="1"/>
          <w:numId w:val="148"/>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Disability</w:t>
      </w:r>
      <w:r>
        <w:rPr>
          <w:rFonts w:ascii="Arial" w:cs="Arial" w:eastAsia="Arial" w:hAnsi="Arial"/>
          <w:sz w:val="18"/>
          <w:szCs w:val="18"/>
          <w:color w:val="51555C"/>
        </w:rPr>
        <w:t>” means, with respect to a Participant, the inability of such Participant to engage in any substantial gainful activity by reason of any medically determinable physical or mental impairment which can be expected to result in death or can be expected to last for a continuous period of not less than twelve (12) months, as provided in Sections 22(e)(3) and 409A(a)(2)(c)(i) of the Code.</w:t>
      </w:r>
    </w:p>
    <w:p>
      <w:pPr>
        <w:spacing w:after="0" w:line="116" w:lineRule="exact"/>
        <w:rPr>
          <w:rFonts w:ascii="Arial" w:cs="Arial" w:eastAsia="Arial" w:hAnsi="Arial"/>
          <w:sz w:val="18"/>
          <w:szCs w:val="18"/>
          <w:b w:val="1"/>
          <w:bCs w:val="1"/>
          <w:color w:val="51555C"/>
        </w:rPr>
      </w:pPr>
    </w:p>
    <w:p>
      <w:pPr>
        <w:ind w:left="1040" w:hanging="384"/>
        <w:spacing w:after="0"/>
        <w:tabs>
          <w:tab w:leader="none" w:pos="1040" w:val="left"/>
        </w:tabs>
        <w:numPr>
          <w:ilvl w:val="1"/>
          <w:numId w:val="148"/>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Effective Date</w:t>
      </w:r>
      <w:r>
        <w:rPr>
          <w:rFonts w:ascii="Arial" w:cs="Arial" w:eastAsia="Arial" w:hAnsi="Arial"/>
          <w:sz w:val="18"/>
          <w:szCs w:val="18"/>
          <w:color w:val="51555C"/>
        </w:rPr>
        <w:t>” means the date the Plan was first approved by the stockholders of the Company.</w:t>
      </w:r>
    </w:p>
    <w:p>
      <w:pPr>
        <w:spacing w:after="0" w:line="171" w:lineRule="exact"/>
        <w:rPr>
          <w:rFonts w:ascii="Arial" w:cs="Arial" w:eastAsia="Arial" w:hAnsi="Arial"/>
          <w:sz w:val="18"/>
          <w:szCs w:val="18"/>
          <w:b w:val="1"/>
          <w:bCs w:val="1"/>
          <w:color w:val="51555C"/>
        </w:rPr>
      </w:pPr>
    </w:p>
    <w:p>
      <w:pPr>
        <w:ind w:firstLine="656"/>
        <w:spacing w:after="0" w:line="287" w:lineRule="auto"/>
        <w:tabs>
          <w:tab w:leader="none" w:pos="1081" w:val="left"/>
        </w:tabs>
        <w:numPr>
          <w:ilvl w:val="1"/>
          <w:numId w:val="148"/>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Employee</w:t>
      </w:r>
      <w:r>
        <w:rPr>
          <w:rFonts w:ascii="Arial" w:cs="Arial" w:eastAsia="Arial" w:hAnsi="Arial"/>
          <w:sz w:val="18"/>
          <w:szCs w:val="18"/>
          <w:color w:val="51555C"/>
        </w:rPr>
        <w:t>” means any person employed by the Company or an Affiliate. However, service solely as a Director, or payment of a fee for such services, shall not cause a Director to be considered an “Employee” for purposes of the Plan.</w:t>
      </w:r>
    </w:p>
    <w:p>
      <w:pPr>
        <w:spacing w:after="0" w:line="98" w:lineRule="exact"/>
        <w:rPr>
          <w:rFonts w:ascii="Arial" w:cs="Arial" w:eastAsia="Arial" w:hAnsi="Arial"/>
          <w:sz w:val="18"/>
          <w:szCs w:val="18"/>
          <w:b w:val="1"/>
          <w:bCs w:val="1"/>
          <w:color w:val="51555C"/>
        </w:rPr>
      </w:pPr>
    </w:p>
    <w:p>
      <w:pPr>
        <w:ind w:left="1040" w:hanging="384"/>
        <w:spacing w:after="0"/>
        <w:tabs>
          <w:tab w:leader="none" w:pos="1040" w:val="left"/>
        </w:tabs>
        <w:numPr>
          <w:ilvl w:val="1"/>
          <w:numId w:val="148"/>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Entity</w:t>
      </w:r>
      <w:r>
        <w:rPr>
          <w:rFonts w:ascii="Arial" w:cs="Arial" w:eastAsia="Arial" w:hAnsi="Arial"/>
          <w:sz w:val="18"/>
          <w:szCs w:val="18"/>
          <w:color w:val="51555C"/>
        </w:rPr>
        <w:t>” means a corporation, partnership, limited liability company or other entity.</w:t>
      </w:r>
    </w:p>
    <w:p>
      <w:pPr>
        <w:spacing w:after="0" w:line="171" w:lineRule="exact"/>
        <w:rPr>
          <w:rFonts w:ascii="Arial" w:cs="Arial" w:eastAsia="Arial" w:hAnsi="Arial"/>
          <w:sz w:val="18"/>
          <w:szCs w:val="18"/>
          <w:b w:val="1"/>
          <w:bCs w:val="1"/>
          <w:color w:val="51555C"/>
        </w:rPr>
      </w:pPr>
    </w:p>
    <w:p>
      <w:pPr>
        <w:jc w:val="both"/>
        <w:ind w:firstLine="656"/>
        <w:spacing w:after="0" w:line="268" w:lineRule="auto"/>
        <w:tabs>
          <w:tab w:leader="none" w:pos="1118" w:val="left"/>
        </w:tabs>
        <w:numPr>
          <w:ilvl w:val="1"/>
          <w:numId w:val="148"/>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Exchange Act</w:t>
      </w:r>
      <w:r>
        <w:rPr>
          <w:rFonts w:ascii="Arial" w:cs="Arial" w:eastAsia="Arial" w:hAnsi="Arial"/>
          <w:sz w:val="18"/>
          <w:szCs w:val="18"/>
          <w:color w:val="51555C"/>
        </w:rPr>
        <w:t>” means the Securities Exchange Act of 1934, as amended. Reference to any section of (or rule promulgated under) the Exchange Act shall be deemed to include reference to applicable rules, regulations or other authoritative guidance thereunder, and any amendments or successor provisions to such section, rules, regulations and guidance.</w:t>
      </w:r>
    </w:p>
    <w:p>
      <w:pPr>
        <w:spacing w:after="0" w:line="116" w:lineRule="exact"/>
        <w:rPr>
          <w:rFonts w:ascii="Arial" w:cs="Arial" w:eastAsia="Arial" w:hAnsi="Arial"/>
          <w:sz w:val="18"/>
          <w:szCs w:val="18"/>
          <w:b w:val="1"/>
          <w:bCs w:val="1"/>
          <w:color w:val="51555C"/>
        </w:rPr>
      </w:pPr>
    </w:p>
    <w:p>
      <w:pPr>
        <w:jc w:val="both"/>
        <w:ind w:firstLine="656"/>
        <w:spacing w:after="0" w:line="255" w:lineRule="auto"/>
        <w:tabs>
          <w:tab w:leader="none" w:pos="1162" w:val="left"/>
        </w:tabs>
        <w:numPr>
          <w:ilvl w:val="1"/>
          <w:numId w:val="148"/>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Exchange Act Person</w:t>
      </w:r>
      <w:r>
        <w:rPr>
          <w:rFonts w:ascii="Arial" w:cs="Arial" w:eastAsia="Arial" w:hAnsi="Arial"/>
          <w:sz w:val="18"/>
          <w:szCs w:val="18"/>
          <w:color w:val="51555C"/>
        </w:rPr>
        <w:t>” 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an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223520</wp:posOffset>
            </wp:positionV>
            <wp:extent cx="702945" cy="11112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18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60" w:type="dxa"/>
            <w:vAlign w:val="bottom"/>
          </w:tcPr>
          <w:p>
            <w:pPr>
              <w:jc w:val="right"/>
              <w:ind w:right="8"/>
              <w:spacing w:after="0"/>
              <w:rPr>
                <w:sz w:val="20"/>
                <w:szCs w:val="20"/>
                <w:color w:val="auto"/>
              </w:rPr>
            </w:pPr>
            <w:r>
              <w:rPr>
                <w:rFonts w:ascii="Arial" w:cs="Arial" w:eastAsia="Arial" w:hAnsi="Arial"/>
                <w:sz w:val="14"/>
                <w:szCs w:val="14"/>
                <w:color w:val="51555C"/>
              </w:rPr>
              <w:t>109</w:t>
            </w:r>
          </w:p>
        </w:tc>
      </w:tr>
      <w:tr>
        <w:trPr>
          <w:trHeight w:val="285"/>
        </w:trPr>
        <w:tc>
          <w:tcPr>
            <w:tcW w:w="10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11" w:name="page112"/>
    <w:bookmarkEnd w:id="111"/>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8"/>
          <w:szCs w:val="18"/>
          <w:b w:val="1"/>
          <w:bCs w:val="1"/>
          <w:color w:val="51555C"/>
        </w:rPr>
        <w:t>APPENDICES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120" w:hanging="464"/>
        <w:spacing w:after="0"/>
        <w:tabs>
          <w:tab w:leader="none" w:pos="1120" w:val="left"/>
        </w:tabs>
        <w:numPr>
          <w:ilvl w:val="0"/>
          <w:numId w:val="149"/>
        </w:numPr>
        <w:rPr>
          <w:rFonts w:ascii="Arial" w:cs="Arial" w:eastAsia="Arial" w:hAnsi="Arial"/>
          <w:sz w:val="17"/>
          <w:szCs w:val="17"/>
          <w:b w:val="1"/>
          <w:bCs w:val="1"/>
          <w:color w:val="51555C"/>
        </w:rPr>
      </w:pPr>
      <w:r>
        <w:rPr>
          <w:rFonts w:ascii="Arial" w:cs="Arial" w:eastAsia="Arial" w:hAnsi="Arial"/>
          <w:sz w:val="17"/>
          <w:szCs w:val="17"/>
          <w:color w:val="51555C"/>
        </w:rPr>
        <w:t>“</w:t>
      </w:r>
      <w:r>
        <w:rPr>
          <w:rFonts w:ascii="Arial" w:cs="Arial" w:eastAsia="Arial" w:hAnsi="Arial"/>
          <w:sz w:val="17"/>
          <w:szCs w:val="17"/>
          <w:b w:val="1"/>
          <w:bCs w:val="1"/>
          <w:i w:val="1"/>
          <w:iCs w:val="1"/>
          <w:color w:val="51555C"/>
        </w:rPr>
        <w:t>Fair Market Value</w:t>
      </w:r>
      <w:r>
        <w:rPr>
          <w:rFonts w:ascii="Arial" w:cs="Arial" w:eastAsia="Arial" w:hAnsi="Arial"/>
          <w:sz w:val="17"/>
          <w:szCs w:val="17"/>
          <w:color w:val="51555C"/>
        </w:rPr>
        <w:t>” means, as of any date, the value of the Common Stock determined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1319" w:lineRule="exact"/>
        <w:rPr>
          <w:sz w:val="20"/>
          <w:szCs w:val="20"/>
          <w:color w:val="auto"/>
        </w:rPr>
      </w:pPr>
    </w:p>
    <w:p>
      <w:pPr>
        <w:sectPr>
          <w:pgSz w:w="11900" w:h="16838" w:orient="portrait"/>
          <w:cols w:equalWidth="0" w:num="2">
            <w:col w:w="9440" w:space="720"/>
            <w:col w:w="1080"/>
          </w:cols>
          <w:pgMar w:left="320" w:top="337" w:right="339" w:bottom="1440" w:gutter="0" w:footer="0" w:header="0"/>
        </w:sectPr>
      </w:pPr>
    </w:p>
    <w:p>
      <w:pPr>
        <w:jc w:val="both"/>
        <w:ind w:firstLine="1304"/>
        <w:spacing w:after="0" w:line="259" w:lineRule="auto"/>
        <w:tabs>
          <w:tab w:leader="none" w:pos="1693" w:val="left"/>
        </w:tabs>
        <w:numPr>
          <w:ilvl w:val="1"/>
          <w:numId w:val="150"/>
        </w:numPr>
        <w:rPr>
          <w:rFonts w:ascii="Arial" w:cs="Arial" w:eastAsia="Arial" w:hAnsi="Arial"/>
          <w:sz w:val="18"/>
          <w:szCs w:val="18"/>
          <w:b w:val="1"/>
          <w:bCs w:val="1"/>
          <w:color w:val="51555C"/>
        </w:rPr>
      </w:pPr>
      <w:r>
        <w:rPr>
          <w:rFonts w:ascii="Arial" w:cs="Arial" w:eastAsia="Arial" w:hAnsi="Arial"/>
          <w:sz w:val="18"/>
          <w:szCs w:val="18"/>
          <w:color w:val="51555C"/>
        </w:rPr>
        <w:t xml:space="preserve">If the Common Stock is listed on any established stock exchange or traded on the Nasdaq Global Select Market or the Nasdaq Global Market, the Fair Market Value of a share of Common Stock shall be the closing sales price for such stock as quoted on such exchange (or the exchange or market with the greatest volume of trading in the Common Stock) on the date of determination, as reported in </w:t>
      </w:r>
      <w:r>
        <w:rPr>
          <w:rFonts w:ascii="Arial" w:cs="Arial" w:eastAsia="Arial" w:hAnsi="Arial"/>
          <w:sz w:val="18"/>
          <w:szCs w:val="18"/>
          <w:i w:val="1"/>
          <w:iCs w:val="1"/>
          <w:color w:val="51555C"/>
        </w:rPr>
        <w:t xml:space="preserve">The Wall Street Journal </w:t>
      </w:r>
      <w:r>
        <w:rPr>
          <w:rFonts w:ascii="Arial" w:cs="Arial" w:eastAsia="Arial" w:hAnsi="Arial"/>
          <w:sz w:val="18"/>
          <w:szCs w:val="18"/>
          <w:color w:val="51555C"/>
        </w:rPr>
        <w:t>or such other source as the Committee deems reliable, or, if there is no such sale on the relevant date, then on the</w:t>
      </w:r>
      <w:r>
        <w:rPr>
          <w:rFonts w:ascii="Arial" w:cs="Arial" w:eastAsia="Arial" w:hAnsi="Arial"/>
          <w:sz w:val="18"/>
          <w:szCs w:val="18"/>
          <w:i w:val="1"/>
          <w:iCs w:val="1"/>
          <w:color w:val="51555C"/>
        </w:rPr>
        <w:t xml:space="preserve"> </w:t>
      </w:r>
      <w:r>
        <w:rPr>
          <w:rFonts w:ascii="Arial" w:cs="Arial" w:eastAsia="Arial" w:hAnsi="Arial"/>
          <w:sz w:val="18"/>
          <w:szCs w:val="18"/>
          <w:color w:val="51555C"/>
        </w:rPr>
        <w:t>last previous day on which a sale was reported.</w:t>
      </w:r>
    </w:p>
    <w:p>
      <w:pPr>
        <w:spacing w:after="0" w:line="125" w:lineRule="exact"/>
        <w:rPr>
          <w:rFonts w:ascii="Arial" w:cs="Arial" w:eastAsia="Arial" w:hAnsi="Arial"/>
          <w:sz w:val="18"/>
          <w:szCs w:val="18"/>
          <w:b w:val="1"/>
          <w:bCs w:val="1"/>
          <w:color w:val="51555C"/>
        </w:rPr>
      </w:pPr>
    </w:p>
    <w:p>
      <w:pPr>
        <w:jc w:val="both"/>
        <w:ind w:firstLine="1304"/>
        <w:spacing w:after="0" w:line="268" w:lineRule="auto"/>
        <w:tabs>
          <w:tab w:leader="none" w:pos="1732" w:val="left"/>
        </w:tabs>
        <w:numPr>
          <w:ilvl w:val="1"/>
          <w:numId w:val="150"/>
        </w:numPr>
        <w:rPr>
          <w:rFonts w:ascii="Arial" w:cs="Arial" w:eastAsia="Arial" w:hAnsi="Arial"/>
          <w:sz w:val="18"/>
          <w:szCs w:val="18"/>
          <w:b w:val="1"/>
          <w:bCs w:val="1"/>
          <w:color w:val="51555C"/>
        </w:rPr>
      </w:pPr>
      <w:r>
        <w:rPr>
          <w:rFonts w:ascii="Arial" w:cs="Arial" w:eastAsia="Arial" w:hAnsi="Arial"/>
          <w:sz w:val="18"/>
          <w:szCs w:val="18"/>
          <w:color w:val="51555C"/>
        </w:rPr>
        <w:t>In the absence of such markets for the Common Stock, the Fair Market Value shall be determined by the Committee in good faith and, with respect to an Option or Stock Appreciation Right intended to be exempt from Section 409A of the Code, in a manner that complies with Section 409A of the Code.</w:t>
      </w:r>
    </w:p>
    <w:p>
      <w:pPr>
        <w:spacing w:after="0" w:line="116" w:lineRule="exact"/>
        <w:rPr>
          <w:rFonts w:ascii="Arial" w:cs="Arial" w:eastAsia="Arial" w:hAnsi="Arial"/>
          <w:sz w:val="18"/>
          <w:szCs w:val="18"/>
          <w:b w:val="1"/>
          <w:bCs w:val="1"/>
          <w:color w:val="51555C"/>
        </w:rPr>
      </w:pPr>
    </w:p>
    <w:p>
      <w:pPr>
        <w:ind w:left="1080" w:hanging="424"/>
        <w:spacing w:after="0"/>
        <w:tabs>
          <w:tab w:leader="none" w:pos="1080" w:val="left"/>
        </w:tabs>
        <w:numPr>
          <w:ilvl w:val="0"/>
          <w:numId w:val="151"/>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Incentive Stock Option</w:t>
      </w:r>
      <w:r>
        <w:rPr>
          <w:rFonts w:ascii="Arial" w:cs="Arial" w:eastAsia="Arial" w:hAnsi="Arial"/>
          <w:sz w:val="18"/>
          <w:szCs w:val="18"/>
          <w:color w:val="51555C"/>
        </w:rPr>
        <w:t>” means an Option which qualifies as an “incentive stock option” within the meaning of Section 422 of</w:t>
      </w:r>
    </w:p>
    <w:p>
      <w:pPr>
        <w:spacing w:after="0" w:line="27" w:lineRule="exact"/>
        <w:rPr>
          <w:rFonts w:ascii="Arial" w:cs="Arial" w:eastAsia="Arial" w:hAnsi="Arial"/>
          <w:sz w:val="18"/>
          <w:szCs w:val="18"/>
          <w:b w:val="1"/>
          <w:bCs w:val="1"/>
          <w:color w:val="51555C"/>
        </w:rPr>
      </w:pPr>
    </w:p>
    <w:p>
      <w:pPr>
        <w:spacing w:after="0"/>
        <w:rPr>
          <w:rFonts w:ascii="Arial" w:cs="Arial" w:eastAsia="Arial" w:hAnsi="Arial"/>
          <w:sz w:val="18"/>
          <w:szCs w:val="18"/>
          <w:b w:val="1"/>
          <w:bCs w:val="1"/>
          <w:color w:val="51555C"/>
        </w:rPr>
      </w:pPr>
      <w:r>
        <w:rPr>
          <w:rFonts w:ascii="Arial" w:cs="Arial" w:eastAsia="Arial" w:hAnsi="Arial"/>
          <w:sz w:val="18"/>
          <w:szCs w:val="18"/>
          <w:color w:val="51555C"/>
        </w:rPr>
        <w:t>the Code.</w:t>
      </w:r>
    </w:p>
    <w:p>
      <w:pPr>
        <w:spacing w:after="0" w:line="153" w:lineRule="exact"/>
        <w:rPr>
          <w:rFonts w:ascii="Arial" w:cs="Arial" w:eastAsia="Arial" w:hAnsi="Arial"/>
          <w:sz w:val="18"/>
          <w:szCs w:val="18"/>
          <w:b w:val="1"/>
          <w:bCs w:val="1"/>
          <w:color w:val="51555C"/>
        </w:rPr>
      </w:pPr>
    </w:p>
    <w:p>
      <w:pPr>
        <w:jc w:val="both"/>
        <w:ind w:firstLine="656"/>
        <w:spacing w:after="0" w:line="257" w:lineRule="auto"/>
        <w:tabs>
          <w:tab w:leader="none" w:pos="1108" w:val="left"/>
        </w:tabs>
        <w:numPr>
          <w:ilvl w:val="0"/>
          <w:numId w:val="151"/>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Non-Employee Director</w:t>
      </w:r>
      <w:r>
        <w:rPr>
          <w:rFonts w:ascii="Arial" w:cs="Arial" w:eastAsia="Arial" w:hAnsi="Arial"/>
          <w:sz w:val="18"/>
          <w:szCs w:val="18"/>
          <w:color w:val="51555C"/>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8"/>
          <w:szCs w:val="18"/>
          <w:b w:val="1"/>
          <w:bCs w:val="1"/>
          <w:i w:val="1"/>
          <w:iCs w:val="1"/>
          <w:color w:val="51555C"/>
        </w:rPr>
        <w:t>Regulation S-K</w:t>
      </w:r>
      <w:r>
        <w:rPr>
          <w:rFonts w:ascii="Arial" w:cs="Arial" w:eastAsia="Arial" w:hAnsi="Arial"/>
          <w:sz w:val="18"/>
          <w:szCs w:val="18"/>
          <w:color w:val="51555C"/>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28" w:lineRule="exact"/>
        <w:rPr>
          <w:rFonts w:ascii="Arial" w:cs="Arial" w:eastAsia="Arial" w:hAnsi="Arial"/>
          <w:sz w:val="18"/>
          <w:szCs w:val="18"/>
          <w:b w:val="1"/>
          <w:bCs w:val="1"/>
          <w:color w:val="51555C"/>
        </w:rPr>
      </w:pPr>
    </w:p>
    <w:p>
      <w:pPr>
        <w:ind w:left="1060" w:hanging="404"/>
        <w:spacing w:after="0"/>
        <w:tabs>
          <w:tab w:leader="none" w:pos="1060" w:val="left"/>
        </w:tabs>
        <w:numPr>
          <w:ilvl w:val="0"/>
          <w:numId w:val="151"/>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Nonstatutory Stock Option</w:t>
      </w:r>
      <w:r>
        <w:rPr>
          <w:rFonts w:ascii="Arial" w:cs="Arial" w:eastAsia="Arial" w:hAnsi="Arial"/>
          <w:sz w:val="18"/>
          <w:szCs w:val="18"/>
          <w:color w:val="51555C"/>
        </w:rPr>
        <w:t>” means an Option that does not qualify as an Incentive Stock Option.</w:t>
      </w:r>
    </w:p>
    <w:p>
      <w:pPr>
        <w:spacing w:after="0" w:line="171" w:lineRule="exact"/>
        <w:rPr>
          <w:sz w:val="20"/>
          <w:szCs w:val="20"/>
          <w:color w:val="auto"/>
        </w:rPr>
      </w:pPr>
    </w:p>
    <w:p>
      <w:pPr>
        <w:ind w:left="1180" w:hanging="524"/>
        <w:spacing w:after="0"/>
        <w:tabs>
          <w:tab w:leader="none" w:pos="1180" w:val="left"/>
        </w:tabs>
        <w:numPr>
          <w:ilvl w:val="1"/>
          <w:numId w:val="152"/>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Officer</w:t>
      </w:r>
      <w:r>
        <w:rPr>
          <w:rFonts w:ascii="Arial" w:cs="Arial" w:eastAsia="Arial" w:hAnsi="Arial"/>
          <w:sz w:val="18"/>
          <w:szCs w:val="18"/>
          <w:color w:val="51555C"/>
        </w:rPr>
        <w:t>” means a person who is an officer of the Company within the meaning of Section 16 of the Exchange Act.</w:t>
      </w:r>
    </w:p>
    <w:p>
      <w:pPr>
        <w:spacing w:after="0" w:line="171" w:lineRule="exact"/>
        <w:rPr>
          <w:rFonts w:ascii="Arial" w:cs="Arial" w:eastAsia="Arial" w:hAnsi="Arial"/>
          <w:sz w:val="18"/>
          <w:szCs w:val="18"/>
          <w:b w:val="1"/>
          <w:bCs w:val="1"/>
          <w:color w:val="51555C"/>
        </w:rPr>
      </w:pPr>
    </w:p>
    <w:p>
      <w:pPr>
        <w:ind w:firstLine="656"/>
        <w:spacing w:after="0" w:line="287" w:lineRule="auto"/>
        <w:tabs>
          <w:tab w:leader="none" w:pos="1255" w:val="left"/>
        </w:tabs>
        <w:numPr>
          <w:ilvl w:val="1"/>
          <w:numId w:val="152"/>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Option</w:t>
      </w:r>
      <w:r>
        <w:rPr>
          <w:rFonts w:ascii="Arial" w:cs="Arial" w:eastAsia="Arial" w:hAnsi="Arial"/>
          <w:sz w:val="18"/>
          <w:szCs w:val="18"/>
          <w:color w:val="51555C"/>
        </w:rPr>
        <w:t>” means an Incentive Stock Option or a Nonstatutory Stock Option to purchase shares of Common Stock granted pursuant to the Plan.</w:t>
      </w:r>
    </w:p>
    <w:p>
      <w:pPr>
        <w:spacing w:after="0" w:line="98" w:lineRule="exact"/>
        <w:rPr>
          <w:rFonts w:ascii="Arial" w:cs="Arial" w:eastAsia="Arial" w:hAnsi="Arial"/>
          <w:sz w:val="18"/>
          <w:szCs w:val="18"/>
          <w:b w:val="1"/>
          <w:bCs w:val="1"/>
          <w:color w:val="51555C"/>
        </w:rPr>
      </w:pPr>
    </w:p>
    <w:p>
      <w:pPr>
        <w:ind w:firstLine="656"/>
        <w:spacing w:after="0" w:line="287" w:lineRule="auto"/>
        <w:tabs>
          <w:tab w:leader="none" w:pos="1276" w:val="left"/>
        </w:tabs>
        <w:numPr>
          <w:ilvl w:val="1"/>
          <w:numId w:val="152"/>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Option Agreement</w:t>
      </w:r>
      <w:r>
        <w:rPr>
          <w:rFonts w:ascii="Arial" w:cs="Arial" w:eastAsia="Arial" w:hAnsi="Arial"/>
          <w:sz w:val="18"/>
          <w:szCs w:val="18"/>
          <w:color w:val="51555C"/>
        </w:rPr>
        <w:t>” means a written agreement between the Company and an Optionholder evidencing the terms and conditions of an Option grant. Each Option Agreement shall be subject to the terms and conditions of the Plan.</w:t>
      </w:r>
    </w:p>
    <w:p>
      <w:pPr>
        <w:spacing w:after="0" w:line="98" w:lineRule="exact"/>
        <w:rPr>
          <w:rFonts w:ascii="Arial" w:cs="Arial" w:eastAsia="Arial" w:hAnsi="Arial"/>
          <w:sz w:val="18"/>
          <w:szCs w:val="18"/>
          <w:b w:val="1"/>
          <w:bCs w:val="1"/>
          <w:color w:val="51555C"/>
        </w:rPr>
      </w:pPr>
    </w:p>
    <w:p>
      <w:pPr>
        <w:ind w:firstLine="656"/>
        <w:spacing w:after="0" w:line="287" w:lineRule="auto"/>
        <w:tabs>
          <w:tab w:leader="none" w:pos="1215" w:val="left"/>
        </w:tabs>
        <w:numPr>
          <w:ilvl w:val="1"/>
          <w:numId w:val="152"/>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Optionholder</w:t>
      </w:r>
      <w:r>
        <w:rPr>
          <w:rFonts w:ascii="Arial" w:cs="Arial" w:eastAsia="Arial" w:hAnsi="Arial"/>
          <w:sz w:val="18"/>
          <w:szCs w:val="18"/>
          <w:color w:val="51555C"/>
        </w:rPr>
        <w:t>” means a person to whom an Option is granted pursuant to the Plan or, if applicable, such other person who holds an outstanding Option.</w:t>
      </w:r>
    </w:p>
    <w:p>
      <w:pPr>
        <w:spacing w:after="0" w:line="98" w:lineRule="exact"/>
        <w:rPr>
          <w:rFonts w:ascii="Arial" w:cs="Arial" w:eastAsia="Arial" w:hAnsi="Arial"/>
          <w:sz w:val="18"/>
          <w:szCs w:val="18"/>
          <w:b w:val="1"/>
          <w:bCs w:val="1"/>
          <w:color w:val="51555C"/>
        </w:rPr>
      </w:pPr>
    </w:p>
    <w:p>
      <w:pPr>
        <w:ind w:firstLine="656"/>
        <w:spacing w:after="0" w:line="287" w:lineRule="auto"/>
        <w:tabs>
          <w:tab w:leader="none" w:pos="1168" w:val="left"/>
        </w:tabs>
        <w:numPr>
          <w:ilvl w:val="1"/>
          <w:numId w:val="152"/>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Other Stock Award</w:t>
      </w:r>
      <w:r>
        <w:rPr>
          <w:rFonts w:ascii="Arial" w:cs="Arial" w:eastAsia="Arial" w:hAnsi="Arial"/>
          <w:sz w:val="18"/>
          <w:szCs w:val="18"/>
          <w:color w:val="51555C"/>
        </w:rPr>
        <w:t>” means an award based in whole or in part by reference to the Common Stock which is granted pursuant to the terms and conditions of Section 6(c).</w:t>
      </w:r>
    </w:p>
    <w:p>
      <w:pPr>
        <w:spacing w:after="0" w:line="98" w:lineRule="exact"/>
        <w:rPr>
          <w:rFonts w:ascii="Arial" w:cs="Arial" w:eastAsia="Arial" w:hAnsi="Arial"/>
          <w:sz w:val="18"/>
          <w:szCs w:val="18"/>
          <w:b w:val="1"/>
          <w:bCs w:val="1"/>
          <w:color w:val="51555C"/>
        </w:rPr>
      </w:pPr>
    </w:p>
    <w:p>
      <w:pPr>
        <w:jc w:val="both"/>
        <w:ind w:firstLine="656"/>
        <w:spacing w:after="0" w:line="257" w:lineRule="auto"/>
        <w:tabs>
          <w:tab w:leader="none" w:pos="1169" w:val="left"/>
        </w:tabs>
        <w:numPr>
          <w:ilvl w:val="1"/>
          <w:numId w:val="152"/>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Outside Director</w:t>
      </w:r>
      <w:r>
        <w:rPr>
          <w:rFonts w:ascii="Arial" w:cs="Arial" w:eastAsia="Arial" w:hAnsi="Arial"/>
          <w:sz w:val="18"/>
          <w:szCs w:val="18"/>
          <w:color w:val="51555C"/>
        </w:rPr>
        <w:t>” means a Director who either (i) is not a current employee of the Company or an “affiliated corporation” (within the meaning of the Section 162(m) Exception), is not a former employee of the Company or an “affiliated corporation” who receives compensation for prior services (other than benefits under a tax-qualified retirement plan) during the taxable year, has not been an officer of the Company or an “affiliated corporation,” and does not receive remuneration from the Company or an “affiliated corporation,” either directly or indirectly, in any capacity other than as a Director, or (ii) is otherwise considered an “outside director” within the meaning of the Section 162(m) Exception.</w:t>
      </w:r>
    </w:p>
    <w:p>
      <w:pPr>
        <w:spacing w:after="0" w:line="128" w:lineRule="exact"/>
        <w:rPr>
          <w:rFonts w:ascii="Arial" w:cs="Arial" w:eastAsia="Arial" w:hAnsi="Arial"/>
          <w:sz w:val="18"/>
          <w:szCs w:val="18"/>
          <w:b w:val="1"/>
          <w:bCs w:val="1"/>
          <w:color w:val="51555C"/>
        </w:rPr>
      </w:pPr>
    </w:p>
    <w:p>
      <w:pPr>
        <w:jc w:val="both"/>
        <w:ind w:firstLine="656"/>
        <w:spacing w:after="0" w:line="262" w:lineRule="auto"/>
        <w:tabs>
          <w:tab w:leader="none" w:pos="1228" w:val="left"/>
        </w:tabs>
        <w:numPr>
          <w:ilvl w:val="1"/>
          <w:numId w:val="152"/>
        </w:numPr>
        <w:rPr>
          <w:rFonts w:ascii="Arial" w:cs="Arial" w:eastAsia="Arial" w:hAnsi="Arial"/>
          <w:sz w:val="18"/>
          <w:szCs w:val="18"/>
          <w:b w:val="1"/>
          <w:bCs w:val="1"/>
          <w:color w:val="51555C"/>
        </w:rPr>
      </w:pPr>
      <w:r>
        <w:rPr>
          <w:rFonts w:ascii="Arial" w:cs="Arial" w:eastAsia="Arial" w:hAnsi="Arial"/>
          <w:sz w:val="18"/>
          <w:szCs w:val="18"/>
          <w:b w:val="1"/>
          <w:bCs w:val="1"/>
          <w:color w:val="51555C"/>
        </w:rPr>
        <w:t>“</w:t>
      </w:r>
      <w:r>
        <w:rPr>
          <w:rFonts w:ascii="Arial" w:cs="Arial" w:eastAsia="Arial" w:hAnsi="Arial"/>
          <w:sz w:val="18"/>
          <w:szCs w:val="18"/>
          <w:b w:val="1"/>
          <w:bCs w:val="1"/>
          <w:i w:val="1"/>
          <w:iCs w:val="1"/>
          <w:color w:val="51555C"/>
        </w:rPr>
        <w:t>Own</w:t>
      </w:r>
      <w:r>
        <w:rPr>
          <w:rFonts w:ascii="Arial" w:cs="Arial" w:eastAsia="Arial" w:hAnsi="Arial"/>
          <w:sz w:val="18"/>
          <w:szCs w:val="18"/>
          <w:color w:val="51555C"/>
        </w:rPr>
        <w:t>,” “</w:t>
      </w:r>
      <w:r>
        <w:rPr>
          <w:rFonts w:ascii="Arial" w:cs="Arial" w:eastAsia="Arial" w:hAnsi="Arial"/>
          <w:sz w:val="18"/>
          <w:szCs w:val="18"/>
          <w:b w:val="1"/>
          <w:bCs w:val="1"/>
          <w:i w:val="1"/>
          <w:iCs w:val="1"/>
          <w:color w:val="51555C"/>
        </w:rPr>
        <w:t>Owned</w:t>
      </w:r>
      <w:r>
        <w:rPr>
          <w:rFonts w:ascii="Arial" w:cs="Arial" w:eastAsia="Arial" w:hAnsi="Arial"/>
          <w:sz w:val="18"/>
          <w:szCs w:val="18"/>
          <w:color w:val="51555C"/>
        </w:rPr>
        <w:t>,” “</w:t>
      </w:r>
      <w:r>
        <w:rPr>
          <w:rFonts w:ascii="Arial" w:cs="Arial" w:eastAsia="Arial" w:hAnsi="Arial"/>
          <w:sz w:val="18"/>
          <w:szCs w:val="18"/>
          <w:b w:val="1"/>
          <w:bCs w:val="1"/>
          <w:i w:val="1"/>
          <w:iCs w:val="1"/>
          <w:color w:val="51555C"/>
        </w:rPr>
        <w:t>Owner</w:t>
      </w:r>
      <w:r>
        <w:rPr>
          <w:rFonts w:ascii="Arial" w:cs="Arial" w:eastAsia="Arial" w:hAnsi="Arial"/>
          <w:sz w:val="18"/>
          <w:szCs w:val="18"/>
          <w:color w:val="51555C"/>
        </w:rPr>
        <w:t>,” “</w:t>
      </w:r>
      <w:r>
        <w:rPr>
          <w:rFonts w:ascii="Arial" w:cs="Arial" w:eastAsia="Arial" w:hAnsi="Arial"/>
          <w:sz w:val="18"/>
          <w:szCs w:val="18"/>
          <w:b w:val="1"/>
          <w:bCs w:val="1"/>
          <w:i w:val="1"/>
          <w:iCs w:val="1"/>
          <w:color w:val="51555C"/>
        </w:rPr>
        <w:t>Ownership</w:t>
      </w:r>
      <w:r>
        <w:rPr>
          <w:rFonts w:ascii="Arial" w:cs="Arial" w:eastAsia="Arial" w:hAnsi="Arial"/>
          <w:sz w:val="18"/>
          <w:szCs w:val="18"/>
          <w:color w:val="51555C"/>
        </w:rPr>
        <w:t>” A person or Entity shall be deemed to “Own,” to have “Owned,” to be the “Owner”</w:t>
      </w:r>
      <w:r>
        <w:rPr>
          <w:rFonts w:ascii="Arial" w:cs="Arial" w:eastAsia="Arial" w:hAnsi="Arial"/>
          <w:sz w:val="18"/>
          <w:szCs w:val="18"/>
          <w:b w:val="1"/>
          <w:bCs w:val="1"/>
          <w:color w:val="51555C"/>
        </w:rPr>
        <w:t xml:space="preserve"> </w:t>
      </w:r>
      <w:r>
        <w:rPr>
          <w:rFonts w:ascii="Arial" w:cs="Arial" w:eastAsia="Arial" w:hAnsi="Arial"/>
          <w:sz w:val="18"/>
          <w:szCs w:val="18"/>
          <w:color w:val="51555C"/>
        </w:rPr>
        <w:t>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22" w:lineRule="exact"/>
        <w:rPr>
          <w:rFonts w:ascii="Arial" w:cs="Arial" w:eastAsia="Arial" w:hAnsi="Arial"/>
          <w:sz w:val="18"/>
          <w:szCs w:val="18"/>
          <w:b w:val="1"/>
          <w:bCs w:val="1"/>
          <w:color w:val="51555C"/>
        </w:rPr>
      </w:pPr>
    </w:p>
    <w:p>
      <w:pPr>
        <w:ind w:right="20" w:firstLine="656"/>
        <w:spacing w:after="0" w:line="287" w:lineRule="auto"/>
        <w:tabs>
          <w:tab w:leader="none" w:pos="1323" w:val="left"/>
        </w:tabs>
        <w:numPr>
          <w:ilvl w:val="1"/>
          <w:numId w:val="152"/>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Participant</w:t>
      </w:r>
      <w:r>
        <w:rPr>
          <w:rFonts w:ascii="Arial" w:cs="Arial" w:eastAsia="Arial" w:hAnsi="Arial"/>
          <w:sz w:val="18"/>
          <w:szCs w:val="18"/>
          <w:color w:val="51555C"/>
        </w:rPr>
        <w:t>” means a person to whom a Cash Incentive Award or Stock Award is granted pursuant to the Plan or, if applicable, such other person who holds an outstanding Stock Award.</w:t>
      </w:r>
    </w:p>
    <w:p>
      <w:pPr>
        <w:spacing w:after="0" w:line="98" w:lineRule="exact"/>
        <w:rPr>
          <w:rFonts w:ascii="Arial" w:cs="Arial" w:eastAsia="Arial" w:hAnsi="Arial"/>
          <w:sz w:val="18"/>
          <w:szCs w:val="18"/>
          <w:b w:val="1"/>
          <w:bCs w:val="1"/>
          <w:color w:val="51555C"/>
        </w:rPr>
      </w:pPr>
    </w:p>
    <w:p>
      <w:pPr>
        <w:ind w:right="20" w:firstLine="656"/>
        <w:spacing w:after="0" w:line="287" w:lineRule="auto"/>
        <w:tabs>
          <w:tab w:leader="none" w:pos="1135" w:val="left"/>
        </w:tabs>
        <w:numPr>
          <w:ilvl w:val="1"/>
          <w:numId w:val="152"/>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Performance-Based Compensation Award</w:t>
      </w:r>
      <w:r>
        <w:rPr>
          <w:rFonts w:ascii="Arial" w:cs="Arial" w:eastAsia="Arial" w:hAnsi="Arial"/>
          <w:sz w:val="18"/>
          <w:szCs w:val="18"/>
          <w:color w:val="51555C"/>
        </w:rPr>
        <w:t>” means a Performance Stock Award, a Cash Incentive Award or Other Stock Award that is intended to satisfy the Section 162(m) Exception.</w:t>
      </w:r>
    </w:p>
    <w:p>
      <w:pPr>
        <w:spacing w:after="0" w:line="98" w:lineRule="exact"/>
        <w:rPr>
          <w:rFonts w:ascii="Arial" w:cs="Arial" w:eastAsia="Arial" w:hAnsi="Arial"/>
          <w:sz w:val="18"/>
          <w:szCs w:val="18"/>
          <w:b w:val="1"/>
          <w:bCs w:val="1"/>
          <w:color w:val="51555C"/>
        </w:rPr>
      </w:pPr>
    </w:p>
    <w:p>
      <w:pPr>
        <w:jc w:val="both"/>
        <w:ind w:firstLine="656"/>
        <w:spacing w:after="0" w:line="257" w:lineRule="auto"/>
        <w:tabs>
          <w:tab w:leader="none" w:pos="1189" w:val="left"/>
        </w:tabs>
        <w:numPr>
          <w:ilvl w:val="1"/>
          <w:numId w:val="152"/>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Performance Criteria</w:t>
      </w:r>
      <w:r>
        <w:rPr>
          <w:rFonts w:ascii="Arial" w:cs="Arial" w:eastAsia="Arial" w:hAnsi="Arial"/>
          <w:sz w:val="18"/>
          <w:szCs w:val="18"/>
          <w:color w:val="51555C"/>
        </w:rPr>
        <w:t>” means the one or more criteria that the Committee shall select for purposes of establishing the Performance Goals for a Performance Period. The Performance Criteria that shall be used to establish such Performance Goals may be based on any one of, or combination of, the following: (i) earnings per share; (ii) earnings before interest, taxes and depreciation;</w:t>
      </w:r>
    </w:p>
    <w:p>
      <w:pPr>
        <w:spacing w:after="0" w:line="1" w:lineRule="exact"/>
        <w:rPr>
          <w:rFonts w:ascii="Arial" w:cs="Arial" w:eastAsia="Arial" w:hAnsi="Arial"/>
          <w:sz w:val="18"/>
          <w:szCs w:val="18"/>
          <w:b w:val="1"/>
          <w:bCs w:val="1"/>
          <w:color w:val="51555C"/>
        </w:rPr>
      </w:pPr>
    </w:p>
    <w:p>
      <w:pPr>
        <w:ind w:left="300" w:hanging="292"/>
        <w:spacing w:after="0"/>
        <w:tabs>
          <w:tab w:leader="none" w:pos="300" w:val="left"/>
        </w:tabs>
        <w:numPr>
          <w:ilvl w:val="0"/>
          <w:numId w:val="153"/>
        </w:numPr>
        <w:rPr>
          <w:rFonts w:ascii="Arial" w:cs="Arial" w:eastAsia="Arial" w:hAnsi="Arial"/>
          <w:sz w:val="18"/>
          <w:szCs w:val="18"/>
          <w:color w:val="51555C"/>
        </w:rPr>
      </w:pPr>
      <w:r>
        <w:rPr>
          <w:rFonts w:ascii="Arial" w:cs="Arial" w:eastAsia="Arial" w:hAnsi="Arial"/>
          <w:sz w:val="18"/>
          <w:szCs w:val="18"/>
          <w:color w:val="51555C"/>
        </w:rPr>
        <w:t>earnings before interest, taxes, depreciation and amortization (EBITDA); (iv) total</w:t>
      </w:r>
    </w:p>
    <w:p>
      <w:pPr>
        <w:spacing w:after="0" w:line="364" w:lineRule="exact"/>
        <w:rPr>
          <w:sz w:val="20"/>
          <w:szCs w:val="20"/>
          <w:color w:val="auto"/>
        </w:rPr>
      </w:pPr>
    </w:p>
    <w:p>
      <w:pPr>
        <w:ind w:left="100"/>
        <w:spacing w:after="0"/>
        <w:tabs>
          <w:tab w:leader="none" w:pos="514" w:val="left"/>
        </w:tabs>
        <w:rPr>
          <w:sz w:val="20"/>
          <w:szCs w:val="20"/>
          <w:color w:val="auto"/>
        </w:rPr>
      </w:pPr>
      <w:r>
        <w:rPr>
          <w:rFonts w:ascii="Arial" w:cs="Arial" w:eastAsia="Arial" w:hAnsi="Arial"/>
          <w:sz w:val="14"/>
          <w:szCs w:val="14"/>
          <w:color w:val="51555C"/>
        </w:rPr>
        <w:t>110</w:t>
      </w:r>
      <w:r>
        <w:rPr>
          <w:sz w:val="20"/>
          <w:szCs w:val="20"/>
          <w:color w:val="auto"/>
        </w:rPr>
        <w:tab/>
      </w:r>
      <w:r>
        <w:rPr>
          <w:sz w:val="1"/>
          <w:szCs w:val="1"/>
          <w:color w:val="auto"/>
        </w:rPr>
        <w:drawing>
          <wp:inline distT="0" distB="0" distL="0" distR="0">
            <wp:extent cx="702945" cy="111125"/>
            <wp:effectExtent l="0" t="0" r="0" b="0"/>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2" w:name="page113"/>
    <w:bookmarkEnd w:id="112"/>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9440"/>
        <w:spacing w:after="0"/>
        <w:rPr>
          <w:sz w:val="20"/>
          <w:szCs w:val="20"/>
          <w:color w:val="auto"/>
        </w:rPr>
      </w:pPr>
      <w:r>
        <w:rPr>
          <w:rFonts w:ascii="Arial" w:cs="Arial" w:eastAsia="Arial" w:hAnsi="Arial"/>
          <w:sz w:val="18"/>
          <w:szCs w:val="18"/>
          <w:b w:val="1"/>
          <w:bCs w:val="1"/>
          <w:color w:val="51555C"/>
        </w:rPr>
        <w:t>APPENDICES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51555C"/>
        </w:rPr>
        <w:t>stockholder return; (v) return on equity; (vi) return on assets, investment, or capital employed; (vii) operating margin; (viii) gross margin;</w:t>
      </w:r>
    </w:p>
    <w:p>
      <w:pPr>
        <w:spacing w:after="0" w:line="27" w:lineRule="exact"/>
        <w:rPr>
          <w:sz w:val="20"/>
          <w:szCs w:val="20"/>
          <w:color w:val="auto"/>
        </w:rPr>
      </w:pPr>
    </w:p>
    <w:p>
      <w:pPr>
        <w:jc w:val="both"/>
        <w:ind w:firstLine="8"/>
        <w:spacing w:after="0" w:line="250" w:lineRule="auto"/>
        <w:tabs>
          <w:tab w:leader="none" w:pos="312" w:val="left"/>
        </w:tabs>
        <w:numPr>
          <w:ilvl w:val="0"/>
          <w:numId w:val="154"/>
        </w:numPr>
        <w:rPr>
          <w:rFonts w:ascii="Arial" w:cs="Arial" w:eastAsia="Arial" w:hAnsi="Arial"/>
          <w:sz w:val="18"/>
          <w:szCs w:val="18"/>
          <w:color w:val="51555C"/>
        </w:rPr>
      </w:pPr>
      <w:r>
        <w:rPr>
          <w:rFonts w:ascii="Arial" w:cs="Arial" w:eastAsia="Arial" w:hAnsi="Arial"/>
          <w:sz w:val="18"/>
          <w:szCs w:val="18"/>
          <w:color w:val="51555C"/>
        </w:rPr>
        <w:t>operating income; (x) net income (before or after taxes); (xi) net operating income; (xii) net operating income after tax; (xiii) pre- and/or after-tax income; (xiv) pre-tax profit; (xv) operating cash flow; (xvi) sales or revenue targets; (xvii) orders and revenue; (xviii) increases in revenue or product revenue; (xix) expenses and cost reduction goals; (xx) improvement in or attainment of expense levels; (xxi) improvement in or attainment of working capital levels; (xxii) economic value added (or an equivalent metric); (xxiii) market share; (xxiv) cash flow;</w:t>
      </w:r>
    </w:p>
    <w:p>
      <w:pPr>
        <w:spacing w:after="0" w:line="1" w:lineRule="exact"/>
        <w:rPr>
          <w:rFonts w:ascii="Arial" w:cs="Arial" w:eastAsia="Arial" w:hAnsi="Arial"/>
          <w:sz w:val="18"/>
          <w:szCs w:val="18"/>
          <w:color w:val="51555C"/>
        </w:rPr>
      </w:pPr>
    </w:p>
    <w:p>
      <w:pPr>
        <w:jc w:val="both"/>
        <w:ind w:firstLine="8"/>
        <w:spacing w:after="0" w:line="251" w:lineRule="auto"/>
        <w:tabs>
          <w:tab w:leader="none" w:pos="486" w:val="left"/>
        </w:tabs>
        <w:numPr>
          <w:ilvl w:val="0"/>
          <w:numId w:val="155"/>
        </w:numPr>
        <w:rPr>
          <w:rFonts w:ascii="Arial" w:cs="Arial" w:eastAsia="Arial" w:hAnsi="Arial"/>
          <w:sz w:val="18"/>
          <w:szCs w:val="18"/>
          <w:color w:val="51555C"/>
        </w:rPr>
      </w:pPr>
      <w:r>
        <w:rPr>
          <w:rFonts w:ascii="Arial" w:cs="Arial" w:eastAsia="Arial" w:hAnsi="Arial"/>
          <w:sz w:val="18"/>
          <w:szCs w:val="18"/>
          <w:color w:val="51555C"/>
        </w:rPr>
        <w:t>cash flow per share; (xxvi) share price performance; (xxvii) debt reduction, (xxviii) implementation or completion of projects or processes; (xxix) customer satisfaction; (xxx) stockholders’ equity; (xxxi) quality measures; and (xxxii) to the extent that a Stock Award or Cash Incentive Award is not intended to constitute a Performance-Based Compensation Award, other measures of performance selected by the Committee. In addition, to the extent consistent with the Section 162(m) Exception, Performance Criteria may be based upon other strategic business criteria, such as negotiating transactions or sales, attaining specified long-term business goals or strategic plans, negotiating significant corporate transactions, meeting specified market penetration goals, productivity measures, geographic business expansion goals, cost targets, employee satisfaction goals, goals relating to merger synergies, management of employment practices and employee benefits, or supervision of litigation and information technology, and goals relating to acquisitions or divestitures of subsidiaries and/or other affiliates or joint ventures; provided however, that the measurement of any such Performance Criteria must be objectively determinable. Partial achievement of the specified Performance Criteria may result in the payment or vesting corresponding to the degree of achievement as specified in the Stock Award Agreement or terms of the Cash Incentive Award. The foregoing Performance Criteria shall have any reasonable definitions that the Committee may specify and the Committee shall have the authority to define the manner of calculating the Performance Criteria it selects to use for a Performance Period.</w:t>
      </w:r>
    </w:p>
    <w:p>
      <w:pPr>
        <w:spacing w:after="0" w:line="137" w:lineRule="exact"/>
        <w:rPr>
          <w:rFonts w:ascii="Arial" w:cs="Arial" w:eastAsia="Arial" w:hAnsi="Arial"/>
          <w:sz w:val="18"/>
          <w:szCs w:val="18"/>
          <w:color w:val="51555C"/>
        </w:rPr>
      </w:pPr>
    </w:p>
    <w:p>
      <w:pPr>
        <w:jc w:val="both"/>
        <w:ind w:firstLine="656"/>
        <w:spacing w:after="0" w:line="251" w:lineRule="auto"/>
        <w:tabs>
          <w:tab w:leader="none" w:pos="1303" w:val="left"/>
        </w:tabs>
        <w:numPr>
          <w:ilvl w:val="1"/>
          <w:numId w:val="155"/>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Performance Goals</w:t>
      </w:r>
      <w:r>
        <w:rPr>
          <w:rFonts w:ascii="Arial" w:cs="Arial" w:eastAsia="Arial" w:hAnsi="Arial"/>
          <w:sz w:val="18"/>
          <w:szCs w:val="18"/>
          <w:color w:val="51555C"/>
        </w:rPr>
        <w:t>” means, for a Performance Period, the one or more goals established by the Committee for the Performance Period based upon the satisfaction of one or more Performance Criteria. Any one or more of the Performance Criteria may be stated within a Performance Goal as a percentage of another Performance Criteria, or a percentage of a prior period’s Performance Criteria, or used on an absolute, relative or adjusted basis to measure the performance of the Company and/or one or more of its Affiliates as a whole or with respect to one or more business units, business segments, divisions, operational units, product lines, brands, administrative departments of the Company and/or one or more of its Affiliates or any combination thereof, as the Committee may deem appropriate. Performance Goals also may measure Performance Criteria in either absolute terms or relative to a pre-established target, to performance in previous years, to the performance of one or more selected comparison companies or the performance of one or more relevant stock market or other indices, or in percentages or in terms of growth over time, as the Committee, in its sole discretion, deems appropriate. When applicable, Performance Goals also may be expressed by reference to the Participant’s individual performance with respect to a Performance Criteria. Performance Goals need not be based upon an increase or positive result under a Performance Criteria and could include, for example, maintaining the status quo or the limitation of economic losses (measured in such case by reference to the Performance Criteria). In connection with establishing Performance Goals, the Committee is authorized, in its sole discretion, to provide for automatic adjustments (in measures of achievement, amounts payable, or other award terms) to reflect objectively determinable events that may affect Performance Criteria, including but not limited to (i) asset write-downs; (ii) litigation or claim judgments or settlements; (iii) the effect of changes in tax laws, corporate tax rates, accounting principles, or other laws or regulatory rules affecting reported results; (iv) any reorganization and restructuring programs; (v) events of an “unusual nature” or of a type that indicates “infrequency of occurrence,” both as described in Accounting Standards Codification Topic 225-20 (or any successor pronouncement thereto) and/or in management’s discussion and analysis of financial condition and results of operations appearing in the Company’s annual report to stockholders for the applicable year;</w:t>
      </w:r>
    </w:p>
    <w:p>
      <w:pPr>
        <w:spacing w:after="0" w:line="9" w:lineRule="exact"/>
        <w:rPr>
          <w:rFonts w:ascii="Arial" w:cs="Arial" w:eastAsia="Arial" w:hAnsi="Arial"/>
          <w:sz w:val="18"/>
          <w:szCs w:val="18"/>
          <w:b w:val="1"/>
          <w:bCs w:val="1"/>
          <w:color w:val="51555C"/>
        </w:rPr>
      </w:pPr>
    </w:p>
    <w:p>
      <w:pPr>
        <w:jc w:val="both"/>
        <w:ind w:firstLine="8"/>
        <w:spacing w:after="0" w:line="252" w:lineRule="auto"/>
        <w:tabs>
          <w:tab w:leader="none" w:pos="324" w:val="left"/>
        </w:tabs>
        <w:numPr>
          <w:ilvl w:val="0"/>
          <w:numId w:val="156"/>
        </w:numPr>
        <w:rPr>
          <w:rFonts w:ascii="Arial" w:cs="Arial" w:eastAsia="Arial" w:hAnsi="Arial"/>
          <w:sz w:val="18"/>
          <w:szCs w:val="18"/>
          <w:color w:val="51555C"/>
        </w:rPr>
      </w:pPr>
      <w:r>
        <w:rPr>
          <w:rFonts w:ascii="Arial" w:cs="Arial" w:eastAsia="Arial" w:hAnsi="Arial"/>
          <w:sz w:val="18"/>
          <w:szCs w:val="18"/>
          <w:color w:val="51555C"/>
        </w:rPr>
        <w:t>acquisitions or divestitures; (vii) any other specific unusual or nonrecurring events, or objectively determinable category thereof; (viii) exchange rate effects, as applicable, for non-U.S. dollar denominated net sales and operating earnings; (ix) foreign exchange gains and losses; (x) discontinued operations and nonrecurring charges; and (xi) a change in the Company’s fiscal year, with any such adjustment to be established and administered in a manner consistent with the requirements under the Section 162(m) Exception for Performance-Based Compensation Awards. Performance Goals (and the underlying Performance Criteria) must be objectively determinable (i.e., such that a third party with knowledge of the relevant facts could determine whether the Performance Goals have been met). In the event that applicable tax and/or securities laws change to allow the Committee the discretion to alter the governing Performance Goals for Performance-Based Compensation Awards without obtaining stockholder approval of such alterations, the Committee shall have sole discretion to make such alterations without obtaining stockholder approval.</w:t>
      </w:r>
    </w:p>
    <w:p>
      <w:pPr>
        <w:spacing w:after="0" w:line="132" w:lineRule="exact"/>
        <w:rPr>
          <w:rFonts w:ascii="Arial" w:cs="Arial" w:eastAsia="Arial" w:hAnsi="Arial"/>
          <w:sz w:val="18"/>
          <w:szCs w:val="18"/>
          <w:color w:val="51555C"/>
        </w:rPr>
      </w:pPr>
    </w:p>
    <w:p>
      <w:pPr>
        <w:jc w:val="both"/>
        <w:ind w:firstLine="656"/>
        <w:spacing w:after="0" w:line="268" w:lineRule="auto"/>
        <w:tabs>
          <w:tab w:leader="none" w:pos="1216" w:val="left"/>
        </w:tabs>
        <w:numPr>
          <w:ilvl w:val="1"/>
          <w:numId w:val="156"/>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Performance Period</w:t>
      </w:r>
      <w:r>
        <w:rPr>
          <w:rFonts w:ascii="Arial" w:cs="Arial" w:eastAsia="Arial" w:hAnsi="Arial"/>
          <w:sz w:val="18"/>
          <w:szCs w:val="18"/>
          <w:color w:val="51555C"/>
        </w:rPr>
        <w:t>” means one or more periods of time, which may be of varying and overlapping duration, as the Committee may select, over which the attainment of one or more Performance Goals will be measured for the purpose of determining a Participant’s right to and/or the payment of a Performance Stock Award or a Cash Incentive Award.</w:t>
      </w:r>
    </w:p>
    <w:p>
      <w:pPr>
        <w:spacing w:after="0" w:line="116" w:lineRule="exact"/>
        <w:rPr>
          <w:rFonts w:ascii="Arial" w:cs="Arial" w:eastAsia="Arial" w:hAnsi="Arial"/>
          <w:sz w:val="18"/>
          <w:szCs w:val="18"/>
          <w:b w:val="1"/>
          <w:bCs w:val="1"/>
          <w:color w:val="51555C"/>
        </w:rPr>
      </w:pPr>
    </w:p>
    <w:p>
      <w:pPr>
        <w:ind w:left="1300" w:hanging="644"/>
        <w:spacing w:after="0"/>
        <w:tabs>
          <w:tab w:leader="none" w:pos="1300" w:val="left"/>
        </w:tabs>
        <w:numPr>
          <w:ilvl w:val="1"/>
          <w:numId w:val="156"/>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Performance Stock Award</w:t>
      </w:r>
      <w:r>
        <w:rPr>
          <w:rFonts w:ascii="Arial" w:cs="Arial" w:eastAsia="Arial" w:hAnsi="Arial"/>
          <w:sz w:val="18"/>
          <w:szCs w:val="18"/>
          <w:color w:val="51555C"/>
        </w:rPr>
        <w:t>” means a Stock Award as described in Section 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248920</wp:posOffset>
            </wp:positionV>
            <wp:extent cx="702945" cy="11112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18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60" w:type="dxa"/>
            <w:vAlign w:val="bottom"/>
          </w:tcPr>
          <w:p>
            <w:pPr>
              <w:jc w:val="right"/>
              <w:ind w:right="28"/>
              <w:spacing w:after="0"/>
              <w:rPr>
                <w:sz w:val="20"/>
                <w:szCs w:val="20"/>
                <w:color w:val="auto"/>
              </w:rPr>
            </w:pPr>
            <w:r>
              <w:rPr>
                <w:rFonts w:ascii="Arial" w:cs="Arial" w:eastAsia="Arial" w:hAnsi="Arial"/>
                <w:sz w:val="14"/>
                <w:szCs w:val="14"/>
                <w:color w:val="51555C"/>
              </w:rPr>
              <w:t>111</w:t>
            </w:r>
          </w:p>
        </w:tc>
      </w:tr>
      <w:tr>
        <w:trPr>
          <w:trHeight w:val="285"/>
        </w:trPr>
        <w:tc>
          <w:tcPr>
            <w:tcW w:w="10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13" w:name="page114"/>
    <w:bookmarkEnd w:id="113"/>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51555C"/>
        </w:rPr>
        <w:t>APPENDICES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7A04DD"/>
        </w:rPr>
        <w:t>Table of Contents</w:t>
      </w:r>
    </w:p>
    <w:p>
      <w:pPr>
        <w:spacing w:after="0" w:line="351" w:lineRule="exact"/>
        <w:rPr>
          <w:sz w:val="20"/>
          <w:szCs w:val="20"/>
          <w:color w:val="auto"/>
        </w:rPr>
      </w:pPr>
    </w:p>
    <w:p>
      <w:pPr>
        <w:sectPr>
          <w:pgSz w:w="11900" w:h="16838" w:orient="portrait"/>
          <w:cols w:equalWidth="0" w:num="2">
            <w:col w:w="9440" w:space="720"/>
            <w:col w:w="1080"/>
          </w:cols>
          <w:pgMar w:left="320" w:top="337"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1200" w:hanging="544"/>
        <w:spacing w:after="0"/>
        <w:tabs>
          <w:tab w:leader="none" w:pos="1200" w:val="left"/>
        </w:tabs>
        <w:numPr>
          <w:ilvl w:val="0"/>
          <w:numId w:val="157"/>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Plan</w:t>
      </w:r>
      <w:r>
        <w:rPr>
          <w:rFonts w:ascii="Arial" w:cs="Arial" w:eastAsia="Arial" w:hAnsi="Arial"/>
          <w:sz w:val="18"/>
          <w:szCs w:val="18"/>
          <w:color w:val="51555C"/>
        </w:rPr>
        <w:t>” means this Blackbaud, Inc. 2016 Equity and Incentive Compensation Plan, as amended from time to time.</w:t>
      </w:r>
    </w:p>
    <w:p>
      <w:pPr>
        <w:spacing w:after="0" w:line="171" w:lineRule="exact"/>
        <w:rPr>
          <w:rFonts w:ascii="Arial" w:cs="Arial" w:eastAsia="Arial" w:hAnsi="Arial"/>
          <w:sz w:val="18"/>
          <w:szCs w:val="18"/>
          <w:b w:val="1"/>
          <w:bCs w:val="1"/>
          <w:color w:val="51555C"/>
        </w:rPr>
      </w:pPr>
    </w:p>
    <w:p>
      <w:pPr>
        <w:ind w:left="1200" w:hanging="544"/>
        <w:spacing w:after="0"/>
        <w:tabs>
          <w:tab w:leader="none" w:pos="1200" w:val="left"/>
        </w:tabs>
        <w:numPr>
          <w:ilvl w:val="0"/>
          <w:numId w:val="157"/>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Prior Plan</w:t>
      </w:r>
      <w:r>
        <w:rPr>
          <w:rFonts w:ascii="Arial" w:cs="Arial" w:eastAsia="Arial" w:hAnsi="Arial"/>
          <w:sz w:val="18"/>
          <w:szCs w:val="18"/>
          <w:color w:val="51555C"/>
        </w:rPr>
        <w:t>” means the Company’s 2008 Incentive Plan, as in effect immediately prior to the Effective Date.</w:t>
      </w:r>
    </w:p>
    <w:p>
      <w:pPr>
        <w:spacing w:after="0" w:line="171" w:lineRule="exact"/>
        <w:rPr>
          <w:rFonts w:ascii="Arial" w:cs="Arial" w:eastAsia="Arial" w:hAnsi="Arial"/>
          <w:sz w:val="18"/>
          <w:szCs w:val="18"/>
          <w:b w:val="1"/>
          <w:bCs w:val="1"/>
          <w:color w:val="51555C"/>
        </w:rPr>
      </w:pPr>
    </w:p>
    <w:p>
      <w:pPr>
        <w:ind w:firstLine="656"/>
        <w:spacing w:after="0" w:line="287" w:lineRule="auto"/>
        <w:tabs>
          <w:tab w:leader="none" w:pos="1323" w:val="left"/>
        </w:tabs>
        <w:numPr>
          <w:ilvl w:val="0"/>
          <w:numId w:val="157"/>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Restricted Stock Award</w:t>
      </w:r>
      <w:r>
        <w:rPr>
          <w:rFonts w:ascii="Arial" w:cs="Arial" w:eastAsia="Arial" w:hAnsi="Arial"/>
          <w:sz w:val="18"/>
          <w:szCs w:val="18"/>
          <w:color w:val="51555C"/>
        </w:rPr>
        <w:t>” means an award of shares of Common Stock which is granted pursuant to the terms and conditions of Section 6(a).</w:t>
      </w:r>
    </w:p>
    <w:p>
      <w:pPr>
        <w:spacing w:after="0" w:line="98" w:lineRule="exact"/>
        <w:rPr>
          <w:rFonts w:ascii="Arial" w:cs="Arial" w:eastAsia="Arial" w:hAnsi="Arial"/>
          <w:sz w:val="18"/>
          <w:szCs w:val="18"/>
          <w:b w:val="1"/>
          <w:bCs w:val="1"/>
          <w:color w:val="51555C"/>
        </w:rPr>
      </w:pPr>
    </w:p>
    <w:p>
      <w:pPr>
        <w:jc w:val="both"/>
        <w:ind w:firstLine="656"/>
        <w:spacing w:after="0" w:line="268" w:lineRule="auto"/>
        <w:tabs>
          <w:tab w:leader="none" w:pos="1201" w:val="left"/>
        </w:tabs>
        <w:numPr>
          <w:ilvl w:val="0"/>
          <w:numId w:val="157"/>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Restricted Stock Award Agreement</w:t>
      </w:r>
      <w:r>
        <w:rPr>
          <w:rFonts w:ascii="Arial" w:cs="Arial" w:eastAsia="Arial" w:hAnsi="Arial"/>
          <w:sz w:val="18"/>
          <w:szCs w:val="18"/>
          <w:color w:val="51555C"/>
        </w:rPr>
        <w:t>” means a written agreement between the Company and a holder of a Restricted Stock Award evidencing the terms and conditions of a Restricted Stock Award grant. Each Restricted Stock Award Agreement shall be subject to the terms and conditions of the Plan.</w:t>
      </w:r>
    </w:p>
    <w:p>
      <w:pPr>
        <w:spacing w:after="0" w:line="116" w:lineRule="exact"/>
        <w:rPr>
          <w:rFonts w:ascii="Arial" w:cs="Arial" w:eastAsia="Arial" w:hAnsi="Arial"/>
          <w:sz w:val="18"/>
          <w:szCs w:val="18"/>
          <w:b w:val="1"/>
          <w:bCs w:val="1"/>
          <w:color w:val="51555C"/>
        </w:rPr>
      </w:pPr>
    </w:p>
    <w:p>
      <w:pPr>
        <w:ind w:firstLine="656"/>
        <w:spacing w:after="0" w:line="287" w:lineRule="auto"/>
        <w:tabs>
          <w:tab w:leader="none" w:pos="1135" w:val="left"/>
        </w:tabs>
        <w:numPr>
          <w:ilvl w:val="0"/>
          <w:numId w:val="157"/>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Restricted Stock Unit Award</w:t>
      </w:r>
      <w:r>
        <w:rPr>
          <w:rFonts w:ascii="Arial" w:cs="Arial" w:eastAsia="Arial" w:hAnsi="Arial"/>
          <w:sz w:val="18"/>
          <w:szCs w:val="18"/>
          <w:color w:val="51555C"/>
        </w:rPr>
        <w:t>” means non-voting units of measurement that represent the contingent right to receive shares of Common Stock (or the value of shares of Common Stock) which is granted pursuant to the terms and conditions of Section 6(b).</w:t>
      </w:r>
    </w:p>
    <w:p>
      <w:pPr>
        <w:spacing w:after="0" w:line="98" w:lineRule="exact"/>
        <w:rPr>
          <w:rFonts w:ascii="Arial" w:cs="Arial" w:eastAsia="Arial" w:hAnsi="Arial"/>
          <w:sz w:val="18"/>
          <w:szCs w:val="18"/>
          <w:b w:val="1"/>
          <w:bCs w:val="1"/>
          <w:color w:val="51555C"/>
        </w:rPr>
      </w:pPr>
    </w:p>
    <w:p>
      <w:pPr>
        <w:jc w:val="both"/>
        <w:ind w:firstLine="656"/>
        <w:spacing w:after="0" w:line="268" w:lineRule="auto"/>
        <w:tabs>
          <w:tab w:leader="none" w:pos="1195" w:val="left"/>
        </w:tabs>
        <w:numPr>
          <w:ilvl w:val="0"/>
          <w:numId w:val="157"/>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Restricted Stock Unit Award Agreement</w:t>
      </w:r>
      <w:r>
        <w:rPr>
          <w:rFonts w:ascii="Arial" w:cs="Arial" w:eastAsia="Arial" w:hAnsi="Arial"/>
          <w:sz w:val="18"/>
          <w:szCs w:val="18"/>
          <w:color w:val="51555C"/>
        </w:rPr>
        <w:t>” means a written agreement between the Company and a holder of a Restricted Stock Unit Award evidencing the terms and conditions of a Restricted Stock Unit Award grant. Each Restricted Stock Unit Award Agreement shall be subject to the terms and conditions of the Plan.</w:t>
      </w:r>
    </w:p>
    <w:p>
      <w:pPr>
        <w:spacing w:after="0" w:line="116" w:lineRule="exact"/>
        <w:rPr>
          <w:rFonts w:ascii="Arial" w:cs="Arial" w:eastAsia="Arial" w:hAnsi="Arial"/>
          <w:sz w:val="18"/>
          <w:szCs w:val="18"/>
          <w:b w:val="1"/>
          <w:bCs w:val="1"/>
          <w:color w:val="51555C"/>
        </w:rPr>
      </w:pPr>
    </w:p>
    <w:p>
      <w:pPr>
        <w:ind w:left="1100" w:hanging="444"/>
        <w:spacing w:after="0"/>
        <w:tabs>
          <w:tab w:leader="none" w:pos="1100" w:val="left"/>
        </w:tabs>
        <w:numPr>
          <w:ilvl w:val="0"/>
          <w:numId w:val="157"/>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Rule 16b-3</w:t>
      </w:r>
      <w:r>
        <w:rPr>
          <w:rFonts w:ascii="Arial" w:cs="Arial" w:eastAsia="Arial" w:hAnsi="Arial"/>
          <w:sz w:val="18"/>
          <w:szCs w:val="18"/>
          <w:color w:val="51555C"/>
        </w:rPr>
        <w:t>” means Rule 16b-3 promulgated under the Exchange Act or any successor to Rule 16b-3, as in effect from time to</w:t>
      </w:r>
    </w:p>
    <w:p>
      <w:pPr>
        <w:spacing w:after="0" w:line="27" w:lineRule="exact"/>
        <w:rPr>
          <w:rFonts w:ascii="Arial" w:cs="Arial" w:eastAsia="Arial" w:hAnsi="Arial"/>
          <w:sz w:val="18"/>
          <w:szCs w:val="18"/>
          <w:b w:val="1"/>
          <w:bCs w:val="1"/>
          <w:color w:val="51555C"/>
        </w:rPr>
      </w:pPr>
    </w:p>
    <w:p>
      <w:pPr>
        <w:spacing w:after="0"/>
        <w:rPr>
          <w:rFonts w:ascii="Arial" w:cs="Arial" w:eastAsia="Arial" w:hAnsi="Arial"/>
          <w:sz w:val="18"/>
          <w:szCs w:val="18"/>
          <w:b w:val="1"/>
          <w:bCs w:val="1"/>
          <w:color w:val="51555C"/>
        </w:rPr>
      </w:pPr>
      <w:r>
        <w:rPr>
          <w:rFonts w:ascii="Arial" w:cs="Arial" w:eastAsia="Arial" w:hAnsi="Arial"/>
          <w:sz w:val="18"/>
          <w:szCs w:val="18"/>
          <w:color w:val="51555C"/>
        </w:rPr>
        <w:t>time.</w:t>
      </w:r>
    </w:p>
    <w:p>
      <w:pPr>
        <w:spacing w:after="0" w:line="153" w:lineRule="exact"/>
        <w:rPr>
          <w:rFonts w:ascii="Arial" w:cs="Arial" w:eastAsia="Arial" w:hAnsi="Arial"/>
          <w:sz w:val="18"/>
          <w:szCs w:val="18"/>
          <w:b w:val="1"/>
          <w:bCs w:val="1"/>
          <w:color w:val="51555C"/>
        </w:rPr>
      </w:pPr>
    </w:p>
    <w:p>
      <w:pPr>
        <w:jc w:val="both"/>
        <w:ind w:firstLine="656"/>
        <w:spacing w:after="0" w:line="268" w:lineRule="auto"/>
        <w:tabs>
          <w:tab w:leader="none" w:pos="1323" w:val="left"/>
        </w:tabs>
        <w:numPr>
          <w:ilvl w:val="0"/>
          <w:numId w:val="157"/>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Section 162(m) Exception</w:t>
      </w:r>
      <w:r>
        <w:rPr>
          <w:rFonts w:ascii="Arial" w:cs="Arial" w:eastAsia="Arial" w:hAnsi="Arial"/>
          <w:sz w:val="18"/>
          <w:szCs w:val="18"/>
          <w:color w:val="51555C"/>
        </w:rPr>
        <w:t>” means the exception under Section 162(m) of the Code for “qualified performance-based compensation,” as such exception existed for taxable years beginning prior to January 1, 2018 before the amendments made to Section 162(m) of the Code by the Tax Cuts and Jobs Act of 2017.</w:t>
      </w:r>
    </w:p>
    <w:p>
      <w:pPr>
        <w:spacing w:after="0" w:line="116" w:lineRule="exact"/>
        <w:rPr>
          <w:rFonts w:ascii="Arial" w:cs="Arial" w:eastAsia="Arial" w:hAnsi="Arial"/>
          <w:sz w:val="18"/>
          <w:szCs w:val="18"/>
          <w:b w:val="1"/>
          <w:bCs w:val="1"/>
          <w:color w:val="51555C"/>
        </w:rPr>
      </w:pPr>
    </w:p>
    <w:p>
      <w:pPr>
        <w:jc w:val="both"/>
        <w:ind w:firstLine="656"/>
        <w:spacing w:after="0" w:line="268" w:lineRule="auto"/>
        <w:tabs>
          <w:tab w:leader="none" w:pos="1181" w:val="left"/>
        </w:tabs>
        <w:numPr>
          <w:ilvl w:val="0"/>
          <w:numId w:val="157"/>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Securities Act</w:t>
      </w:r>
      <w:r>
        <w:rPr>
          <w:rFonts w:ascii="Arial" w:cs="Arial" w:eastAsia="Arial" w:hAnsi="Arial"/>
          <w:sz w:val="18"/>
          <w:szCs w:val="18"/>
          <w:color w:val="51555C"/>
        </w:rPr>
        <w:t>” means the Securities Act of 1933, as amended. Reference to any section of (or rule promulgated under) the Securities Act shall be deemed to include reference to applicable rules, regulations or other authoritative guidance thereunder, and any amendments or successor provisions to such section, rules, regulations and guidance.</w:t>
      </w:r>
    </w:p>
    <w:p>
      <w:pPr>
        <w:spacing w:after="0" w:line="116" w:lineRule="exact"/>
        <w:rPr>
          <w:rFonts w:ascii="Arial" w:cs="Arial" w:eastAsia="Arial" w:hAnsi="Arial"/>
          <w:sz w:val="18"/>
          <w:szCs w:val="18"/>
          <w:b w:val="1"/>
          <w:bCs w:val="1"/>
          <w:color w:val="51555C"/>
        </w:rPr>
      </w:pPr>
    </w:p>
    <w:p>
      <w:pPr>
        <w:ind w:right="20" w:firstLine="656"/>
        <w:spacing w:after="0" w:line="287" w:lineRule="auto"/>
        <w:tabs>
          <w:tab w:leader="none" w:pos="1315" w:val="left"/>
        </w:tabs>
        <w:numPr>
          <w:ilvl w:val="0"/>
          <w:numId w:val="157"/>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Stock Appreciation Right</w:t>
      </w:r>
      <w:r>
        <w:rPr>
          <w:rFonts w:ascii="Arial" w:cs="Arial" w:eastAsia="Arial" w:hAnsi="Arial"/>
          <w:sz w:val="18"/>
          <w:szCs w:val="18"/>
          <w:color w:val="51555C"/>
        </w:rPr>
        <w:t>” means a right to receive the appreciation on Common Stock that is granted pursuant to the terms and conditions of Section 5.</w:t>
      </w:r>
    </w:p>
    <w:p>
      <w:pPr>
        <w:spacing w:after="0" w:line="98" w:lineRule="exact"/>
        <w:rPr>
          <w:rFonts w:ascii="Arial" w:cs="Arial" w:eastAsia="Arial" w:hAnsi="Arial"/>
          <w:sz w:val="18"/>
          <w:szCs w:val="18"/>
          <w:b w:val="1"/>
          <w:bCs w:val="1"/>
          <w:color w:val="51555C"/>
        </w:rPr>
      </w:pPr>
    </w:p>
    <w:p>
      <w:pPr>
        <w:jc w:val="both"/>
        <w:ind w:firstLine="656"/>
        <w:spacing w:after="0" w:line="268" w:lineRule="auto"/>
        <w:tabs>
          <w:tab w:leader="none" w:pos="1330" w:val="left"/>
        </w:tabs>
        <w:numPr>
          <w:ilvl w:val="0"/>
          <w:numId w:val="157"/>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Stock Appreciation Right Agreement</w:t>
      </w:r>
      <w:r>
        <w:rPr>
          <w:rFonts w:ascii="Arial" w:cs="Arial" w:eastAsia="Arial" w:hAnsi="Arial"/>
          <w:sz w:val="18"/>
          <w:szCs w:val="18"/>
          <w:color w:val="51555C"/>
        </w:rPr>
        <w:t>” means a written agreement between the Company and a holder of a Stock Appreciation Right evidencing the terms and conditions of a Stock Appreciation Right grant. Each Stock Appreciation Right Agreement shall be subject to the terms and conditions of the Plan.</w:t>
      </w:r>
    </w:p>
    <w:p>
      <w:pPr>
        <w:spacing w:after="0" w:line="116" w:lineRule="exact"/>
        <w:rPr>
          <w:rFonts w:ascii="Arial" w:cs="Arial" w:eastAsia="Arial" w:hAnsi="Arial"/>
          <w:sz w:val="18"/>
          <w:szCs w:val="18"/>
          <w:b w:val="1"/>
          <w:bCs w:val="1"/>
          <w:color w:val="51555C"/>
        </w:rPr>
      </w:pPr>
    </w:p>
    <w:p>
      <w:pPr>
        <w:ind w:firstLine="656"/>
        <w:spacing w:after="0" w:line="287" w:lineRule="auto"/>
        <w:tabs>
          <w:tab w:leader="none" w:pos="1370" w:val="left"/>
        </w:tabs>
        <w:numPr>
          <w:ilvl w:val="0"/>
          <w:numId w:val="157"/>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Stock Award</w:t>
      </w:r>
      <w:r>
        <w:rPr>
          <w:rFonts w:ascii="Arial" w:cs="Arial" w:eastAsia="Arial" w:hAnsi="Arial"/>
          <w:sz w:val="18"/>
          <w:szCs w:val="18"/>
          <w:color w:val="51555C"/>
        </w:rPr>
        <w:t>” means any Option, Restricted Stock Award, Restricted Stock Unit Award, Stock Appreciation Right, Performance Stock Award, or any Other Stock Award granted under the Plan.</w:t>
      </w:r>
    </w:p>
    <w:p>
      <w:pPr>
        <w:spacing w:after="0" w:line="98" w:lineRule="exact"/>
        <w:rPr>
          <w:rFonts w:ascii="Arial" w:cs="Arial" w:eastAsia="Arial" w:hAnsi="Arial"/>
          <w:sz w:val="18"/>
          <w:szCs w:val="18"/>
          <w:b w:val="1"/>
          <w:bCs w:val="1"/>
          <w:color w:val="51555C"/>
        </w:rPr>
      </w:pPr>
    </w:p>
    <w:p>
      <w:pPr>
        <w:jc w:val="both"/>
        <w:ind w:firstLine="656"/>
        <w:spacing w:after="0" w:line="262" w:lineRule="auto"/>
        <w:tabs>
          <w:tab w:leader="none" w:pos="1215" w:val="left"/>
        </w:tabs>
        <w:numPr>
          <w:ilvl w:val="0"/>
          <w:numId w:val="157"/>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Stock Award Agreement</w:t>
      </w:r>
      <w:r>
        <w:rPr>
          <w:rFonts w:ascii="Arial" w:cs="Arial" w:eastAsia="Arial" w:hAnsi="Arial"/>
          <w:sz w:val="18"/>
          <w:szCs w:val="18"/>
          <w:color w:val="51555C"/>
        </w:rPr>
        <w:t>” means a written agreement between the Company and a Participant evidencing the terms and conditions of a Stock Award grant. Each Stock Award Agreement shall be subject to the terms and conditions of the Plan. The Stock Award Agreement may be in such form as the Committee shall determine, including a master agreement with respect to all or any types of Stock Awards supplemented by a Stock Award notice issued by the Company.</w:t>
      </w:r>
    </w:p>
    <w:p>
      <w:pPr>
        <w:spacing w:after="0" w:line="122" w:lineRule="exact"/>
        <w:rPr>
          <w:sz w:val="20"/>
          <w:szCs w:val="20"/>
          <w:color w:val="auto"/>
        </w:rPr>
      </w:pPr>
    </w:p>
    <w:p>
      <w:pPr>
        <w:jc w:val="both"/>
        <w:ind w:firstLine="656"/>
        <w:spacing w:after="0" w:line="257" w:lineRule="auto"/>
        <w:tabs>
          <w:tab w:leader="none" w:pos="1416" w:val="left"/>
        </w:tabs>
        <w:numPr>
          <w:ilvl w:val="1"/>
          <w:numId w:val="158"/>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Subsidiary</w:t>
      </w:r>
      <w:r>
        <w:rPr>
          <w:rFonts w:ascii="Arial" w:cs="Arial" w:eastAsia="Arial" w:hAnsi="Arial"/>
          <w:sz w:val="18"/>
          <w:szCs w:val="18"/>
          <w:color w:val="51555C"/>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w:t>
      </w:r>
    </w:p>
    <w:p>
      <w:pPr>
        <w:spacing w:after="0" w:line="128" w:lineRule="exact"/>
        <w:rPr>
          <w:rFonts w:ascii="Arial" w:cs="Arial" w:eastAsia="Arial" w:hAnsi="Arial"/>
          <w:sz w:val="18"/>
          <w:szCs w:val="18"/>
          <w:b w:val="1"/>
          <w:bCs w:val="1"/>
          <w:color w:val="51555C"/>
        </w:rPr>
      </w:pPr>
    </w:p>
    <w:p>
      <w:pPr>
        <w:ind w:firstLine="262"/>
        <w:spacing w:after="0" w:line="287" w:lineRule="auto"/>
        <w:tabs>
          <w:tab w:leader="none" w:pos="971" w:val="left"/>
        </w:tabs>
        <w:numPr>
          <w:ilvl w:val="0"/>
          <w:numId w:val="159"/>
        </w:numPr>
        <w:rPr>
          <w:rFonts w:ascii="Arial" w:cs="Arial" w:eastAsia="Arial" w:hAnsi="Arial"/>
          <w:sz w:val="18"/>
          <w:szCs w:val="18"/>
          <w:b w:val="1"/>
          <w:bCs w:val="1"/>
          <w:color w:val="51555C"/>
        </w:rPr>
      </w:pPr>
      <w:r>
        <w:rPr>
          <w:rFonts w:ascii="Arial" w:cs="Arial" w:eastAsia="Arial" w:hAnsi="Arial"/>
          <w:sz w:val="18"/>
          <w:szCs w:val="18"/>
          <w:color w:val="51555C"/>
        </w:rPr>
        <w:t>“</w:t>
      </w:r>
      <w:r>
        <w:rPr>
          <w:rFonts w:ascii="Arial" w:cs="Arial" w:eastAsia="Arial" w:hAnsi="Arial"/>
          <w:sz w:val="18"/>
          <w:szCs w:val="18"/>
          <w:b w:val="1"/>
          <w:bCs w:val="1"/>
          <w:i w:val="1"/>
          <w:iCs w:val="1"/>
          <w:color w:val="51555C"/>
        </w:rPr>
        <w:t>Ten Percent Stockholder</w:t>
      </w:r>
      <w:r>
        <w:rPr>
          <w:rFonts w:ascii="Arial" w:cs="Arial" w:eastAsia="Arial" w:hAnsi="Arial"/>
          <w:sz w:val="18"/>
          <w:szCs w:val="18"/>
          <w:color w:val="51555C"/>
        </w:rPr>
        <w:t>” means a person who Owns (or is deemed to Own pursuant to Section 424(d) of the Code) stock possessing more than ten percent (10%) of the total combined voting power of all classes of stock of the Company or any Affiliate.</w:t>
      </w:r>
    </w:p>
    <w:p>
      <w:pPr>
        <w:spacing w:after="0" w:line="310" w:lineRule="exact"/>
        <w:rPr>
          <w:sz w:val="20"/>
          <w:szCs w:val="20"/>
          <w:color w:val="auto"/>
        </w:rPr>
      </w:pPr>
    </w:p>
    <w:p>
      <w:pPr>
        <w:ind w:left="100"/>
        <w:spacing w:after="0"/>
        <w:tabs>
          <w:tab w:leader="none" w:pos="514" w:val="left"/>
        </w:tabs>
        <w:rPr>
          <w:sz w:val="20"/>
          <w:szCs w:val="20"/>
          <w:color w:val="auto"/>
        </w:rPr>
      </w:pPr>
      <w:r>
        <w:rPr>
          <w:rFonts w:ascii="Arial" w:cs="Arial" w:eastAsia="Arial" w:hAnsi="Arial"/>
          <w:sz w:val="14"/>
          <w:szCs w:val="14"/>
          <w:color w:val="51555C"/>
        </w:rPr>
        <w:t>112</w:t>
      </w:r>
      <w:r>
        <w:rPr>
          <w:sz w:val="20"/>
          <w:szCs w:val="20"/>
          <w:color w:val="auto"/>
        </w:rPr>
        <w:tab/>
      </w:r>
      <w:r>
        <w:rPr>
          <w:sz w:val="1"/>
          <w:szCs w:val="1"/>
          <w:color w:val="auto"/>
        </w:rPr>
        <w:drawing>
          <wp:inline distT="0" distB="0" distL="0" distR="0">
            <wp:extent cx="702945" cy="111760"/>
            <wp:effectExtent l="0" t="0" r="0" b="0"/>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02945" cy="111760"/>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4" w:name="page115"/>
    <w:bookmarkEnd w:id="114"/>
    <w:p>
      <w:pPr>
        <w:ind w:left="20"/>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-41910</wp:posOffset>
            </wp:positionV>
            <wp:extent cx="171450" cy="17145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9440"/>
        <w:spacing w:after="0"/>
        <w:rPr>
          <w:sz w:val="20"/>
          <w:szCs w:val="20"/>
          <w:color w:val="auto"/>
        </w:rPr>
      </w:pPr>
      <w:r>
        <w:rPr>
          <w:rFonts w:ascii="Arial" w:cs="Arial" w:eastAsia="Arial" w:hAnsi="Arial"/>
          <w:sz w:val="18"/>
          <w:szCs w:val="18"/>
          <w:b w:val="1"/>
          <w:bCs w:val="1"/>
          <w:color w:val="51555C"/>
        </w:rPr>
        <w:t>APPENDICES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APPENDIX C—FORM OF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Important Notice Regarding the Availability of Proxy Materials for the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51555C"/>
        </w:rPr>
        <w:t>The Notice of Annual Meeting of Stockholders and Proxy Statement, Annual Report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51555C"/>
        </w:rPr>
        <w:t>Annual Report on Form 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Proxy for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June 10, 2026, 4:00 p.m., Eastern Time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This proxy is solicited by the Board of Directors</w:t>
      </w:r>
    </w:p>
    <w:p>
      <w:pPr>
        <w:spacing w:after="0" w:line="200" w:lineRule="exact"/>
        <w:rPr>
          <w:sz w:val="20"/>
          <w:szCs w:val="20"/>
          <w:color w:val="auto"/>
        </w:rPr>
      </w:pPr>
    </w:p>
    <w:p>
      <w:pPr>
        <w:spacing w:after="0" w:line="3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 xml:space="preserve">The undersigned stockholder of Blackbaud, Inc., a Delaware corporation, acknowledges receipt of the Notice of Annual Meeting of Stockholders and Proxy Statement, each dated April 21, 2026. The undersigned stockholder hereby also appoints Jon W. Olson and Chad M. Anderson, and each of them, with full power of substitution and power to act alone, as proxies to represent and to vote, as designated on the reverse side of this ballot, all of the shares of common stock of Blackbaud, Inc. that the stockholder would be entitled to vote if present and acting at the Annual Meeting of Stockholders of Blackbaud, Inc., to be held on June 10, 2026 at 4:00 p.m., Eastern Time, at www.virtualshareholdermeeting.com/BLKB2026, and at any adjournments or postponements thereof. </w:t>
      </w:r>
      <w:r>
        <w:rPr>
          <w:rFonts w:ascii="Arial" w:cs="Arial" w:eastAsia="Arial" w:hAnsi="Arial"/>
          <w:sz w:val="18"/>
          <w:szCs w:val="18"/>
          <w:b w:val="1"/>
          <w:bCs w:val="1"/>
          <w:color w:val="51555C"/>
        </w:rPr>
        <w:t>This proxy, when properly executed,</w:t>
      </w:r>
      <w:r>
        <w:rPr>
          <w:rFonts w:ascii="Arial" w:cs="Arial" w:eastAsia="Arial" w:hAnsi="Arial"/>
          <w:sz w:val="18"/>
          <w:szCs w:val="18"/>
          <w:color w:val="51555C"/>
        </w:rPr>
        <w:t xml:space="preserve"> </w:t>
      </w:r>
      <w:r>
        <w:rPr>
          <w:rFonts w:ascii="Arial" w:cs="Arial" w:eastAsia="Arial" w:hAnsi="Arial"/>
          <w:sz w:val="18"/>
          <w:szCs w:val="18"/>
          <w:b w:val="1"/>
          <w:bCs w:val="1"/>
          <w:color w:val="51555C"/>
        </w:rPr>
        <w:t>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257810</wp:posOffset>
            </wp:positionV>
            <wp:extent cx="702945" cy="11112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180" w:type="dxa"/>
            <w:vAlign w:val="bottom"/>
          </w:tcPr>
          <w:p>
            <w:pPr>
              <w:ind w:left="8020"/>
              <w:spacing w:after="0"/>
              <w:rPr>
                <w:sz w:val="20"/>
                <w:szCs w:val="20"/>
                <w:color w:val="auto"/>
              </w:rPr>
            </w:pPr>
            <w:r>
              <w:rPr>
                <w:rFonts w:ascii="Arial" w:cs="Arial" w:eastAsia="Arial" w:hAnsi="Arial"/>
                <w:sz w:val="14"/>
                <w:szCs w:val="14"/>
                <w:color w:val="51555C"/>
              </w:rPr>
              <w:t>2026 Proxy Statement</w:t>
            </w:r>
          </w:p>
        </w:tc>
        <w:tc>
          <w:tcPr>
            <w:tcW w:w="1060" w:type="dxa"/>
            <w:vAlign w:val="bottom"/>
          </w:tcPr>
          <w:p>
            <w:pPr>
              <w:jc w:val="right"/>
              <w:ind w:right="28"/>
              <w:spacing w:after="0"/>
              <w:rPr>
                <w:sz w:val="20"/>
                <w:szCs w:val="20"/>
                <w:color w:val="auto"/>
              </w:rPr>
            </w:pPr>
            <w:r>
              <w:rPr>
                <w:rFonts w:ascii="Arial" w:cs="Arial" w:eastAsia="Arial" w:hAnsi="Arial"/>
                <w:sz w:val="14"/>
                <w:szCs w:val="14"/>
                <w:color w:val="51555C"/>
              </w:rPr>
              <w:t>113</w:t>
            </w:r>
          </w:p>
        </w:tc>
      </w:tr>
      <w:tr>
        <w:trPr>
          <w:trHeight w:val="271"/>
        </w:trPr>
        <w:tc>
          <w:tcPr>
            <w:tcW w:w="10180" w:type="dxa"/>
            <w:vAlign w:val="bottom"/>
            <w:tcBorders>
              <w:bottom w:val="single" w:sz="8" w:color="9A9A9A"/>
            </w:tcBorders>
          </w:tcPr>
          <w:p>
            <w:pPr>
              <w:spacing w:after="0"/>
              <w:rPr>
                <w:sz w:val="23"/>
                <w:szCs w:val="23"/>
                <w:color w:val="auto"/>
              </w:rPr>
            </w:pPr>
          </w:p>
        </w:tc>
        <w:tc>
          <w:tcPr>
            <w:tcW w:w="106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15" w:name="page116"/>
    <w:bookmarkEnd w:id="115"/>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243205</wp:posOffset>
            </wp:positionV>
            <wp:extent cx="171450" cy="17145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600"/>
        <w:spacing w:after="0"/>
        <w:rPr>
          <w:sz w:val="20"/>
          <w:szCs w:val="20"/>
          <w:color w:val="auto"/>
        </w:rPr>
      </w:pPr>
      <w:r>
        <w:rPr>
          <w:rFonts w:ascii="Arial" w:cs="Arial" w:eastAsia="Arial" w:hAnsi="Arial"/>
          <w:sz w:val="18"/>
          <w:szCs w:val="18"/>
          <w:b w:val="1"/>
          <w:bCs w:val="1"/>
          <w:color w:val="51555C"/>
        </w:rPr>
        <w:t>APPENDICES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557530</wp:posOffset>
            </wp:positionV>
            <wp:extent cx="1722755" cy="38608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72275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BLACKBAUD, INC.</w:t>
      </w:r>
    </w:p>
    <w:p>
      <w:pPr>
        <w:spacing w:after="0" w:line="63" w:lineRule="exact"/>
        <w:rPr>
          <w:sz w:val="20"/>
          <w:szCs w:val="20"/>
          <w:color w:val="auto"/>
        </w:rPr>
      </w:pPr>
    </w:p>
    <w:p>
      <w:pPr>
        <w:ind w:right="700"/>
        <w:spacing w:after="0" w:line="335" w:lineRule="auto"/>
        <w:rPr>
          <w:sz w:val="20"/>
          <w:szCs w:val="20"/>
          <w:color w:val="auto"/>
        </w:rPr>
      </w:pPr>
      <w:r>
        <w:rPr>
          <w:rFonts w:ascii="Arial" w:cs="Arial" w:eastAsia="Arial" w:hAnsi="Arial"/>
          <w:sz w:val="18"/>
          <w:szCs w:val="18"/>
          <w:b w:val="1"/>
          <w:bCs w:val="1"/>
          <w:i w:val="1"/>
          <w:iCs w:val="1"/>
          <w:color w:val="51555C"/>
        </w:rPr>
        <w:t>65 FAIRCHILD STREET CHARLESTON, SC 29492 ATTN: JON W. OLSON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VOTE BY INTERNET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 xml:space="preserve">Before the Meeting </w:t>
      </w:r>
      <w:r>
        <w:rPr>
          <w:rFonts w:ascii="Arial" w:cs="Arial" w:eastAsia="Arial" w:hAnsi="Arial"/>
          <w:sz w:val="18"/>
          <w:szCs w:val="18"/>
          <w:color w:val="51555C"/>
        </w:rPr>
        <w:t>- Go to</w:t>
      </w:r>
      <w:r>
        <w:rPr>
          <w:rFonts w:ascii="Arial" w:cs="Arial" w:eastAsia="Arial" w:hAnsi="Arial"/>
          <w:sz w:val="18"/>
          <w:szCs w:val="18"/>
          <w:i w:val="1"/>
          <w:iCs w:val="1"/>
          <w:color w:val="51555C"/>
        </w:rPr>
        <w:t xml:space="preserve"> </w:t>
      </w:r>
      <w:r>
        <w:rPr>
          <w:rFonts w:ascii="Arial" w:cs="Arial" w:eastAsia="Arial" w:hAnsi="Arial"/>
          <w:sz w:val="18"/>
          <w:szCs w:val="18"/>
          <w:b w:val="1"/>
          <w:bCs w:val="1"/>
          <w:u w:val="single" w:color="auto"/>
          <w:color w:val="51555C"/>
        </w:rPr>
        <w:t>www.proxyvote.com</w:t>
      </w:r>
      <w:r>
        <w:rPr>
          <w:rFonts w:ascii="Arial" w:cs="Arial" w:eastAsia="Arial" w:hAnsi="Arial"/>
          <w:sz w:val="18"/>
          <w:szCs w:val="18"/>
          <w:i w:val="1"/>
          <w:iCs w:val="1"/>
          <w:color w:val="51555C"/>
        </w:rPr>
        <w:t xml:space="preserve"> </w:t>
      </w:r>
      <w:r>
        <w:rPr>
          <w:rFonts w:ascii="Arial" w:cs="Arial" w:eastAsia="Arial" w:hAnsi="Arial"/>
          <w:sz w:val="18"/>
          <w:szCs w:val="18"/>
          <w:b w:val="1"/>
          <w:bCs w:val="1"/>
          <w:color w:val="51555C"/>
        </w:rPr>
        <w:t>or scan the QR Barcode above</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Use the Internet to transmit your voting instructions and for electronic delivery of information up until 11:59 p.m. Eastern Time on June 9, 2026. Have your proxy card in hand when you access the web site and follow the instructions to obtain your records and to create an electronic voting instruction form.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 xml:space="preserve">During the Meeting </w:t>
      </w:r>
      <w:r>
        <w:rPr>
          <w:rFonts w:ascii="Arial" w:cs="Arial" w:eastAsia="Arial" w:hAnsi="Arial"/>
          <w:sz w:val="18"/>
          <w:szCs w:val="18"/>
          <w:color w:val="51555C"/>
        </w:rPr>
        <w:t>- Go to</w:t>
      </w:r>
      <w:r>
        <w:rPr>
          <w:rFonts w:ascii="Arial" w:cs="Arial" w:eastAsia="Arial" w:hAnsi="Arial"/>
          <w:sz w:val="18"/>
          <w:szCs w:val="18"/>
          <w:i w:val="1"/>
          <w:iCs w:val="1"/>
          <w:color w:val="51555C"/>
        </w:rPr>
        <w:t xml:space="preserve"> </w:t>
      </w:r>
      <w:r>
        <w:rPr>
          <w:rFonts w:ascii="Arial" w:cs="Arial" w:eastAsia="Arial" w:hAnsi="Arial"/>
          <w:sz w:val="18"/>
          <w:szCs w:val="18"/>
          <w:b w:val="1"/>
          <w:bCs w:val="1"/>
          <w:u w:val="single" w:color="auto"/>
          <w:color w:val="51555C"/>
        </w:rPr>
        <w:t>www.virtualshareholdermeeting.com/BLKB2026</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You may attend the meeting via the Internet and vote during the meeting. Have the information that is printed in the box marked by the arrow available and follow the instructions.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ELECTRONIC DELIVERY OF FUTURE PROXY MATERIALS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00" w:lineRule="exact"/>
        <w:rPr>
          <w:sz w:val="20"/>
          <w:szCs w:val="20"/>
          <w:color w:val="auto"/>
        </w:rPr>
      </w:pPr>
    </w:p>
    <w:p>
      <w:pPr>
        <w:sectPr>
          <w:pgSz w:w="11900" w:h="16838" w:orient="portrait"/>
          <w:cols w:equalWidth="0" w:num="2">
            <w:col w:w="2860" w:space="720"/>
            <w:col w:w="7620"/>
          </w:cols>
          <w:pgMar w:left="340" w:top="337" w:right="359" w:bottom="1440" w:gutter="0" w:footer="0" w:header="0"/>
        </w:sectPr>
      </w:pPr>
    </w:p>
    <w:p>
      <w:pPr>
        <w:spacing w:after="0" w:line="128"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51555C"/>
        </w:rPr>
        <w:t xml:space="preserve">VOTE BY PHONE </w:t>
      </w:r>
      <w:r>
        <w:rPr>
          <w:rFonts w:ascii="Arial" w:cs="Arial" w:eastAsia="Arial" w:hAnsi="Arial"/>
          <w:sz w:val="18"/>
          <w:szCs w:val="18"/>
          <w:color w:val="51555C"/>
        </w:rPr>
        <w:t>-</w:t>
      </w:r>
      <w:r>
        <w:rPr>
          <w:rFonts w:ascii="Arial" w:cs="Arial" w:eastAsia="Arial" w:hAnsi="Arial"/>
          <w:sz w:val="18"/>
          <w:szCs w:val="18"/>
          <w:b w:val="1"/>
          <w:bCs w:val="1"/>
          <w:color w:val="51555C"/>
        </w:rPr>
        <w:t xml:space="preserve"> 1-800-690-6903</w:t>
      </w:r>
    </w:p>
    <w:p>
      <w:pPr>
        <w:spacing w:after="0" w:line="117" w:lineRule="exact"/>
        <w:rPr>
          <w:sz w:val="20"/>
          <w:szCs w:val="20"/>
          <w:color w:val="auto"/>
        </w:rPr>
      </w:pPr>
    </w:p>
    <w:p>
      <w:pPr>
        <w:jc w:val="both"/>
        <w:ind w:left="3580"/>
        <w:spacing w:after="0" w:line="268" w:lineRule="auto"/>
        <w:rPr>
          <w:sz w:val="20"/>
          <w:szCs w:val="20"/>
          <w:color w:val="auto"/>
        </w:rPr>
      </w:pPr>
      <w:r>
        <w:rPr>
          <w:rFonts w:ascii="Arial" w:cs="Arial" w:eastAsia="Arial" w:hAnsi="Arial"/>
          <w:sz w:val="18"/>
          <w:szCs w:val="18"/>
          <w:color w:val="51555C"/>
        </w:rPr>
        <w:t>Use any touch-tone telephone to transmit your voting instructions up until 11:59 p.m. Eastern Time on June 9, 2026. Have your proxy card in hand when you call and then follow the instructions.</w:t>
      </w:r>
    </w:p>
    <w:p>
      <w:pPr>
        <w:spacing w:after="0" w:line="11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51555C"/>
        </w:rPr>
        <w:t>VOTE BY MAIL</w:t>
      </w:r>
    </w:p>
    <w:p>
      <w:pPr>
        <w:spacing w:after="0" w:line="117" w:lineRule="exact"/>
        <w:rPr>
          <w:sz w:val="20"/>
          <w:szCs w:val="20"/>
          <w:color w:val="auto"/>
        </w:rPr>
      </w:pPr>
    </w:p>
    <w:p>
      <w:pPr>
        <w:jc w:val="both"/>
        <w:ind w:left="3580"/>
        <w:spacing w:after="0" w:line="268" w:lineRule="auto"/>
        <w:rPr>
          <w:sz w:val="20"/>
          <w:szCs w:val="20"/>
          <w:color w:val="auto"/>
        </w:rPr>
      </w:pPr>
      <w:r>
        <w:rPr>
          <w:rFonts w:ascii="Arial" w:cs="Arial" w:eastAsia="Arial" w:hAnsi="Arial"/>
          <w:sz w:val="18"/>
          <w:szCs w:val="18"/>
          <w:color w:val="51555C"/>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49" w:lineRule="exact"/>
        <w:rPr>
          <w:sz w:val="20"/>
          <w:szCs w:val="20"/>
          <w:color w:val="auto"/>
        </w:rPr>
      </w:pPr>
    </w:p>
    <w:p>
      <w:pPr>
        <w:ind w:left="80"/>
        <w:spacing w:after="0"/>
        <w:tabs>
          <w:tab w:leader="none" w:pos="494" w:val="left"/>
        </w:tabs>
        <w:rPr>
          <w:sz w:val="20"/>
          <w:szCs w:val="20"/>
          <w:color w:val="auto"/>
        </w:rPr>
      </w:pPr>
      <w:r>
        <w:rPr>
          <w:rFonts w:ascii="Arial" w:cs="Arial" w:eastAsia="Arial" w:hAnsi="Arial"/>
          <w:sz w:val="14"/>
          <w:szCs w:val="14"/>
          <w:color w:val="51555C"/>
        </w:rPr>
        <w:t>114</w:t>
      </w:r>
      <w:r>
        <w:rPr>
          <w:sz w:val="20"/>
          <w:szCs w:val="20"/>
          <w:color w:val="auto"/>
        </w:rPr>
        <w:tab/>
      </w:r>
      <w:r>
        <w:rPr>
          <w:sz w:val="1"/>
          <w:szCs w:val="1"/>
          <w:color w:val="auto"/>
        </w:rPr>
        <w:drawing>
          <wp:inline distT="0" distB="0" distL="0" distR="0">
            <wp:extent cx="702945" cy="111125"/>
            <wp:effectExtent l="0" t="0" r="0" b="0"/>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02945" cy="111125"/>
                    </a:xfrm>
                    <a:prstGeom prst="rect">
                      <a:avLst/>
                    </a:prstGeom>
                    <a:noFill/>
                    <a:ln>
                      <a:noFill/>
                    </a:ln>
                  </pic:spPr>
                </pic:pic>
              </a:graphicData>
            </a:graphic>
          </wp:inline>
        </w:drawing>
      </w:r>
      <w:r>
        <w:rPr>
          <w:rFonts w:ascii="Arial" w:cs="Arial" w:eastAsia="Arial" w:hAnsi="Arial"/>
          <w:sz w:val="14"/>
          <w:szCs w:val="14"/>
          <w:color w:val="51555C"/>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163830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7" w:right="35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3"/>
          <w:szCs w:val="13"/>
          <w:b w:val="1"/>
          <w:bCs w:val="1"/>
          <w:u w:val="single" w:color="auto"/>
          <w:color w:val="7A04D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6850380</wp:posOffset>
            </wp:positionH>
            <wp:positionV relativeFrom="paragraph">
              <wp:posOffset>-41910</wp:posOffset>
            </wp:positionV>
            <wp:extent cx="171450" cy="17145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9420"/>
        <w:spacing w:after="0"/>
        <w:rPr>
          <w:sz w:val="20"/>
          <w:szCs w:val="20"/>
          <w:color w:val="auto"/>
        </w:rPr>
      </w:pPr>
      <w:r>
        <w:rPr>
          <w:rFonts w:ascii="Arial" w:cs="Arial" w:eastAsia="Arial" w:hAnsi="Arial"/>
          <w:sz w:val="18"/>
          <w:szCs w:val="18"/>
          <w:b w:val="1"/>
          <w:bCs w:val="1"/>
          <w:color w:val="51555C"/>
        </w:rPr>
        <w:t>APPENDICES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51555C"/>
        </w:rPr>
        <w:t>TO VOTE, MARK BLOCKS BELOW IN BLUE OR BLACK INK AS FOLLOWS:</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51555C"/>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53975</wp:posOffset>
            </wp:positionV>
            <wp:extent cx="7131685" cy="336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31685" cy="33655"/>
                    </a:xfrm>
                    <a:prstGeom prst="rect">
                      <a:avLst/>
                    </a:prstGeom>
                    <a:noFill/>
                  </pic:spPr>
                </pic:pic>
              </a:graphicData>
            </a:graphic>
          </wp:anchor>
        </w:drawing>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51555C"/>
        </w:rPr>
        <w:t>DETACH AND RETURN THIS PORTION ONLY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51555C"/>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15175" cy="359219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15175" cy="359219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1555C"/>
        </w:rPr>
        <w:t>BLACKBAUD, INC.</w:t>
      </w:r>
    </w:p>
    <w:p>
      <w:pPr>
        <w:sectPr>
          <w:pgSz w:w="11900" w:h="16838" w:orient="portrait"/>
          <w:cols w:equalWidth="0" w:num="1">
            <w:col w:w="11160"/>
          </w:cols>
          <w:pgMar w:left="340" w:top="300" w:right="399" w:bottom="1440" w:gutter="0" w:footer="0" w:header="0"/>
        </w:sectPr>
      </w:pPr>
    </w:p>
    <w:p>
      <w:pPr>
        <w:spacing w:after="0" w:line="285" w:lineRule="exact"/>
        <w:rPr>
          <w:sz w:val="20"/>
          <w:szCs w:val="20"/>
          <w:color w:val="auto"/>
        </w:rPr>
      </w:pPr>
    </w:p>
    <w:p>
      <w:pPr>
        <w:ind w:left="200"/>
        <w:spacing w:after="0" w:line="314" w:lineRule="auto"/>
        <w:rPr>
          <w:sz w:val="20"/>
          <w:szCs w:val="20"/>
          <w:color w:val="auto"/>
        </w:rPr>
      </w:pPr>
      <w:r>
        <w:rPr>
          <w:rFonts w:ascii="Arial" w:cs="Arial" w:eastAsia="Arial" w:hAnsi="Arial"/>
          <w:sz w:val="14"/>
          <w:szCs w:val="14"/>
          <w:b w:val="1"/>
          <w:bCs w:val="1"/>
          <w:color w:val="51555C"/>
        </w:rPr>
        <w:t xml:space="preserve">The Board of Directors recommends you vote </w:t>
      </w:r>
      <w:r>
        <w:rPr>
          <w:rFonts w:ascii="Arial" w:cs="Arial" w:eastAsia="Arial" w:hAnsi="Arial"/>
          <w:sz w:val="14"/>
          <w:szCs w:val="14"/>
          <w:b w:val="1"/>
          <w:bCs w:val="1"/>
          <w:u w:val="single" w:color="auto"/>
          <w:color w:val="51555C"/>
        </w:rPr>
        <w:t>FOR</w:t>
      </w:r>
      <w:r>
        <w:rPr>
          <w:rFonts w:ascii="Arial" w:cs="Arial" w:eastAsia="Arial" w:hAnsi="Arial"/>
          <w:sz w:val="14"/>
          <w:szCs w:val="14"/>
          <w:b w:val="1"/>
          <w:bCs w:val="1"/>
          <w:color w:val="51555C"/>
        </w:rPr>
        <w:t xml:space="preserve"> Proposals 1, 2 and 3.</w:t>
      </w:r>
    </w:p>
    <w:p>
      <w:pPr>
        <w:spacing w:after="0" w:line="267" w:lineRule="exact"/>
        <w:rPr>
          <w:sz w:val="20"/>
          <w:szCs w:val="20"/>
          <w:color w:val="auto"/>
        </w:rPr>
      </w:pPr>
    </w:p>
    <w:p>
      <w:pPr>
        <w:ind w:left="600" w:right="80" w:hanging="392"/>
        <w:spacing w:after="0" w:line="305" w:lineRule="auto"/>
        <w:tabs>
          <w:tab w:leader="none" w:pos="600" w:val="left"/>
        </w:tabs>
        <w:numPr>
          <w:ilvl w:val="0"/>
          <w:numId w:val="160"/>
        </w:numPr>
        <w:rPr>
          <w:rFonts w:ascii="Arial" w:cs="Arial" w:eastAsia="Arial" w:hAnsi="Arial"/>
          <w:sz w:val="14"/>
          <w:szCs w:val="14"/>
          <w:color w:val="51555C"/>
        </w:rPr>
      </w:pPr>
      <w:r>
        <w:rPr>
          <w:rFonts w:ascii="Arial" w:cs="Arial" w:eastAsia="Arial" w:hAnsi="Arial"/>
          <w:sz w:val="14"/>
          <w:szCs w:val="14"/>
          <w:color w:val="51555C"/>
        </w:rPr>
        <w:t>ADVISORY VOTE TO APPROVE THE 2025 COMPENSATION OF OUR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680" w:val="left"/>
          <w:tab w:leader="none" w:pos="1560" w:val="left"/>
        </w:tabs>
        <w:rPr>
          <w:sz w:val="20"/>
          <w:szCs w:val="20"/>
          <w:color w:val="auto"/>
        </w:rPr>
      </w:pPr>
      <w:r>
        <w:rPr>
          <w:rFonts w:ascii="Arial" w:cs="Arial" w:eastAsia="Arial" w:hAnsi="Arial"/>
          <w:sz w:val="14"/>
          <w:szCs w:val="14"/>
          <w:b w:val="1"/>
          <w:bCs w:val="1"/>
          <w:color w:val="51555C"/>
        </w:rPr>
        <w:t>For</w:t>
      </w:r>
      <w:r>
        <w:rPr>
          <w:sz w:val="20"/>
          <w:szCs w:val="20"/>
          <w:color w:val="auto"/>
        </w:rPr>
        <w:tab/>
      </w:r>
      <w:r>
        <w:rPr>
          <w:rFonts w:ascii="Arial" w:cs="Arial" w:eastAsia="Arial" w:hAnsi="Arial"/>
          <w:sz w:val="14"/>
          <w:szCs w:val="14"/>
          <w:b w:val="1"/>
          <w:bCs w:val="1"/>
          <w:color w:val="51555C"/>
        </w:rPr>
        <w:t>Against</w:t>
      </w:r>
      <w:r>
        <w:rPr>
          <w:sz w:val="20"/>
          <w:szCs w:val="20"/>
          <w:color w:val="auto"/>
        </w:rPr>
        <w:tab/>
      </w:r>
      <w:r>
        <w:rPr>
          <w:rFonts w:ascii="Arial" w:cs="Arial" w:eastAsia="Arial" w:hAnsi="Arial"/>
          <w:sz w:val="14"/>
          <w:szCs w:val="14"/>
          <w:b w:val="1"/>
          <w:bCs w:val="1"/>
          <w:color w:val="51555C"/>
        </w:rPr>
        <w:t>Abstain</w:t>
      </w:r>
    </w:p>
    <w:p>
      <w:pPr>
        <w:spacing w:after="0" w:line="73" w:lineRule="exact"/>
        <w:rPr>
          <w:sz w:val="20"/>
          <w:szCs w:val="20"/>
          <w:color w:val="auto"/>
        </w:rPr>
      </w:pPr>
    </w:p>
    <w:p>
      <w:pPr>
        <w:ind w:left="20"/>
        <w:spacing w:after="0" w:line="181" w:lineRule="exact"/>
        <w:tabs>
          <w:tab w:leader="none" w:pos="880" w:val="left"/>
          <w:tab w:leader="none" w:pos="1740" w:val="left"/>
        </w:tabs>
        <w:rPr>
          <w:sz w:val="20"/>
          <w:szCs w:val="20"/>
          <w:color w:val="auto"/>
        </w:rPr>
      </w:pPr>
      <w:r>
        <w:rPr>
          <w:rFonts w:ascii="MS PGothic" w:cs="MS PGothic" w:eastAsia="MS PGothic" w:hAnsi="MS PGothic"/>
          <w:sz w:val="18"/>
          <w:szCs w:val="18"/>
          <w:color w:val="51555C"/>
        </w:rPr>
        <w:t>☐</w:t>
      </w:r>
      <w:r>
        <w:rPr>
          <w:sz w:val="20"/>
          <w:szCs w:val="20"/>
          <w:color w:val="auto"/>
        </w:rPr>
        <w:tab/>
      </w:r>
      <w:r>
        <w:rPr>
          <w:rFonts w:ascii="MS PGothic" w:cs="MS PGothic" w:eastAsia="MS PGothic" w:hAnsi="MS PGothic"/>
          <w:sz w:val="18"/>
          <w:szCs w:val="18"/>
          <w:color w:val="51555C"/>
        </w:rPr>
        <w:t>☐</w:t>
      </w:r>
      <w:r>
        <w:rPr>
          <w:sz w:val="20"/>
          <w:szCs w:val="20"/>
          <w:color w:val="auto"/>
        </w:rPr>
        <w:tab/>
      </w:r>
      <w:r>
        <w:rPr>
          <w:rFonts w:ascii="MS PGothic" w:cs="MS PGothic" w:eastAsia="MS PGothic" w:hAnsi="MS PGothic"/>
          <w:sz w:val="16"/>
          <w:szCs w:val="16"/>
          <w:color w:val="51555C"/>
        </w:rPr>
        <w:t>☐</w:t>
      </w:r>
    </w:p>
    <w:p>
      <w:pPr>
        <w:spacing w:after="0" w:line="279" w:lineRule="exact"/>
        <w:rPr>
          <w:sz w:val="20"/>
          <w:szCs w:val="20"/>
          <w:color w:val="auto"/>
        </w:rPr>
      </w:pPr>
    </w:p>
    <w:p>
      <w:pPr>
        <w:sectPr>
          <w:pgSz w:w="11900" w:h="16838" w:orient="portrait"/>
          <w:cols w:equalWidth="0" w:num="2">
            <w:col w:w="4700" w:space="520"/>
            <w:col w:w="5940"/>
          </w:cols>
          <w:pgMar w:left="340" w:top="300" w:right="399" w:bottom="1440" w:gutter="0" w:footer="0" w:header="0"/>
          <w:type w:val="continuous"/>
        </w:sectPr>
      </w:pPr>
    </w:p>
    <w:p>
      <w:pPr>
        <w:spacing w:after="0" w:line="49" w:lineRule="exact"/>
        <w:rPr>
          <w:sz w:val="20"/>
          <w:szCs w:val="20"/>
          <w:color w:val="auto"/>
        </w:rPr>
      </w:pPr>
    </w:p>
    <w:p>
      <w:pPr>
        <w:ind w:left="600" w:right="120" w:hanging="392"/>
        <w:spacing w:after="0" w:line="283" w:lineRule="auto"/>
        <w:tabs>
          <w:tab w:leader="none" w:pos="600" w:val="left"/>
        </w:tabs>
        <w:numPr>
          <w:ilvl w:val="0"/>
          <w:numId w:val="161"/>
        </w:numPr>
        <w:rPr>
          <w:rFonts w:ascii="Arial" w:cs="Arial" w:eastAsia="Arial" w:hAnsi="Arial"/>
          <w:sz w:val="14"/>
          <w:szCs w:val="14"/>
          <w:color w:val="51555C"/>
        </w:rPr>
      </w:pPr>
      <w:r>
        <w:rPr>
          <w:rFonts w:ascii="Arial" w:cs="Arial" w:eastAsia="Arial" w:hAnsi="Arial"/>
          <w:sz w:val="14"/>
          <w:szCs w:val="14"/>
          <w:color w:val="51555C"/>
        </w:rPr>
        <w:t>APPROVAL OF THE AMENDMENT AND RESTATEMENT OF THE BLACKBAUD, INC. 2016 EQUITY AND INCENTIVE COMPENSATION PLAN.</w:t>
      </w:r>
    </w:p>
    <w:p>
      <w:pPr>
        <w:spacing w:after="0" w:line="51" w:lineRule="exact"/>
        <w:rPr>
          <w:rFonts w:ascii="Arial" w:cs="Arial" w:eastAsia="Arial" w:hAnsi="Arial"/>
          <w:sz w:val="14"/>
          <w:szCs w:val="14"/>
          <w:color w:val="51555C"/>
        </w:rPr>
      </w:pPr>
    </w:p>
    <w:p>
      <w:pPr>
        <w:ind w:left="600" w:hanging="392"/>
        <w:spacing w:after="0" w:line="269" w:lineRule="auto"/>
        <w:tabs>
          <w:tab w:leader="none" w:pos="600" w:val="left"/>
        </w:tabs>
        <w:numPr>
          <w:ilvl w:val="0"/>
          <w:numId w:val="161"/>
        </w:numPr>
        <w:rPr>
          <w:rFonts w:ascii="Arial" w:cs="Arial" w:eastAsia="Arial" w:hAnsi="Arial"/>
          <w:sz w:val="14"/>
          <w:szCs w:val="14"/>
          <w:color w:val="51555C"/>
        </w:rPr>
      </w:pPr>
      <w:r>
        <w:rPr>
          <w:rFonts w:ascii="Arial" w:cs="Arial" w:eastAsia="Arial" w:hAnsi="Arial"/>
          <w:sz w:val="14"/>
          <w:szCs w:val="14"/>
          <w:color w:val="51555C"/>
        </w:rPr>
        <w:t>RATIFICATION OF THE APPOINTMENT OF ERNST &amp; YOUNG LLP AS OUR INDEPENDENT REGISTERED PUBLIC ACCOUNTING FIRM FOR THE FISCAL YEAR ENDING DECEMBER 31, 2026.</w:t>
      </w:r>
    </w:p>
    <w:p>
      <w:pPr>
        <w:spacing w:after="0" w:line="20" w:lineRule="exact"/>
        <w:rPr>
          <w:sz w:val="20"/>
          <w:szCs w:val="20"/>
          <w:color w:val="auto"/>
        </w:rPr>
      </w:pPr>
      <w:r>
        <w:rPr>
          <w:sz w:val="20"/>
          <w:szCs w:val="20"/>
          <w:color w:val="auto"/>
        </w:rPr>
        <w:br w:type="column"/>
      </w:r>
    </w:p>
    <w:p>
      <w:pPr>
        <w:spacing w:after="0" w:line="160" w:lineRule="exact"/>
        <w:tabs>
          <w:tab w:leader="none" w:pos="860" w:val="left"/>
          <w:tab w:leader="none" w:pos="1720" w:val="left"/>
        </w:tabs>
        <w:rPr>
          <w:sz w:val="20"/>
          <w:szCs w:val="20"/>
          <w:color w:val="auto"/>
        </w:rPr>
      </w:pPr>
      <w:r>
        <w:rPr>
          <w:rFonts w:ascii="MS PGothic" w:cs="MS PGothic" w:eastAsia="MS PGothic" w:hAnsi="MS PGothic"/>
          <w:sz w:val="18"/>
          <w:szCs w:val="18"/>
          <w:color w:val="51555C"/>
        </w:rPr>
        <w:t>☐</w:t>
      </w:r>
      <w:r>
        <w:rPr>
          <w:sz w:val="20"/>
          <w:szCs w:val="20"/>
          <w:color w:val="auto"/>
        </w:rPr>
        <w:tab/>
      </w:r>
      <w:r>
        <w:rPr>
          <w:rFonts w:ascii="MS PGothic" w:cs="MS PGothic" w:eastAsia="MS PGothic" w:hAnsi="MS PGothic"/>
          <w:sz w:val="18"/>
          <w:szCs w:val="18"/>
          <w:color w:val="51555C"/>
        </w:rPr>
        <w:t>☐</w:t>
      </w:r>
      <w:r>
        <w:rPr>
          <w:sz w:val="20"/>
          <w:szCs w:val="20"/>
          <w:color w:val="auto"/>
        </w:rPr>
        <w:tab/>
      </w:r>
      <w:r>
        <w:rPr>
          <w:rFonts w:ascii="MS PGothic" w:cs="MS PGothic" w:eastAsia="MS PGothic" w:hAnsi="MS PGothic"/>
          <w:sz w:val="16"/>
          <w:szCs w:val="16"/>
          <w:color w:val="51555C"/>
        </w:rPr>
        <w:t>☐</w:t>
      </w:r>
    </w:p>
    <w:p>
      <w:pPr>
        <w:spacing w:after="0" w:line="200" w:lineRule="exact"/>
        <w:rPr>
          <w:sz w:val="20"/>
          <w:szCs w:val="20"/>
          <w:color w:val="auto"/>
        </w:rPr>
      </w:pPr>
    </w:p>
    <w:p>
      <w:pPr>
        <w:spacing w:after="0" w:line="241" w:lineRule="exact"/>
        <w:rPr>
          <w:sz w:val="20"/>
          <w:szCs w:val="20"/>
          <w:color w:val="auto"/>
        </w:rPr>
      </w:pPr>
    </w:p>
    <w:p>
      <w:pPr>
        <w:spacing w:after="0" w:line="181" w:lineRule="exact"/>
        <w:tabs>
          <w:tab w:leader="none" w:pos="860" w:val="left"/>
          <w:tab w:leader="none" w:pos="1720" w:val="left"/>
        </w:tabs>
        <w:rPr>
          <w:sz w:val="20"/>
          <w:szCs w:val="20"/>
          <w:color w:val="auto"/>
        </w:rPr>
      </w:pPr>
      <w:r>
        <w:rPr>
          <w:rFonts w:ascii="MS PGothic" w:cs="MS PGothic" w:eastAsia="MS PGothic" w:hAnsi="MS PGothic"/>
          <w:sz w:val="18"/>
          <w:szCs w:val="18"/>
          <w:color w:val="51555C"/>
        </w:rPr>
        <w:t>☐</w:t>
      </w:r>
      <w:r>
        <w:rPr>
          <w:sz w:val="20"/>
          <w:szCs w:val="20"/>
          <w:color w:val="auto"/>
        </w:rPr>
        <w:tab/>
      </w:r>
      <w:r>
        <w:rPr>
          <w:rFonts w:ascii="MS PGothic" w:cs="MS PGothic" w:eastAsia="MS PGothic" w:hAnsi="MS PGothic"/>
          <w:sz w:val="18"/>
          <w:szCs w:val="18"/>
          <w:color w:val="51555C"/>
        </w:rPr>
        <w:t>☐</w:t>
      </w:r>
      <w:r>
        <w:rPr>
          <w:sz w:val="20"/>
          <w:szCs w:val="20"/>
          <w:color w:val="auto"/>
        </w:rPr>
        <w:tab/>
      </w:r>
      <w:r>
        <w:rPr>
          <w:rFonts w:ascii="MS PGothic" w:cs="MS PGothic" w:eastAsia="MS PGothic" w:hAnsi="MS PGothic"/>
          <w:sz w:val="16"/>
          <w:szCs w:val="16"/>
          <w:color w:val="51555C"/>
        </w:rPr>
        <w:t>☐</w:t>
      </w:r>
    </w:p>
    <w:p>
      <w:pPr>
        <w:spacing w:after="0" w:line="791" w:lineRule="exact"/>
        <w:rPr>
          <w:sz w:val="20"/>
          <w:szCs w:val="20"/>
          <w:color w:val="auto"/>
        </w:rPr>
      </w:pPr>
    </w:p>
    <w:p>
      <w:pPr>
        <w:sectPr>
          <w:pgSz w:w="11900" w:h="16838" w:orient="portrait"/>
          <w:cols w:equalWidth="0" w:num="2">
            <w:col w:w="4700" w:space="540"/>
            <w:col w:w="5920"/>
          </w:cols>
          <w:pgMar w:left="340" w:top="300" w:right="399" w:bottom="1440" w:gutter="0" w:footer="0" w:header="0"/>
          <w:type w:val="continuous"/>
        </w:sectPr>
      </w:pPr>
    </w:p>
    <w:p>
      <w:pPr>
        <w:spacing w:after="0" w:line="91" w:lineRule="exact"/>
        <w:rPr>
          <w:sz w:val="20"/>
          <w:szCs w:val="20"/>
          <w:color w:val="auto"/>
        </w:rPr>
      </w:pPr>
    </w:p>
    <w:p>
      <w:pPr>
        <w:jc w:val="both"/>
        <w:ind w:left="200" w:right="3740"/>
        <w:spacing w:after="0" w:line="261" w:lineRule="auto"/>
        <w:rPr>
          <w:sz w:val="20"/>
          <w:szCs w:val="20"/>
          <w:color w:val="auto"/>
        </w:rPr>
      </w:pPr>
      <w:r>
        <w:rPr>
          <w:rFonts w:ascii="Arial" w:cs="Arial" w:eastAsia="Arial" w:hAnsi="Arial"/>
          <w:sz w:val="14"/>
          <w:szCs w:val="14"/>
          <w:b w:val="1"/>
          <w:bCs w:val="1"/>
          <w:color w:val="51555C"/>
        </w:rPr>
        <w:t xml:space="preserve">NOTE: </w:t>
      </w:r>
      <w:r>
        <w:rPr>
          <w:rFonts w:ascii="Arial" w:cs="Arial" w:eastAsia="Arial" w:hAnsi="Arial"/>
          <w:sz w:val="14"/>
          <w:szCs w:val="14"/>
          <w:color w:val="51555C"/>
        </w:rPr>
        <w:t>In their discretion, appointed proxies are authorized to vote upon such other business as may properly</w:t>
      </w:r>
      <w:r>
        <w:rPr>
          <w:rFonts w:ascii="Arial" w:cs="Arial" w:eastAsia="Arial" w:hAnsi="Arial"/>
          <w:sz w:val="14"/>
          <w:szCs w:val="14"/>
          <w:b w:val="1"/>
          <w:bCs w:val="1"/>
          <w:color w:val="51555C"/>
        </w:rPr>
        <w:t xml:space="preserve"> </w:t>
      </w:r>
      <w:r>
        <w:rPr>
          <w:rFonts w:ascii="Arial" w:cs="Arial" w:eastAsia="Arial" w:hAnsi="Arial"/>
          <w:sz w:val="14"/>
          <w:szCs w:val="14"/>
          <w:color w:val="51555C"/>
        </w:rPr>
        <w:t xml:space="preserve">come before the Annual Meeting or any adjournment thereof. This proxy, when properly executed, will be voted as directed herein by the undersigned stockholder. </w:t>
      </w:r>
      <w:r>
        <w:rPr>
          <w:rFonts w:ascii="Arial" w:cs="Arial" w:eastAsia="Arial" w:hAnsi="Arial"/>
          <w:sz w:val="14"/>
          <w:szCs w:val="14"/>
          <w:b w:val="1"/>
          <w:bCs w:val="1"/>
          <w:color w:val="51555C"/>
        </w:rPr>
        <w:t>If no direction is made, this proxy will be voted</w:t>
      </w:r>
      <w:r>
        <w:rPr>
          <w:rFonts w:ascii="Arial" w:cs="Arial" w:eastAsia="Arial" w:hAnsi="Arial"/>
          <w:sz w:val="14"/>
          <w:szCs w:val="14"/>
          <w:color w:val="51555C"/>
        </w:rPr>
        <w:t xml:space="preserve"> </w:t>
      </w:r>
      <w:r>
        <w:rPr>
          <w:rFonts w:ascii="Arial" w:cs="Arial" w:eastAsia="Arial" w:hAnsi="Arial"/>
          <w:sz w:val="14"/>
          <w:szCs w:val="14"/>
          <w:b w:val="1"/>
          <w:bCs w:val="1"/>
          <w:u w:val="single" w:color="auto"/>
          <w:color w:val="51555C"/>
        </w:rPr>
        <w:t>FOR</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51555C"/>
        </w:rPr>
        <w:t>Proposals 1, 2 and 3.</w:t>
      </w:r>
    </w:p>
    <w:p>
      <w:pPr>
        <w:spacing w:after="0" w:line="325" w:lineRule="exact"/>
        <w:rPr>
          <w:sz w:val="20"/>
          <w:szCs w:val="20"/>
          <w:color w:val="auto"/>
        </w:rPr>
      </w:pPr>
    </w:p>
    <w:p>
      <w:pPr>
        <w:jc w:val="both"/>
        <w:ind w:left="200" w:right="3720"/>
        <w:spacing w:after="0" w:line="283" w:lineRule="auto"/>
        <w:rPr>
          <w:sz w:val="20"/>
          <w:szCs w:val="20"/>
          <w:color w:val="auto"/>
        </w:rPr>
      </w:pPr>
      <w:r>
        <w:rPr>
          <w:rFonts w:ascii="Arial" w:cs="Arial" w:eastAsia="Arial" w:hAnsi="Arial"/>
          <w:sz w:val="14"/>
          <w:szCs w:val="14"/>
          <w:color w:val="51555C"/>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391" w:lineRule="exact"/>
        <w:rPr>
          <w:sz w:val="20"/>
          <w:szCs w:val="20"/>
          <w:color w:val="auto"/>
        </w:rPr>
      </w:pPr>
    </w:p>
    <w:p>
      <w:pPr>
        <w:ind w:left="200"/>
        <w:spacing w:after="0"/>
        <w:tabs>
          <w:tab w:leader="none" w:pos="4100" w:val="left"/>
          <w:tab w:leader="none" w:pos="5800" w:val="left"/>
          <w:tab w:leader="none" w:pos="9320" w:val="left"/>
        </w:tabs>
        <w:rPr>
          <w:sz w:val="20"/>
          <w:szCs w:val="20"/>
          <w:color w:val="auto"/>
        </w:rPr>
      </w:pPr>
      <w:r>
        <w:rPr>
          <w:rFonts w:ascii="Arial" w:cs="Arial" w:eastAsia="Arial" w:hAnsi="Arial"/>
          <w:sz w:val="14"/>
          <w:szCs w:val="14"/>
          <w:color w:val="51555C"/>
        </w:rPr>
        <w:t>Signature [PLEASE SIGN WITHIN BOX]</w:t>
      </w:r>
      <w:r>
        <w:rPr>
          <w:sz w:val="20"/>
          <w:szCs w:val="20"/>
          <w:color w:val="auto"/>
        </w:rPr>
        <w:tab/>
      </w:r>
      <w:r>
        <w:rPr>
          <w:rFonts w:ascii="Arial" w:cs="Arial" w:eastAsia="Arial" w:hAnsi="Arial"/>
          <w:sz w:val="14"/>
          <w:szCs w:val="14"/>
          <w:color w:val="51555C"/>
        </w:rPr>
        <w:t>Date</w:t>
      </w:r>
      <w:r>
        <w:rPr>
          <w:sz w:val="20"/>
          <w:szCs w:val="20"/>
          <w:color w:val="auto"/>
        </w:rPr>
        <w:tab/>
      </w:r>
      <w:r>
        <w:rPr>
          <w:rFonts w:ascii="Arial" w:cs="Arial" w:eastAsia="Arial" w:hAnsi="Arial"/>
          <w:sz w:val="14"/>
          <w:szCs w:val="14"/>
          <w:color w:val="51555C"/>
        </w:rPr>
        <w:t>Signature (Joint Owners)</w:t>
      </w:r>
      <w:r>
        <w:rPr>
          <w:sz w:val="20"/>
          <w:szCs w:val="20"/>
          <w:color w:val="auto"/>
        </w:rPr>
        <w:tab/>
      </w:r>
      <w:r>
        <w:rPr>
          <w:rFonts w:ascii="Arial" w:cs="Arial" w:eastAsia="Arial" w:hAnsi="Arial"/>
          <w:sz w:val="14"/>
          <w:szCs w:val="14"/>
          <w:color w:val="51555C"/>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6078855</wp:posOffset>
            </wp:positionH>
            <wp:positionV relativeFrom="paragraph">
              <wp:posOffset>1103630</wp:posOffset>
            </wp:positionV>
            <wp:extent cx="702945" cy="11112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02945" cy="11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8000" w:type="dxa"/>
        <w:tblCellMar>
          <w:top w:w="0" w:type="dxa"/>
          <w:left w:w="0" w:type="dxa"/>
          <w:bottom w:w="0" w:type="dxa"/>
          <w:right w:w="0" w:type="dxa"/>
        </w:tblCellMar>
      </w:tblPr>
      <w:tr>
        <w:trPr>
          <w:trHeight w:val="190"/>
        </w:trPr>
        <w:tc>
          <w:tcPr>
            <w:tcW w:w="2160" w:type="dxa"/>
            <w:vAlign w:val="bottom"/>
          </w:tcPr>
          <w:p>
            <w:pPr>
              <w:spacing w:after="0"/>
              <w:rPr>
                <w:sz w:val="20"/>
                <w:szCs w:val="20"/>
                <w:color w:val="auto"/>
              </w:rPr>
            </w:pPr>
            <w:r>
              <w:rPr>
                <w:rFonts w:ascii="Arial" w:cs="Arial" w:eastAsia="Arial" w:hAnsi="Arial"/>
                <w:sz w:val="14"/>
                <w:szCs w:val="14"/>
                <w:color w:val="51555C"/>
              </w:rPr>
              <w:t>2026 Proxy Statement</w:t>
            </w:r>
          </w:p>
        </w:tc>
        <w:tc>
          <w:tcPr>
            <w:tcW w:w="960" w:type="dxa"/>
            <w:vAlign w:val="bottom"/>
          </w:tcPr>
          <w:p>
            <w:pPr>
              <w:jc w:val="right"/>
              <w:spacing w:after="0"/>
              <w:rPr>
                <w:sz w:val="20"/>
                <w:szCs w:val="20"/>
                <w:color w:val="auto"/>
              </w:rPr>
            </w:pPr>
            <w:r>
              <w:rPr>
                <w:rFonts w:ascii="Arial" w:cs="Arial" w:eastAsia="Arial" w:hAnsi="Arial"/>
                <w:sz w:val="14"/>
                <w:szCs w:val="14"/>
                <w:color w:val="51555C"/>
              </w:rPr>
              <w:t>115</w:t>
            </w:r>
          </w:p>
        </w:tc>
      </w:tr>
    </w:tbl>
    <w:p>
      <w:pPr>
        <w:spacing w:after="0" w:line="1" w:lineRule="exact"/>
        <w:rPr>
          <w:sz w:val="20"/>
          <w:szCs w:val="20"/>
          <w:color w:val="auto"/>
        </w:rPr>
      </w:pPr>
    </w:p>
    <w:sectPr>
      <w:pgSz w:w="11900" w:h="16838" w:orient="portrait"/>
      <w:cols w:equalWidth="0" w:num="1">
        <w:col w:w="11160"/>
      </w:cols>
      <w:pgMar w:left="340" w:top="300"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
      <w:numFmt w:val="bullet"/>
      <w:start w:val="1"/>
    </w:lvl>
  </w:abstractNum>
  <w:abstractNum w:abstractNumId="5">
    <w:nsid w:val="71EA1109"/>
    <w:multiLevelType w:val="hybridMultilevel"/>
    <w:lvl w:ilvl="0">
      <w:lvlJc w:val="left"/>
      <w:lvlText w:val="•"/>
      <w:numFmt w:val="bullet"/>
      <w:start w:val="1"/>
    </w:lvl>
  </w:abstractNum>
  <w:abstractNum w:abstractNumId="6">
    <w:nsid w:val="100F59DC"/>
    <w:multiLevelType w:val="hybridMultilevel"/>
    <w:lvl w:ilvl="0">
      <w:lvlJc w:val="left"/>
      <w:lvlText w:val="%1."/>
      <w:numFmt w:val="decimal"/>
      <w:start w:val="1"/>
    </w:lvl>
  </w:abstractNum>
  <w:abstractNum w:abstractNumId="7">
    <w:nsid w:val="7FB7E0AA"/>
    <w:multiLevelType w:val="hybridMultilevel"/>
    <w:lvl w:ilvl="0">
      <w:lvlJc w:val="left"/>
      <w:lvlText w:val="(%1)"/>
      <w:numFmt w:val="decimal"/>
      <w:start w:val="1"/>
    </w:lvl>
  </w:abstractNum>
  <w:abstractNum w:abstractNumId="8">
    <w:nsid w:val="6EB5BD4"/>
    <w:multiLevelType w:val="hybridMultilevel"/>
    <w:lvl w:ilvl="0">
      <w:lvlJc w:val="left"/>
      <w:lvlText w:val="ü"/>
      <w:numFmt w:val="bullet"/>
      <w:start w:val="1"/>
    </w:lvl>
  </w:abstractNum>
  <w:abstractNum w:abstractNumId="9">
    <w:nsid w:val="6F6DD9AC"/>
    <w:multiLevelType w:val="hybridMultilevel"/>
    <w:lvl w:ilvl="0">
      <w:lvlJc w:val="left"/>
      <w:lvlText w:val="(%1)"/>
      <w:numFmt w:val="decimal"/>
      <w:start w:val="1"/>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
      <w:numFmt w:val="bullet"/>
      <w:start w:val="1"/>
    </w:lvl>
  </w:abstractNum>
  <w:abstractNum w:abstractNumId="12">
    <w:nsid w:val="76272110"/>
    <w:multiLevelType w:val="hybridMultilevel"/>
    <w:lvl w:ilvl="0">
      <w:lvlJc w:val="left"/>
      <w:lvlText w:val="•"/>
      <w:numFmt w:val="bullet"/>
      <w:start w:val="1"/>
    </w:lvl>
  </w:abstractNum>
  <w:abstractNum w:abstractNumId="13">
    <w:nsid w:val="4C04A8AF"/>
    <w:multiLevelType w:val="hybridMultilevel"/>
    <w:lvl w:ilvl="0">
      <w:lvlJc w:val="left"/>
      <w:lvlText w:val="•"/>
      <w:numFmt w:val="bullet"/>
      <w:start w:val="1"/>
    </w:lvl>
  </w:abstractNum>
  <w:abstractNum w:abstractNumId="14">
    <w:nsid w:val="1716703B"/>
    <w:multiLevelType w:val="hybridMultilevel"/>
    <w:lvl w:ilvl="0">
      <w:lvlJc w:val="left"/>
      <w:lvlText w:val="•"/>
      <w:numFmt w:val="bullet"/>
      <w:start w:val="1"/>
    </w:lvl>
  </w:abstractNum>
  <w:abstractNum w:abstractNumId="15">
    <w:nsid w:val="14E17E33"/>
    <w:multiLevelType w:val="hybridMultilevel"/>
    <w:lvl w:ilvl="0">
      <w:lvlJc w:val="left"/>
      <w:lvlText w:val="(%1)"/>
      <w:numFmt w:val="decimal"/>
      <w:start w:val="1"/>
    </w:lvl>
  </w:abstractNum>
  <w:abstractNum w:abstractNumId="16">
    <w:nsid w:val="3222E7CD"/>
    <w:multiLevelType w:val="hybridMultilevel"/>
    <w:lvl w:ilvl="0">
      <w:lvlJc w:val="left"/>
      <w:lvlText w:val="(%1)"/>
      <w:numFmt w:val="decimal"/>
      <w:start w:val="1"/>
    </w:lvl>
  </w:abstractNum>
  <w:abstractNum w:abstractNumId="17">
    <w:nsid w:val="74DE0EE3"/>
    <w:multiLevelType w:val="hybridMultilevel"/>
    <w:lvl w:ilvl="0">
      <w:lvlJc w:val="left"/>
      <w:lvlText w:val="†"/>
      <w:numFmt w:val="bullet"/>
      <w:start w:val="1"/>
    </w:lvl>
  </w:abstractNum>
  <w:abstractNum w:abstractNumId="18">
    <w:nsid w:val="68EBC550"/>
    <w:multiLevelType w:val="hybridMultilevel"/>
    <w:lvl w:ilvl="0">
      <w:lvlJc w:val="left"/>
      <w:lvlText w:val="l"/>
      <w:numFmt w:val="bullet"/>
      <w:start w:val="1"/>
    </w:lvl>
  </w:abstractNum>
  <w:abstractNum w:abstractNumId="19">
    <w:nsid w:val="2DF6D648"/>
    <w:multiLevelType w:val="hybridMultilevel"/>
    <w:lvl w:ilvl="0">
      <w:lvlJc w:val="left"/>
      <w:lvlText w:val="(%1)"/>
      <w:numFmt w:val="decimal"/>
      <w:start w:val="1"/>
    </w:lvl>
  </w:abstractNum>
  <w:abstractNum w:abstractNumId="20">
    <w:nsid w:val="46B7D447"/>
    <w:multiLevelType w:val="hybridMultilevel"/>
    <w:lvl w:ilvl="0">
      <w:lvlJc w:val="left"/>
      <w:lvlText w:val="l"/>
      <w:numFmt w:val="bullet"/>
      <w:start w:val="1"/>
    </w:lvl>
  </w:abstractNum>
  <w:abstractNum w:abstractNumId="21">
    <w:nsid w:val="4A2AC315"/>
    <w:multiLevelType w:val="hybridMultilevel"/>
    <w:lvl w:ilvl="0">
      <w:lvlJc w:val="left"/>
      <w:lvlText w:val="(%1)"/>
      <w:numFmt w:val="decimal"/>
      <w:start w:val="1"/>
    </w:lvl>
  </w:abstractNum>
  <w:abstractNum w:abstractNumId="22">
    <w:nsid w:val="39EE015C"/>
    <w:multiLevelType w:val="hybridMultilevel"/>
    <w:lvl w:ilvl="0">
      <w:lvlJc w:val="left"/>
      <w:lvlText w:val="l"/>
      <w:numFmt w:val="bullet"/>
      <w:start w:val="1"/>
    </w:lvl>
  </w:abstractNum>
  <w:abstractNum w:abstractNumId="23">
    <w:nsid w:val="57FC4FBB"/>
    <w:multiLevelType w:val="hybridMultilevel"/>
    <w:lvl w:ilvl="0">
      <w:lvlJc w:val="left"/>
      <w:lvlText w:val="(%1)"/>
      <w:numFmt w:val="decimal"/>
    </w:lvl>
    <w:lvl w:ilvl="1">
      <w:lvlJc w:val="left"/>
      <w:lvlText w:val="l"/>
      <w:numFmt w:val="bullet"/>
      <w:start w:val="1"/>
    </w:lvl>
  </w:abstractNum>
  <w:abstractNum w:abstractNumId="24">
    <w:nsid w:val="CC1016F"/>
    <w:multiLevelType w:val="hybridMultilevel"/>
    <w:lvl w:ilvl="0">
      <w:lvlJc w:val="left"/>
      <w:lvlText w:val="l"/>
      <w:numFmt w:val="bullet"/>
      <w:start w:val="1"/>
    </w:lvl>
  </w:abstractNum>
  <w:abstractNum w:abstractNumId="25">
    <w:nsid w:val="43F18422"/>
    <w:multiLevelType w:val="hybridMultilevel"/>
    <w:lvl w:ilvl="0">
      <w:lvlJc w:val="left"/>
      <w:lvlText w:val="(%1)"/>
      <w:numFmt w:val="decimal"/>
      <w:start w:val="1"/>
    </w:lvl>
  </w:abstractNum>
  <w:abstractNum w:abstractNumId="26">
    <w:nsid w:val="60EF0119"/>
    <w:multiLevelType w:val="hybridMultilevel"/>
    <w:lvl w:ilvl="0">
      <w:lvlJc w:val="left"/>
      <w:lvlText w:val="(%1)"/>
      <w:numFmt w:val="decimal"/>
      <w:start w:val="1"/>
    </w:lvl>
  </w:abstractNum>
  <w:abstractNum w:abstractNumId="27">
    <w:nsid w:val="26F324BA"/>
    <w:multiLevelType w:val="hybridMultilevel"/>
    <w:lvl w:ilvl="0">
      <w:lvlJc w:val="left"/>
      <w:lvlText w:val="(%1)"/>
      <w:numFmt w:val="decimal"/>
      <w:start w:val="1"/>
    </w:lvl>
  </w:abstractNum>
  <w:abstractNum w:abstractNumId="28">
    <w:nsid w:val="7F01579B"/>
    <w:multiLevelType w:val="hybridMultilevel"/>
    <w:lvl w:ilvl="0">
      <w:lvlJc w:val="left"/>
      <w:lvlText w:val="(%1)"/>
      <w:numFmt w:val="decimal"/>
      <w:start w:val="1"/>
    </w:lvl>
  </w:abstractNum>
  <w:abstractNum w:abstractNumId="29">
    <w:nsid w:val="49DA307D"/>
    <w:multiLevelType w:val="hybridMultilevel"/>
    <w:lvl w:ilvl="0">
      <w:lvlJc w:val="left"/>
      <w:lvlText w:val="*"/>
      <w:numFmt w:val="bullet"/>
      <w:start w:val="1"/>
    </w:lvl>
  </w:abstractNum>
  <w:abstractNum w:abstractNumId="30">
    <w:nsid w:val="7055A5F5"/>
    <w:multiLevelType w:val="hybridMultilevel"/>
    <w:lvl w:ilvl="0">
      <w:lvlJc w:val="left"/>
      <w:lvlText w:val="*"/>
      <w:numFmt w:val="bullet"/>
      <w:start w:val="1"/>
    </w:lvl>
  </w:abstractNum>
  <w:abstractNum w:abstractNumId="31">
    <w:nsid w:val="5FB8370B"/>
    <w:multiLevelType w:val="hybridMultilevel"/>
    <w:lvl w:ilvl="0">
      <w:lvlJc w:val="left"/>
      <w:lvlText w:val="ü"/>
      <w:numFmt w:val="bullet"/>
      <w:start w:val="1"/>
    </w:lvl>
  </w:abstractNum>
  <w:abstractNum w:abstractNumId="32">
    <w:nsid w:val="50801EE1"/>
    <w:multiLevelType w:val="hybridMultilevel"/>
    <w:lvl w:ilvl="0">
      <w:lvlJc w:val="left"/>
      <w:lvlText w:val="(%1)"/>
      <w:numFmt w:val="decimal"/>
      <w:start w:val="1"/>
    </w:lvl>
  </w:abstractNum>
  <w:abstractNum w:abstractNumId="33">
    <w:nsid w:val="488AC1A"/>
    <w:multiLevelType w:val="hybridMultilevel"/>
    <w:lvl w:ilvl="0">
      <w:lvlJc w:val="left"/>
      <w:lvlText w:val="•"/>
      <w:numFmt w:val="bullet"/>
      <w:start w:val="1"/>
    </w:lvl>
  </w:abstractNum>
  <w:abstractNum w:abstractNumId="34">
    <w:nsid w:val="5FB8011C"/>
    <w:multiLevelType w:val="hybridMultilevel"/>
    <w:lvl w:ilvl="0">
      <w:lvlJc w:val="left"/>
      <w:lvlText w:val="•"/>
      <w:numFmt w:val="bullet"/>
      <w:start w:val="1"/>
    </w:lvl>
  </w:abstractNum>
  <w:abstractNum w:abstractNumId="35">
    <w:nsid w:val="6AA78F7F"/>
    <w:multiLevelType w:val="hybridMultilevel"/>
    <w:lvl w:ilvl="0">
      <w:lvlJc w:val="left"/>
      <w:lvlText w:val="•"/>
      <w:numFmt w:val="bullet"/>
      <w:start w:val="1"/>
    </w:lvl>
  </w:abstractNum>
  <w:abstractNum w:abstractNumId="36">
    <w:nsid w:val="7672BD23"/>
    <w:multiLevelType w:val="hybridMultilevel"/>
    <w:lvl w:ilvl="0">
      <w:lvlJc w:val="left"/>
      <w:lvlText w:val="•"/>
      <w:numFmt w:val="bullet"/>
      <w:start w:val="1"/>
    </w:lvl>
  </w:abstractNum>
  <w:abstractNum w:abstractNumId="37">
    <w:nsid w:val="6FC75AF8"/>
    <w:multiLevelType w:val="hybridMultilevel"/>
    <w:lvl w:ilvl="0">
      <w:lvlJc w:val="left"/>
      <w:lvlText w:val="•"/>
      <w:numFmt w:val="bullet"/>
      <w:start w:val="1"/>
    </w:lvl>
  </w:abstractNum>
  <w:abstractNum w:abstractNumId="38">
    <w:nsid w:val="6A5F7029"/>
    <w:multiLevelType w:val="hybridMultilevel"/>
    <w:lvl w:ilvl="0">
      <w:lvlJc w:val="left"/>
      <w:lvlText w:val="•"/>
      <w:numFmt w:val="bullet"/>
      <w:start w:val="1"/>
    </w:lvl>
  </w:abstractNum>
  <w:abstractNum w:abstractNumId="39">
    <w:nsid w:val="7D5E18F8"/>
    <w:multiLevelType w:val="hybridMultilevel"/>
    <w:lvl w:ilvl="0">
      <w:lvlJc w:val="left"/>
      <w:lvlText w:val="•"/>
      <w:numFmt w:val="bullet"/>
      <w:start w:val="1"/>
    </w:lvl>
  </w:abstractNum>
  <w:abstractNum w:abstractNumId="40">
    <w:nsid w:val="5F3534A4"/>
    <w:multiLevelType w:val="hybridMultilevel"/>
    <w:lvl w:ilvl="0">
      <w:lvlJc w:val="left"/>
      <w:lvlText w:val="•"/>
      <w:numFmt w:val="bullet"/>
      <w:start w:val="1"/>
    </w:lvl>
  </w:abstractNum>
  <w:abstractNum w:abstractNumId="41">
    <w:nsid w:val="73A1821B"/>
    <w:multiLevelType w:val="hybridMultilevel"/>
    <w:lvl w:ilvl="0">
      <w:lvlJc w:val="left"/>
      <w:lvlText w:val="(%1)"/>
      <w:numFmt w:val="lowerRoman"/>
      <w:start w:val="4"/>
    </w:lvl>
  </w:abstractNum>
  <w:abstractNum w:abstractNumId="42">
    <w:nsid w:val="7DE67713"/>
    <w:multiLevelType w:val="hybridMultilevel"/>
    <w:lvl w:ilvl="0">
      <w:lvlJc w:val="left"/>
      <w:lvlText w:val="•"/>
      <w:numFmt w:val="bullet"/>
      <w:start w:val="1"/>
    </w:lvl>
  </w:abstractNum>
  <w:abstractNum w:abstractNumId="43">
    <w:nsid w:val="555C55B5"/>
    <w:multiLevelType w:val="hybridMultilevel"/>
    <w:lvl w:ilvl="0">
      <w:lvlJc w:val="left"/>
      <w:lvlText w:val="•"/>
      <w:numFmt w:val="bullet"/>
      <w:start w:val="1"/>
    </w:lvl>
  </w:abstractNum>
  <w:abstractNum w:abstractNumId="44">
    <w:nsid w:val="3FA62ACA"/>
    <w:multiLevelType w:val="hybridMultilevel"/>
    <w:lvl w:ilvl="0">
      <w:lvlJc w:val="left"/>
      <w:lvlText w:val="•"/>
      <w:numFmt w:val="bullet"/>
      <w:start w:val="1"/>
    </w:lvl>
  </w:abstractNum>
  <w:abstractNum w:abstractNumId="45">
    <w:nsid w:val="14FCE74E"/>
    <w:multiLevelType w:val="hybridMultilevel"/>
    <w:lvl w:ilvl="0">
      <w:lvlJc w:val="left"/>
      <w:lvlText w:val="•"/>
      <w:numFmt w:val="bullet"/>
      <w:start w:val="1"/>
    </w:lvl>
  </w:abstractNum>
  <w:abstractNum w:abstractNumId="46">
    <w:nsid w:val="6A3DD3E8"/>
    <w:multiLevelType w:val="hybridMultilevel"/>
    <w:lvl w:ilvl="0">
      <w:lvlJc w:val="left"/>
      <w:lvlText w:val="(%1)"/>
      <w:numFmt w:val="decimal"/>
      <w:start w:val="1"/>
    </w:lvl>
  </w:abstractNum>
  <w:abstractNum w:abstractNumId="47">
    <w:nsid w:val="71C91298"/>
    <w:multiLevelType w:val="hybridMultilevel"/>
    <w:lvl w:ilvl="0">
      <w:lvlJc w:val="left"/>
      <w:lvlText w:val="(%1)"/>
      <w:numFmt w:val="decimal"/>
      <w:start w:val="1"/>
    </w:lvl>
  </w:abstractNum>
  <w:abstractNum w:abstractNumId="48">
    <w:nsid w:val="9DAF632"/>
    <w:multiLevelType w:val="hybridMultilevel"/>
    <w:lvl w:ilvl="0">
      <w:lvlJc w:val="left"/>
      <w:lvlText w:val="(%1)"/>
      <w:numFmt w:val="decimal"/>
      <w:start w:val="1"/>
    </w:lvl>
  </w:abstractNum>
  <w:abstractNum w:abstractNumId="49">
    <w:nsid w:val="53299938"/>
    <w:multiLevelType w:val="hybridMultilevel"/>
    <w:lvl w:ilvl="0">
      <w:lvlJc w:val="left"/>
      <w:lvlText w:val="•"/>
      <w:numFmt w:val="bullet"/>
      <w:start w:val="1"/>
    </w:lvl>
  </w:abstractNum>
  <w:abstractNum w:abstractNumId="50">
    <w:nsid w:val="1FBFE8E0"/>
    <w:multiLevelType w:val="hybridMultilevel"/>
    <w:lvl w:ilvl="0">
      <w:lvlJc w:val="left"/>
      <w:lvlText w:val="(%1)"/>
      <w:numFmt w:val="decimal"/>
      <w:start w:val="1"/>
    </w:lvl>
  </w:abstractNum>
  <w:abstractNum w:abstractNumId="51">
    <w:nsid w:val="5092CA79"/>
    <w:multiLevelType w:val="hybridMultilevel"/>
    <w:lvl w:ilvl="0">
      <w:lvlJc w:val="left"/>
      <w:lvlText w:val="(%1)"/>
      <w:numFmt w:val="decimal"/>
      <w:start w:val="1"/>
    </w:lvl>
  </w:abstractNum>
  <w:abstractNum w:abstractNumId="52">
    <w:nsid w:val="1D545C4D"/>
    <w:multiLevelType w:val="hybridMultilevel"/>
    <w:lvl w:ilvl="0">
      <w:lvlJc w:val="left"/>
      <w:lvlText w:val="•"/>
      <w:numFmt w:val="bullet"/>
      <w:start w:val="1"/>
    </w:lvl>
  </w:abstractNum>
  <w:abstractNum w:abstractNumId="53">
    <w:nsid w:val="59ADEA3D"/>
    <w:multiLevelType w:val="hybridMultilevel"/>
    <w:lvl w:ilvl="0">
      <w:lvlJc w:val="left"/>
      <w:lvlText w:val="(%1)"/>
      <w:numFmt w:val="decimal"/>
      <w:start w:val="1"/>
    </w:lvl>
  </w:abstractNum>
  <w:abstractNum w:abstractNumId="54">
    <w:nsid w:val="288F1A34"/>
    <w:multiLevelType w:val="hybridMultilevel"/>
    <w:lvl w:ilvl="0">
      <w:lvlJc w:val="left"/>
      <w:lvlText w:val="(%1)"/>
      <w:numFmt w:val="decimal"/>
      <w:start w:val="1"/>
    </w:lvl>
  </w:abstractNum>
  <w:abstractNum w:abstractNumId="55">
    <w:nsid w:val="2A155DBC"/>
    <w:multiLevelType w:val="hybridMultilevel"/>
    <w:lvl w:ilvl="0">
      <w:lvlJc w:val="left"/>
      <w:lvlText w:val="(%1)"/>
      <w:numFmt w:val="decimal"/>
      <w:start w:val="1"/>
    </w:lvl>
  </w:abstractNum>
  <w:abstractNum w:abstractNumId="56">
    <w:nsid w:val="1D9F6E5F"/>
    <w:multiLevelType w:val="hybridMultilevel"/>
    <w:lvl w:ilvl="0">
      <w:lvlJc w:val="left"/>
      <w:lvlText w:val="(%1)"/>
      <w:numFmt w:val="decimal"/>
      <w:start w:val="1"/>
    </w:lvl>
  </w:abstractNum>
  <w:abstractNum w:abstractNumId="57">
    <w:nsid w:val="97E1B4E"/>
    <w:multiLevelType w:val="hybridMultilevel"/>
    <w:lvl w:ilvl="0">
      <w:lvlJc w:val="left"/>
      <w:lvlText w:val="•"/>
      <w:numFmt w:val="bullet"/>
      <w:start w:val="1"/>
    </w:lvl>
  </w:abstractNum>
  <w:abstractNum w:abstractNumId="58">
    <w:nsid w:val="51088277"/>
    <w:multiLevelType w:val="hybridMultilevel"/>
    <w:lvl w:ilvl="0">
      <w:lvlJc w:val="left"/>
      <w:lvlText w:val="•"/>
      <w:numFmt w:val="bullet"/>
      <w:start w:val="1"/>
    </w:lvl>
  </w:abstractNum>
  <w:abstractNum w:abstractNumId="59">
    <w:nsid w:val="1CA0C5FA"/>
    <w:multiLevelType w:val="hybridMultilevel"/>
    <w:lvl w:ilvl="0">
      <w:lvlJc w:val="left"/>
      <w:lvlText w:val="(%1)"/>
      <w:numFmt w:val="decimal"/>
      <w:start w:val="1"/>
    </w:lvl>
  </w:abstractNum>
  <w:abstractNum w:abstractNumId="60">
    <w:nsid w:val="53584BCB"/>
    <w:multiLevelType w:val="hybridMultilevel"/>
    <w:lvl w:ilvl="0">
      <w:lvlJc w:val="left"/>
      <w:lvlText w:val="(%1)"/>
      <w:numFmt w:val="decimal"/>
      <w:start w:val="1"/>
    </w:lvl>
  </w:abstractNum>
  <w:abstractNum w:abstractNumId="61">
    <w:nsid w:val="415E286C"/>
    <w:multiLevelType w:val="hybridMultilevel"/>
    <w:lvl w:ilvl="0">
      <w:lvlJc w:val="left"/>
      <w:lvlText w:val="(%1)"/>
      <w:numFmt w:val="decimal"/>
      <w:start w:val="3"/>
    </w:lvl>
  </w:abstractNum>
  <w:abstractNum w:abstractNumId="62">
    <w:nsid w:val="7C58FD05"/>
    <w:multiLevelType w:val="hybridMultilevel"/>
    <w:lvl w:ilvl="0">
      <w:lvlJc w:val="left"/>
      <w:lvlText w:val="%1"/>
      <w:numFmt w:val="decimal"/>
      <w:start w:val="1"/>
    </w:lvl>
    <w:lvl w:ilvl="1">
      <w:lvlJc w:val="left"/>
      <w:lvlText w:val="(%2)"/>
      <w:numFmt w:val="lowerLetter"/>
      <w:start w:val="1"/>
    </w:lvl>
  </w:abstractNum>
  <w:abstractNum w:abstractNumId="63">
    <w:nsid w:val="23D86AAC"/>
    <w:multiLevelType w:val="hybridMultilevel"/>
    <w:lvl w:ilvl="0">
      <w:lvlJc w:val="left"/>
      <w:lvlText w:val="(%1)"/>
      <w:numFmt w:val="decimal"/>
      <w:start w:val="4"/>
    </w:lvl>
    <w:lvl w:ilvl="1">
      <w:lvlJc w:val="left"/>
      <w:lvlText w:val="%2"/>
      <w:numFmt w:val="lowerLetter"/>
      <w:start w:val="1"/>
    </w:lvl>
  </w:abstractNum>
  <w:abstractNum w:abstractNumId="64">
    <w:nsid w:val="45E6D486"/>
    <w:multiLevelType w:val="hybridMultilevel"/>
    <w:lvl w:ilvl="0">
      <w:lvlJc w:val="left"/>
      <w:lvlText w:val="(%1)"/>
      <w:numFmt w:val="decimal"/>
      <w:start w:val="1"/>
    </w:lvl>
  </w:abstractNum>
  <w:abstractNum w:abstractNumId="65">
    <w:nsid w:val="5C10FE21"/>
    <w:multiLevelType w:val="hybridMultilevel"/>
    <w:lvl w:ilvl="0">
      <w:lvlJc w:val="left"/>
      <w:lvlText w:val="(%1)"/>
      <w:numFmt w:val="decimal"/>
      <w:start w:val="1"/>
    </w:lvl>
  </w:abstractNum>
  <w:abstractNum w:abstractNumId="66">
    <w:nsid w:val="E7FFA2B"/>
    <w:multiLevelType w:val="hybridMultilevel"/>
    <w:lvl w:ilvl="0">
      <w:lvlJc w:val="left"/>
      <w:lvlText w:val="(%1)"/>
      <w:numFmt w:val="decimal"/>
      <w:start w:val="1"/>
    </w:lvl>
  </w:abstractNum>
  <w:abstractNum w:abstractNumId="67">
    <w:nsid w:val="3C5991AA"/>
    <w:multiLevelType w:val="hybridMultilevel"/>
    <w:lvl w:ilvl="0">
      <w:lvlJc w:val="left"/>
      <w:lvlText w:val="(%1)"/>
      <w:numFmt w:val="decimal"/>
      <w:start w:val="1"/>
    </w:lvl>
  </w:abstractNum>
  <w:abstractNum w:abstractNumId="68">
    <w:nsid w:val="4BD8591A"/>
    <w:multiLevelType w:val="hybridMultilevel"/>
    <w:lvl w:ilvl="0">
      <w:lvlJc w:val="left"/>
      <w:lvlText w:val="(%1)"/>
      <w:numFmt w:val="decimal"/>
      <w:start w:val="4"/>
    </w:lvl>
  </w:abstractNum>
  <w:abstractNum w:abstractNumId="69">
    <w:nsid w:val="78DF6A55"/>
    <w:multiLevelType w:val="hybridMultilevel"/>
    <w:lvl w:ilvl="0">
      <w:lvlJc w:val="left"/>
      <w:lvlText w:val="(%1)"/>
      <w:numFmt w:val="decimal"/>
      <w:start w:val="5"/>
    </w:lvl>
    <w:lvl w:ilvl="1">
      <w:lvlJc w:val="left"/>
      <w:lvlText w:val="%2."/>
      <w:numFmt w:val="lowerLetter"/>
      <w:start w:val="1"/>
    </w:lvl>
  </w:abstractNum>
  <w:abstractNum w:abstractNumId="70">
    <w:nsid w:val="39B7AAA2"/>
    <w:multiLevelType w:val="hybridMultilevel"/>
    <w:lvl w:ilvl="0">
      <w:lvlJc w:val="left"/>
      <w:lvlText w:val="(%1)"/>
      <w:numFmt w:val="decimal"/>
      <w:start w:val="7"/>
    </w:lvl>
  </w:abstractNum>
  <w:abstractNum w:abstractNumId="71">
    <w:nsid w:val="2B0D8DBE"/>
    <w:multiLevelType w:val="hybridMultilevel"/>
    <w:lvl w:ilvl="0">
      <w:lvlJc w:val="left"/>
      <w:lvlText w:val="(%1)"/>
      <w:numFmt w:val="decimal"/>
      <w:start w:val="1"/>
    </w:lvl>
  </w:abstractNum>
  <w:abstractNum w:abstractNumId="72">
    <w:nsid w:val="6C80EC70"/>
    <w:multiLevelType w:val="hybridMultilevel"/>
    <w:lvl w:ilvl="0">
      <w:lvlJc w:val="left"/>
      <w:lvlText w:val="•"/>
      <w:numFmt w:val="bullet"/>
      <w:start w:val="1"/>
    </w:lvl>
  </w:abstractNum>
  <w:abstractNum w:abstractNumId="73">
    <w:nsid w:val="379E21B5"/>
    <w:multiLevelType w:val="hybridMultilevel"/>
    <w:lvl w:ilvl="0">
      <w:lvlJc w:val="left"/>
      <w:lvlText w:val="•"/>
      <w:numFmt w:val="bullet"/>
      <w:start w:val="1"/>
    </w:lvl>
  </w:abstractNum>
  <w:abstractNum w:abstractNumId="74">
    <w:nsid w:val="69E373"/>
    <w:multiLevelType w:val="hybridMultilevel"/>
    <w:lvl w:ilvl="0">
      <w:lvlJc w:val="left"/>
      <w:lvlText w:val="•"/>
      <w:numFmt w:val="bullet"/>
      <w:start w:val="1"/>
    </w:lvl>
  </w:abstractNum>
  <w:abstractNum w:abstractNumId="75">
    <w:nsid w:val="2C27173B"/>
    <w:multiLevelType w:val="hybridMultilevel"/>
    <w:lvl w:ilvl="0">
      <w:lvlJc w:val="left"/>
      <w:lvlText w:val="•"/>
      <w:numFmt w:val="bullet"/>
      <w:start w:val="1"/>
    </w:lvl>
  </w:abstractNum>
  <w:abstractNum w:abstractNumId="76">
    <w:nsid w:val="4C9B0904"/>
    <w:multiLevelType w:val="hybridMultilevel"/>
    <w:lvl w:ilvl="0">
      <w:lvlJc w:val="left"/>
      <w:lvlText w:val="•"/>
      <w:numFmt w:val="bullet"/>
      <w:start w:val="1"/>
    </w:lvl>
  </w:abstractNum>
  <w:abstractNum w:abstractNumId="77">
    <w:nsid w:val="6AA7B75C"/>
    <w:multiLevelType w:val="hybridMultilevel"/>
    <w:lvl w:ilvl="0">
      <w:lvlJc w:val="left"/>
      <w:lvlText w:val="•"/>
      <w:numFmt w:val="bullet"/>
      <w:start w:val="1"/>
    </w:lvl>
  </w:abstractNum>
  <w:abstractNum w:abstractNumId="78">
    <w:nsid w:val="1DF029D3"/>
    <w:multiLevelType w:val="hybridMultilevel"/>
    <w:lvl w:ilvl="0">
      <w:lvlJc w:val="left"/>
      <w:lvlText w:val="(%1)"/>
      <w:numFmt w:val="decimal"/>
      <w:start w:val="1"/>
    </w:lvl>
  </w:abstractNum>
  <w:abstractNum w:abstractNumId="79">
    <w:nsid w:val="5675FF36"/>
    <w:multiLevelType w:val="hybridMultilevel"/>
    <w:lvl w:ilvl="0">
      <w:lvlJc w:val="left"/>
      <w:lvlText w:val="•"/>
      <w:numFmt w:val="bullet"/>
      <w:start w:val="1"/>
    </w:lvl>
  </w:abstractNum>
  <w:abstractNum w:abstractNumId="80">
    <w:nsid w:val="3DD15094"/>
    <w:multiLevelType w:val="hybridMultilevel"/>
    <w:lvl w:ilvl="0">
      <w:lvlJc w:val="left"/>
      <w:lvlText w:val="ü"/>
      <w:numFmt w:val="bullet"/>
      <w:start w:val="1"/>
    </w:lvl>
  </w:abstractNum>
  <w:abstractNum w:abstractNumId="81">
    <w:nsid w:val="3DB012B3"/>
    <w:multiLevelType w:val="hybridMultilevel"/>
    <w:lvl w:ilvl="0">
      <w:lvlJc w:val="left"/>
      <w:lvlText w:val="•"/>
      <w:numFmt w:val="bullet"/>
      <w:start w:val="1"/>
    </w:lvl>
  </w:abstractNum>
  <w:abstractNum w:abstractNumId="82">
    <w:nsid w:val="2708C9AF"/>
    <w:multiLevelType w:val="hybridMultilevel"/>
    <w:lvl w:ilvl="0">
      <w:lvlJc w:val="left"/>
      <w:lvlText w:val="(%1)"/>
      <w:numFmt w:val="lowerRoman"/>
      <w:start w:val="20"/>
    </w:lvl>
  </w:abstractNum>
  <w:abstractNum w:abstractNumId="83">
    <w:nsid w:val="5B25ACE2"/>
    <w:multiLevelType w:val="hybridMultilevel"/>
    <w:lvl w:ilvl="0">
      <w:lvlJc w:val="left"/>
      <w:lvlText w:val="(%1)"/>
      <w:numFmt w:val="lowerRoman"/>
      <w:start w:val="6"/>
    </w:lvl>
  </w:abstractNum>
  <w:abstractNum w:abstractNumId="84">
    <w:nsid w:val="175DFCF0"/>
    <w:multiLevelType w:val="hybridMultilevel"/>
    <w:lvl w:ilvl="0">
      <w:lvlJc w:val="left"/>
      <w:lvlText w:val="(%1)"/>
      <w:numFmt w:val="decimal"/>
      <w:start w:val="1"/>
    </w:lvl>
  </w:abstractNum>
  <w:abstractNum w:abstractNumId="85">
    <w:nsid w:val="4F97E3E4"/>
    <w:multiLevelType w:val="hybridMultilevel"/>
    <w:lvl w:ilvl="0">
      <w:lvlJc w:val="left"/>
      <w:lvlText w:val="ü"/>
      <w:numFmt w:val="bullet"/>
      <w:start w:val="1"/>
    </w:lvl>
  </w:abstractNum>
  <w:abstractNum w:abstractNumId="86">
    <w:nsid w:val="53B0A9E"/>
    <w:multiLevelType w:val="hybridMultilevel"/>
    <w:lvl w:ilvl="0">
      <w:lvlJc w:val="left"/>
      <w:lvlText w:val="(%1)"/>
      <w:numFmt w:val="decimal"/>
      <w:start w:val="2"/>
    </w:lvl>
  </w:abstractNum>
  <w:abstractNum w:abstractNumId="87">
    <w:nsid w:val="34FD6B4F"/>
    <w:multiLevelType w:val="hybridMultilevel"/>
    <w:lvl w:ilvl="0">
      <w:lvlJc w:val="left"/>
      <w:lvlText w:val="%1."/>
      <w:numFmt w:val="decimal"/>
      <w:start w:val="1"/>
    </w:lvl>
  </w:abstractNum>
  <w:abstractNum w:abstractNumId="88">
    <w:nsid w:val="5915FF32"/>
    <w:multiLevelType w:val="hybridMultilevel"/>
    <w:lvl w:ilvl="0">
      <w:lvlJc w:val="left"/>
      <w:lvlText w:val="%1."/>
      <w:numFmt w:val="decimal"/>
      <w:start w:val="2"/>
    </w:lvl>
  </w:abstractNum>
  <w:abstractNum w:abstractNumId="89">
    <w:nsid w:val="56438D15"/>
    <w:multiLevelType w:val="hybridMultilevel"/>
    <w:lvl w:ilvl="0">
      <w:lvlJc w:val="left"/>
      <w:lvlText w:val="%1."/>
      <w:numFmt w:val="decimal"/>
      <w:start w:val="3"/>
    </w:lvl>
  </w:abstractNum>
  <w:abstractNum w:abstractNumId="90">
    <w:nsid w:val="519E3149"/>
    <w:multiLevelType w:val="hybridMultilevel"/>
    <w:lvl w:ilvl="0">
      <w:lvlJc w:val="left"/>
      <w:lvlText w:val="•"/>
      <w:numFmt w:val="bullet"/>
      <w:start w:val="1"/>
    </w:lvl>
  </w:abstractNum>
  <w:abstractNum w:abstractNumId="91">
    <w:nsid w:val="2C6E4AFD"/>
    <w:multiLevelType w:val="hybridMultilevel"/>
    <w:lvl w:ilvl="0">
      <w:lvlJc w:val="left"/>
      <w:lvlText w:val="%1."/>
      <w:numFmt w:val="decimal"/>
      <w:start w:val="4"/>
    </w:lvl>
  </w:abstractNum>
  <w:abstractNum w:abstractNumId="92">
    <w:nsid w:val="17A1B582"/>
    <w:multiLevelType w:val="hybridMultilevel"/>
    <w:lvl w:ilvl="0">
      <w:lvlJc w:val="left"/>
      <w:lvlText w:val="(%1)"/>
      <w:numFmt w:val="decimal"/>
      <w:start w:val="1"/>
    </w:lvl>
  </w:abstractNum>
  <w:abstractNum w:abstractNumId="93">
    <w:nsid w:val="4DF72E4E"/>
    <w:multiLevelType w:val="hybridMultilevel"/>
    <w:lvl w:ilvl="0">
      <w:lvlJc w:val="left"/>
      <w:lvlText w:val="%1."/>
      <w:numFmt w:val="decimal"/>
      <w:start w:val="5"/>
    </w:lvl>
  </w:abstractNum>
  <w:abstractNum w:abstractNumId="94">
    <w:nsid w:val="5046B5A9"/>
    <w:multiLevelType w:val="hybridMultilevel"/>
    <w:lvl w:ilvl="0">
      <w:lvlJc w:val="left"/>
      <w:lvlText w:val="%1."/>
      <w:numFmt w:val="decimal"/>
      <w:start w:val="6"/>
    </w:lvl>
  </w:abstractNum>
  <w:abstractNum w:abstractNumId="95">
    <w:nsid w:val="5D888A08"/>
    <w:multiLevelType w:val="hybridMultilevel"/>
    <w:lvl w:ilvl="0">
      <w:lvlJc w:val="left"/>
      <w:lvlText w:val="•"/>
      <w:numFmt w:val="bullet"/>
      <w:start w:val="1"/>
    </w:lvl>
  </w:abstractNum>
  <w:abstractNum w:abstractNumId="96">
    <w:nsid w:val="2A082C70"/>
    <w:multiLevelType w:val="hybridMultilevel"/>
    <w:lvl w:ilvl="0">
      <w:lvlJc w:val="left"/>
      <w:lvlText w:val="%1."/>
      <w:numFmt w:val="decimal"/>
      <w:start w:val="7"/>
    </w:lvl>
  </w:abstractNum>
  <w:abstractNum w:abstractNumId="97">
    <w:nsid w:val="5EC6AFD4"/>
    <w:multiLevelType w:val="hybridMultilevel"/>
    <w:lvl w:ilvl="0">
      <w:lvlJc w:val="left"/>
      <w:lvlText w:val="•"/>
      <w:numFmt w:val="bullet"/>
      <w:start w:val="1"/>
    </w:lvl>
  </w:abstractNum>
  <w:abstractNum w:abstractNumId="98">
    <w:nsid w:val="19E21BB2"/>
    <w:multiLevelType w:val="hybridMultilevel"/>
    <w:lvl w:ilvl="0">
      <w:lvlJc w:val="left"/>
      <w:lvlText w:val="%1."/>
      <w:numFmt w:val="decimal"/>
      <w:start w:val="8"/>
    </w:lvl>
  </w:abstractNum>
  <w:abstractNum w:abstractNumId="99">
    <w:nsid w:val="75E0858A"/>
    <w:multiLevelType w:val="hybridMultilevel"/>
    <w:lvl w:ilvl="0">
      <w:lvlJc w:val="left"/>
      <w:lvlText w:val="%1."/>
      <w:numFmt w:val="decimal"/>
      <w:start w:val="9"/>
    </w:lvl>
  </w:abstractNum>
  <w:abstractNum w:abstractNumId="100">
    <w:nsid w:val="57A61A29"/>
    <w:multiLevelType w:val="hybridMultilevel"/>
    <w:lvl w:ilvl="0">
      <w:lvlJc w:val="left"/>
      <w:lvlText w:val="%1."/>
      <w:numFmt w:val="decimal"/>
      <w:start w:val="10"/>
    </w:lvl>
  </w:abstractNum>
  <w:abstractNum w:abstractNumId="101">
    <w:nsid w:val="5399C654"/>
    <w:multiLevelType w:val="hybridMultilevel"/>
    <w:lvl w:ilvl="0">
      <w:lvlJc w:val="left"/>
      <w:lvlText w:val="(%1)"/>
      <w:numFmt w:val="decimal"/>
      <w:start w:val="1"/>
    </w:lvl>
  </w:abstractNum>
  <w:abstractNum w:abstractNumId="102">
    <w:nsid w:val="20EE1348"/>
    <w:multiLevelType w:val="hybridMultilevel"/>
    <w:lvl w:ilvl="0">
      <w:lvlJc w:val="left"/>
      <w:lvlText w:val="(%1)"/>
      <w:numFmt w:val="decimal"/>
      <w:start w:val="1"/>
    </w:lvl>
  </w:abstractNum>
  <w:abstractNum w:abstractNumId="103">
    <w:nsid w:val="4427069A"/>
    <w:multiLevelType w:val="hybridMultilevel"/>
    <w:lvl w:ilvl="0">
      <w:lvlJc w:val="left"/>
      <w:lvlText w:val="(%1)"/>
      <w:numFmt w:val="decimal"/>
      <w:start w:val="1"/>
    </w:lvl>
  </w:abstractNum>
  <w:abstractNum w:abstractNumId="104">
    <w:nsid w:val="B37E80A"/>
    <w:multiLevelType w:val="hybridMultilevel"/>
    <w:lvl w:ilvl="0">
      <w:lvlJc w:val="left"/>
      <w:lvlText w:val="(%1)"/>
      <w:numFmt w:val="decimal"/>
      <w:start w:val="1"/>
    </w:lvl>
  </w:abstractNum>
  <w:abstractNum w:abstractNumId="105">
    <w:nsid w:val="2157F6BC"/>
    <w:multiLevelType w:val="hybridMultilevel"/>
    <w:lvl w:ilvl="0">
      <w:lvlJc w:val="left"/>
      <w:lvlText w:val="%1."/>
      <w:numFmt w:val="decimal"/>
      <w:start w:val="1"/>
    </w:lvl>
    <w:lvl w:ilvl="1">
      <w:lvlJc w:val="left"/>
      <w:lvlText w:val="(%2)"/>
      <w:numFmt w:val="lowerLetter"/>
      <w:start w:val="1"/>
    </w:lvl>
  </w:abstractNum>
  <w:abstractNum w:abstractNumId="106">
    <w:nsid w:val="704E1DD5"/>
    <w:multiLevelType w:val="hybridMultilevel"/>
    <w:lvl w:ilvl="0">
      <w:lvlJc w:val="left"/>
      <w:lvlText w:val="(%1)"/>
      <w:numFmt w:val="lowerLetter"/>
      <w:start w:val="2"/>
    </w:lvl>
    <w:lvl w:ilvl="1">
      <w:lvlJc w:val="left"/>
      <w:lvlText w:val="(%2)"/>
      <w:numFmt w:val="lowerLetter"/>
      <w:start w:val="3"/>
    </w:lvl>
  </w:abstractNum>
  <w:abstractNum w:abstractNumId="107">
    <w:nsid w:val="57D2F10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08">
    <w:nsid w:val="BFFAE18"/>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09">
    <w:nsid w:val="E3E47A8"/>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110">
    <w:nsid w:val="2E48F044"/>
    <w:multiLevelType w:val="hybridMultilevel"/>
    <w:lvl w:ilvl="0">
      <w:lvlJc w:val="left"/>
      <w:lvlText w:val="%1."/>
      <w:numFmt w:val="decimal"/>
      <w:start w:val="3"/>
    </w:lvl>
    <w:lvl w:ilvl="1">
      <w:lvlJc w:val="left"/>
      <w:lvlText w:val="(%2)"/>
      <w:numFmt w:val="lowerLetter"/>
      <w:start w:val="1"/>
    </w:lvl>
  </w:abstractNum>
  <w:abstractNum w:abstractNumId="111">
    <w:nsid w:val="49D0FEAC"/>
    <w:multiLevelType w:val="hybridMultilevel"/>
    <w:lvl w:ilvl="0">
      <w:lvlJc w:val="left"/>
      <w:lvlText w:val="(%1)"/>
      <w:numFmt w:val="lowerLetter"/>
      <w:start w:val="2"/>
    </w:lvl>
  </w:abstractNum>
  <w:abstractNum w:abstractNumId="112">
    <w:nsid w:val="4BEE5A5B"/>
    <w:multiLevelType w:val="hybridMultilevel"/>
    <w:lvl w:ilvl="0">
      <w:lvlJc w:val="left"/>
      <w:lvlText w:val="(%1)"/>
      <w:numFmt w:val="lowerLetter"/>
      <w:start w:val="3"/>
    </w:lvl>
    <w:lvl w:ilvl="1">
      <w:lvlJc w:val="left"/>
      <w:lvlText w:val="(%2)"/>
      <w:numFmt w:val="lowerRoman"/>
      <w:start w:val="1"/>
    </w:lvl>
  </w:abstractNum>
  <w:abstractNum w:abstractNumId="113">
    <w:nsid w:val="5551B9F3"/>
    <w:multiLevelType w:val="hybridMultilevel"/>
    <w:lvl w:ilvl="0">
      <w:lvlJc w:val="left"/>
      <w:lvlText w:val="%1"/>
      <w:numFmt w:val="decimal"/>
      <w:start w:val="1"/>
    </w:lvl>
    <w:lvl w:ilvl="1">
      <w:lvlJc w:val="left"/>
      <w:lvlText w:val="(%2)"/>
      <w:numFmt w:val="lowerLetter"/>
      <w:start w:val="6"/>
    </w:lvl>
  </w:abstractNum>
  <w:abstractNum w:abstractNumId="114">
    <w:nsid w:val="24F6AB8E"/>
    <w:multiLevelType w:val="hybridMultilevel"/>
    <w:lvl w:ilvl="0">
      <w:lvlJc w:val="left"/>
      <w:lvlText w:val="%1."/>
      <w:numFmt w:val="decimal"/>
      <w:start w:val="4"/>
    </w:lvl>
    <w:lvl w:ilvl="1">
      <w:lvlJc w:val="left"/>
      <w:lvlText w:val="(%2)"/>
      <w:numFmt w:val="lowerLetter"/>
      <w:start w:val="1"/>
    </w:lvl>
  </w:abstractNum>
  <w:abstractNum w:abstractNumId="115">
    <w:nsid w:val="634C574C"/>
    <w:multiLevelType w:val="hybridMultilevel"/>
    <w:lvl w:ilvl="0">
      <w:lvlJc w:val="left"/>
      <w:lvlText w:val="%1"/>
      <w:numFmt w:val="decimal"/>
      <w:start w:val="1"/>
    </w:lvl>
    <w:lvl w:ilvl="1">
      <w:lvlJc w:val="left"/>
      <w:lvlText w:val="(%2)"/>
      <w:numFmt w:val="lowerLetter"/>
      <w:start w:val="3"/>
    </w:lvl>
  </w:abstractNum>
  <w:abstractNum w:abstractNumId="116">
    <w:nsid w:val="24E99DD7"/>
    <w:multiLevelType w:val="hybridMultilevel"/>
    <w:lvl w:ilvl="0">
      <w:lvlJc w:val="left"/>
      <w:lvlText w:val="%1."/>
      <w:numFmt w:val="decimal"/>
      <w:start w:val="5"/>
    </w:lvl>
    <w:lvl w:ilvl="1">
      <w:lvlJc w:val="left"/>
      <w:lvlText w:val="%2"/>
      <w:numFmt w:val="lowerLetter"/>
      <w:start w:val="1"/>
    </w:lvl>
  </w:abstractNum>
  <w:abstractNum w:abstractNumId="117">
    <w:nsid w:val="2A31B62D"/>
    <w:multiLevelType w:val="hybridMultilevel"/>
    <w:lvl w:ilvl="0">
      <w:lvlJc w:val="left"/>
      <w:lvlText w:val="(%1)"/>
      <w:numFmt w:val="lowerLetter"/>
      <w:start w:val="1"/>
    </w:lvl>
  </w:abstractNum>
  <w:abstractNum w:abstractNumId="118">
    <w:nsid w:val="1849C29B"/>
    <w:multiLevelType w:val="hybridMultilevel"/>
    <w:lvl w:ilvl="0">
      <w:lvlJc w:val="left"/>
      <w:lvlText w:val="(%1)"/>
      <w:numFmt w:val="lowerLetter"/>
      <w:start w:val="6"/>
    </w:lvl>
    <w:lvl w:ilvl="1">
      <w:lvlJc w:val="left"/>
      <w:lvlText w:val="(%2)"/>
      <w:numFmt w:val="lowerRoman"/>
      <w:start w:val="1"/>
    </w:lvl>
  </w:abstractNum>
  <w:abstractNum w:abstractNumId="119">
    <w:nsid w:val="7DFF9D09"/>
    <w:multiLevelType w:val="hybridMultilevel"/>
    <w:lvl w:ilvl="0">
      <w:lvlJc w:val="left"/>
      <w:lvlText w:val="%1"/>
      <w:numFmt w:val="lowerLetter"/>
      <w:start w:val="1"/>
    </w:lvl>
    <w:lvl w:ilvl="1">
      <w:lvlJc w:val="left"/>
      <w:lvlText w:val="(%2)"/>
      <w:numFmt w:val="lowerRoman"/>
      <w:start w:val="1"/>
    </w:lvl>
  </w:abstractNum>
  <w:abstractNum w:abstractNumId="120">
    <w:nsid w:val="754342"/>
    <w:multiLevelType w:val="hybridMultilevel"/>
    <w:lvl w:ilvl="0">
      <w:lvlJc w:val="left"/>
      <w:lvlText w:val="(%1)"/>
      <w:numFmt w:val="lowerLetter"/>
      <w:start w:val="11"/>
    </w:lvl>
    <w:lvl w:ilvl="1">
      <w:lvlJc w:val="left"/>
      <w:lvlText w:val="%2"/>
      <w:numFmt w:val="lowerRoman"/>
      <w:start w:val="1"/>
    </w:lvl>
  </w:abstractNum>
  <w:abstractNum w:abstractNumId="121">
    <w:nsid w:val="69E7F3E5"/>
    <w:multiLevelType w:val="hybridMultilevel"/>
    <w:lvl w:ilvl="0">
      <w:lvlJc w:val="left"/>
      <w:lvlText w:val="%1"/>
      <w:numFmt w:val="decimal"/>
      <w:start w:val="1"/>
    </w:lvl>
    <w:lvl w:ilvl="1">
      <w:lvlJc w:val="left"/>
      <w:lvlText w:val="(%2)"/>
      <w:numFmt w:val="lowerLetter"/>
      <w:start w:val="15"/>
    </w:lvl>
  </w:abstractNum>
  <w:abstractNum w:abstractNumId="122">
    <w:nsid w:val="2A6DE806"/>
    <w:multiLevelType w:val="hybridMultilevel"/>
    <w:lvl w:ilvl="0">
      <w:lvlJc w:val="left"/>
      <w:lvlText w:val="%1."/>
      <w:numFmt w:val="decimal"/>
      <w:start w:val="6"/>
    </w:lvl>
    <w:lvl w:ilvl="1">
      <w:lvlJc w:val="left"/>
      <w:lvlText w:val="(%2)"/>
      <w:numFmt w:val="lowerLetter"/>
      <w:start w:val="1"/>
    </w:lvl>
  </w:abstractNum>
  <w:abstractNum w:abstractNumId="123">
    <w:nsid w:val="1816F8C4"/>
    <w:multiLevelType w:val="hybridMultilevel"/>
    <w:lvl w:ilvl="0">
      <w:lvlJc w:val="left"/>
      <w:lvlText w:val="%1"/>
      <w:numFmt w:val="lowerLetter"/>
      <w:start w:val="1"/>
    </w:lvl>
    <w:lvl w:ilvl="1">
      <w:lvlJc w:val="left"/>
      <w:lvlText w:val="(%2)"/>
      <w:numFmt w:val="lowerRoman"/>
      <w:start w:val="1"/>
    </w:lvl>
  </w:abstractNum>
  <w:abstractNum w:abstractNumId="124">
    <w:nsid w:val="37DF2233"/>
    <w:multiLevelType w:val="hybridMultilevel"/>
    <w:lvl w:ilvl="0">
      <w:lvlJc w:val="left"/>
      <w:lvlText w:val="(%1)"/>
      <w:numFmt w:val="lowerLetter"/>
      <w:start w:val="2"/>
    </w:lvl>
    <w:lvl w:ilvl="1">
      <w:lvlJc w:val="left"/>
      <w:lvlText w:val="(%2)"/>
      <w:numFmt w:val="lowerRoman"/>
      <w:start w:val="1"/>
    </w:lvl>
  </w:abstractNum>
  <w:abstractNum w:abstractNumId="125">
    <w:nsid w:val="7AB49D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26">
    <w:nsid w:val="759F82C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7">
    <w:nsid w:val="61E74EA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28">
    <w:nsid w:val="597B4D84"/>
    <w:multiLevelType w:val="hybridMultilevel"/>
    <w:lvl w:ilvl="0">
      <w:lvlJc w:val="left"/>
      <w:lvlText w:val="(%1)"/>
      <w:numFmt w:val="lowerLetter"/>
      <w:start w:val="2"/>
    </w:lvl>
    <w:lvl w:ilvl="1">
      <w:lvlJc w:val="left"/>
      <w:lvlText w:val="(%2)"/>
      <w:numFmt w:val="lowerLetter"/>
      <w:start w:val="9"/>
    </w:lvl>
  </w:abstractNum>
  <w:abstractNum w:abstractNumId="129">
    <w:nsid w:val="F819E7F"/>
    <w:multiLevelType w:val="hybridMultilevel"/>
    <w:lvl w:ilvl="0">
      <w:lvlJc w:val="left"/>
      <w:lvlText w:val="%1"/>
      <w:numFmt w:val="lowerLetter"/>
      <w:start w:val="1"/>
    </w:lvl>
    <w:lvl w:ilvl="1">
      <w:lvlJc w:val="left"/>
      <w:lvlText w:val="(%2)"/>
      <w:numFmt w:val="lowerRoman"/>
      <w:start w:val="2"/>
    </w:lvl>
  </w:abstractNum>
  <w:abstractNum w:abstractNumId="130">
    <w:nsid w:val="57C7D42D"/>
    <w:multiLevelType w:val="hybridMultilevel"/>
    <w:lvl w:ilvl="0">
      <w:lvlJc w:val="left"/>
      <w:lvlText w:val="(%1)"/>
      <w:numFmt w:val="lowerLetter"/>
      <w:start w:val="3"/>
    </w:lvl>
    <w:lvl w:ilvl="1">
      <w:lvlJc w:val="left"/>
      <w:lvlText w:val="(%2)"/>
      <w:numFmt w:val="lowerRoman"/>
      <w:start w:val="1"/>
    </w:lvl>
  </w:abstractNum>
  <w:abstractNum w:abstractNumId="131">
    <w:nsid w:val="312167AD"/>
    <w:multiLevelType w:val="hybridMultilevel"/>
    <w:lvl w:ilvl="0">
      <w:lvlJc w:val="left"/>
      <w:lvlText w:val="(%1)"/>
      <w:numFmt w:val="lowerRoman"/>
      <w:start w:val="2"/>
    </w:lvl>
  </w:abstractNum>
  <w:abstractNum w:abstractNumId="132">
    <w:nsid w:val="631B64D4"/>
    <w:multiLevelType w:val="hybridMultilevel"/>
    <w:lvl w:ilvl="0">
      <w:lvlJc w:val="left"/>
      <w:lvlText w:val="%1."/>
      <w:numFmt w:val="decimal"/>
      <w:start w:val="8"/>
    </w:lvl>
    <w:lvl w:ilvl="1">
      <w:lvlJc w:val="left"/>
      <w:lvlText w:val="(%2)"/>
      <w:numFmt w:val="lowerLetter"/>
      <w:start w:val="1"/>
    </w:lvl>
  </w:abstractNum>
  <w:abstractNum w:abstractNumId="133">
    <w:nsid w:val="78B5E776"/>
    <w:multiLevelType w:val="hybridMultilevel"/>
    <w:lvl w:ilvl="0">
      <w:lvlJc w:val="left"/>
      <w:lvlText w:val="(%1)"/>
      <w:numFmt w:val="lowerLetter"/>
      <w:start w:val="2"/>
    </w:lvl>
  </w:abstractNum>
  <w:abstractNum w:abstractNumId="134">
    <w:nsid w:val="75486E47"/>
    <w:multiLevelType w:val="hybridMultilevel"/>
    <w:lvl w:ilvl="0">
      <w:lvlJc w:val="left"/>
      <w:lvlText w:val="%1."/>
      <w:numFmt w:val="decimal"/>
      <w:start w:val="9"/>
    </w:lvl>
    <w:lvl w:ilvl="1">
      <w:lvlJc w:val="left"/>
      <w:lvlText w:val="(%2)"/>
      <w:numFmt w:val="lowerLetter"/>
      <w:start w:val="1"/>
    </w:lvl>
  </w:abstractNum>
  <w:abstractNum w:abstractNumId="135">
    <w:nsid w:val="6E534CDE"/>
    <w:multiLevelType w:val="hybridMultilevel"/>
    <w:lvl w:ilvl="0">
      <w:lvlJc w:val="left"/>
      <w:lvlText w:val="%1"/>
      <w:numFmt w:val="upperLetter"/>
      <w:start w:val="1"/>
    </w:lvl>
    <w:lvl w:ilvl="1">
      <w:lvlJc w:val="left"/>
      <w:lvlText w:val="(%2)"/>
      <w:numFmt w:val="lowerLetter"/>
      <w:start w:val="6"/>
    </w:lvl>
    <w:lvl w:ilvl="2">
      <w:lvlJc w:val="left"/>
      <w:lvlText w:val="(%3)"/>
      <w:numFmt w:val="lowerLetter"/>
      <w:start w:val="9"/>
    </w:lvl>
  </w:abstractNum>
  <w:abstractNum w:abstractNumId="136">
    <w:nsid w:val="1A0DDE32"/>
    <w:multiLevelType w:val="hybridMultilevel"/>
    <w:lvl w:ilvl="0">
      <w:lvlJc w:val="left"/>
      <w:lvlText w:val="(%1)"/>
      <w:numFmt w:val="upperLetter"/>
      <w:start w:val="2"/>
    </w:lvl>
    <w:lvl w:ilvl="1">
      <w:lvlJc w:val="left"/>
      <w:lvlText w:val="(%2)"/>
      <w:numFmt w:val="lowerLetter"/>
      <w:start w:val="7"/>
    </w:lvl>
    <w:lvl w:ilvl="2">
      <w:lvlJc w:val="left"/>
      <w:lvlText w:val="(%3)"/>
      <w:numFmt w:val="lowerLetter"/>
      <w:start w:val="35"/>
    </w:lvl>
  </w:abstractNum>
  <w:abstractNum w:abstractNumId="137">
    <w:nsid w:val="65968C1C"/>
    <w:multiLevelType w:val="hybridMultilevel"/>
    <w:lvl w:ilvl="0">
      <w:lvlJc w:val="left"/>
      <w:lvlText w:val="(%1)"/>
      <w:numFmt w:val="lowerLetter"/>
      <w:start w:val="11"/>
    </w:lvl>
  </w:abstractNum>
  <w:abstractNum w:abstractNumId="138">
    <w:nsid w:val="46263DEC"/>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39">
    <w:nsid w:val="260D8C4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40">
    <w:nsid w:val="73D4D3C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41">
    <w:nsid w:val="746F2E30"/>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42">
    <w:nsid w:val="6FDE8AF6"/>
    <w:multiLevelType w:val="hybridMultilevel"/>
    <w:lvl w:ilvl="0">
      <w:lvlJc w:val="left"/>
      <w:lvlText w:val="%1."/>
      <w:numFmt w:val="decimal"/>
      <w:start w:val="13"/>
    </w:lvl>
  </w:abstractNum>
  <w:abstractNum w:abstractNumId="143">
    <w:nsid w:val="3FC32E20"/>
    <w:multiLevelType w:val="hybridMultilevel"/>
    <w:lvl w:ilvl="0">
      <w:lvlJc w:val="left"/>
      <w:lvlText w:val="%1."/>
      <w:numFmt w:val="decimal"/>
      <w:start w:val="14"/>
    </w:lvl>
    <w:lvl w:ilvl="1">
      <w:lvlJc w:val="left"/>
      <w:lvlText w:val="(%2)"/>
      <w:numFmt w:val="lowerLetter"/>
      <w:start w:val="1"/>
    </w:lvl>
  </w:abstractNum>
  <w:abstractNum w:abstractNumId="144">
    <w:nsid w:val="49C0E823"/>
    <w:multiLevelType w:val="hybridMultilevel"/>
    <w:lvl w:ilvl="0">
      <w:lvlJc w:val="left"/>
      <w:lvlText w:val="(%1)"/>
      <w:numFmt w:val="lowerLetter"/>
      <w:start w:val="8"/>
    </w:lvl>
    <w:lvl w:ilvl="1">
      <w:lvlJc w:val="left"/>
      <w:lvlText w:val="(%2)"/>
      <w:numFmt w:val="lowerRoman"/>
      <w:start w:val="1"/>
    </w:lvl>
  </w:abstractNum>
  <w:abstractNum w:abstractNumId="145">
    <w:nsid w:val="14D53685"/>
    <w:multiLevelType w:val="hybridMultilevel"/>
    <w:lvl w:ilvl="0">
      <w:lvlJc w:val="left"/>
      <w:lvlText w:val="(%1)"/>
      <w:numFmt w:val="lowerLetter"/>
      <w:start w:val="9"/>
    </w:lvl>
  </w:abstractNum>
  <w:abstractNum w:abstractNumId="146">
    <w:nsid w:val="230F856C"/>
    <w:multiLevelType w:val="hybridMultilevel"/>
    <w:lvl w:ilvl="0">
      <w:lvlJc w:val="left"/>
      <w:lvlText w:val="%1"/>
      <w:numFmt w:val="lowerLetter"/>
      <w:start w:val="1"/>
    </w:lvl>
    <w:lvl w:ilvl="1">
      <w:lvlJc w:val="left"/>
      <w:lvlText w:val="(%2)"/>
      <w:numFmt w:val="lowerLetter"/>
      <w:start w:val="11"/>
    </w:lvl>
  </w:abstractNum>
  <w:abstractNum w:abstractNumId="147">
    <w:nsid w:val="6EAA85FB"/>
    <w:multiLevelType w:val="hybridMultilevel"/>
    <w:lvl w:ilvl="0">
      <w:lvlJc w:val="left"/>
      <w:lvlText w:val="(%1)"/>
      <w:numFmt w:val="lowerLetter"/>
      <w:start w:val="35"/>
    </w:lvl>
    <w:lvl w:ilvl="1">
      <w:lvlJc w:val="left"/>
      <w:lvlText w:val="(%2)"/>
      <w:numFmt w:val="lowerLetter"/>
      <w:start w:val="15"/>
    </w:lvl>
  </w:abstractNum>
  <w:abstractNum w:abstractNumId="148">
    <w:nsid w:val="3F06ECB2"/>
    <w:multiLevelType w:val="hybridMultilevel"/>
    <w:lvl w:ilvl="0">
      <w:lvlJc w:val="left"/>
      <w:lvlText w:val="(%1)"/>
      <w:numFmt w:val="lowerLetter"/>
      <w:start w:val="23"/>
    </w:lvl>
  </w:abstractNum>
  <w:abstractNum w:abstractNumId="149">
    <w:nsid w:val="3B594807"/>
    <w:multiLevelType w:val="hybridMultilevel"/>
    <w:lvl w:ilvl="0">
      <w:lvlJc w:val="left"/>
      <w:lvlText w:val="%1"/>
      <w:numFmt w:val="lowerLetter"/>
      <w:start w:val="1"/>
    </w:lvl>
    <w:lvl w:ilvl="1">
      <w:lvlJc w:val="left"/>
      <w:lvlText w:val="(%2)"/>
      <w:numFmt w:val="lowerRoman"/>
      <w:start w:val="1"/>
    </w:lvl>
  </w:abstractNum>
  <w:abstractNum w:abstractNumId="150">
    <w:nsid w:val="6CAA2304"/>
    <w:multiLevelType w:val="hybridMultilevel"/>
    <w:lvl w:ilvl="0">
      <w:lvlJc w:val="left"/>
      <w:lvlText w:val="(%1)"/>
      <w:numFmt w:val="lowerLetter"/>
      <w:start w:val="24"/>
    </w:lvl>
    <w:lvl w:ilvl="1">
      <w:lvlJc w:val="left"/>
      <w:lvlText w:val="%2"/>
      <w:numFmt w:val="lowerRoman"/>
      <w:start w:val="1"/>
    </w:lvl>
  </w:abstractNum>
  <w:abstractNum w:abstractNumId="151">
    <w:nsid w:val="3F7C2FF4"/>
    <w:multiLevelType w:val="hybridMultilevel"/>
    <w:lvl w:ilvl="0">
      <w:lvlJc w:val="left"/>
      <w:lvlText w:val="%1"/>
      <w:numFmt w:val="lowerLetter"/>
      <w:start w:val="1"/>
    </w:lvl>
    <w:lvl w:ilvl="1">
      <w:lvlJc w:val="left"/>
      <w:lvlText w:val="(%2)"/>
      <w:numFmt w:val="lowerLetter"/>
      <w:start w:val="27"/>
    </w:lvl>
  </w:abstractNum>
  <w:abstractNum w:abstractNumId="152">
    <w:nsid w:val="25413BEC"/>
    <w:multiLevelType w:val="hybridMultilevel"/>
    <w:lvl w:ilvl="0">
      <w:lvlJc w:val="left"/>
      <w:lvlText w:val="(%1)"/>
      <w:numFmt w:val="lowerLetter"/>
      <w:start w:val="61"/>
    </w:lvl>
    <w:lvl w:ilvl="1">
      <w:lvlJc w:val="left"/>
      <w:lvlText w:val="%2"/>
      <w:numFmt w:val="lowerLetter"/>
      <w:start w:val="1"/>
    </w:lvl>
  </w:abstractNum>
  <w:abstractNum w:abstractNumId="153">
    <w:nsid w:val="17180B0B"/>
    <w:multiLevelType w:val="hybridMultilevel"/>
    <w:lvl w:ilvl="0">
      <w:lvlJc w:val="left"/>
      <w:lvlText w:val="(%1)"/>
      <w:numFmt w:val="lowerRoman"/>
      <w:start w:val="9"/>
    </w:lvl>
    <w:lvl w:ilvl="1">
      <w:lvlJc w:val="left"/>
      <w:lvlText w:val="%2"/>
      <w:numFmt w:val="lowerLetter"/>
      <w:start w:val="1"/>
    </w:lvl>
  </w:abstractNum>
  <w:abstractNum w:abstractNumId="154">
    <w:nsid w:val="579328B9"/>
    <w:multiLevelType w:val="hybridMultilevel"/>
    <w:lvl w:ilvl="0">
      <w:lvlJc w:val="left"/>
      <w:lvlText w:val="(%1)"/>
      <w:numFmt w:val="lowerRoman"/>
      <w:start w:val="25"/>
    </w:lvl>
    <w:lvl w:ilvl="1">
      <w:lvlJc w:val="left"/>
      <w:lvlText w:val="(%2)"/>
      <w:numFmt w:val="lowerLetter"/>
      <w:start w:val="37"/>
    </w:lvl>
  </w:abstractNum>
  <w:abstractNum w:abstractNumId="155">
    <w:nsid w:val="5D205E20"/>
    <w:multiLevelType w:val="hybridMultilevel"/>
    <w:lvl w:ilvl="0">
      <w:lvlJc w:val="left"/>
      <w:lvlText w:val="(%1)"/>
      <w:numFmt w:val="lowerRoman"/>
      <w:start w:val="6"/>
    </w:lvl>
    <w:lvl w:ilvl="1">
      <w:lvlJc w:val="left"/>
      <w:lvlText w:val="(%2)"/>
      <w:numFmt w:val="lowerLetter"/>
      <w:start w:val="38"/>
    </w:lvl>
  </w:abstractNum>
  <w:abstractNum w:abstractNumId="156">
    <w:nsid w:val="11CCA8BA"/>
    <w:multiLevelType w:val="hybridMultilevel"/>
    <w:lvl w:ilvl="0">
      <w:lvlJc w:val="left"/>
      <w:lvlText w:val="(%1)"/>
      <w:numFmt w:val="lowerLetter"/>
      <w:start w:val="40"/>
    </w:lvl>
  </w:abstractNum>
  <w:abstractNum w:abstractNumId="157">
    <w:nsid w:val="4D32AB86"/>
    <w:multiLevelType w:val="hybridMultilevel"/>
    <w:lvl w:ilvl="0">
      <w:lvlJc w:val="left"/>
      <w:lvlText w:val="%1"/>
      <w:numFmt w:val="lowerLetter"/>
      <w:start w:val="1"/>
    </w:lvl>
    <w:lvl w:ilvl="1">
      <w:lvlJc w:val="left"/>
      <w:lvlText w:val="(%2)"/>
      <w:numFmt w:val="lowerLetter"/>
      <w:start w:val="53"/>
    </w:lvl>
  </w:abstractNum>
  <w:abstractNum w:abstractNumId="158">
    <w:nsid w:val="3F07ACC3"/>
    <w:multiLevelType w:val="hybridMultilevel"/>
    <w:lvl w:ilvl="0">
      <w:lvlJc w:val="left"/>
      <w:lvlText w:val="(%1)"/>
      <w:numFmt w:val="lowerLetter"/>
      <w:start w:val="54"/>
    </w:lvl>
    <w:lvl w:ilvl="1">
      <w:lvlJc w:val="left"/>
      <w:lvlText w:val="%2"/>
      <w:numFmt w:val="lowerLetter"/>
      <w:start w:val="1"/>
    </w:lvl>
  </w:abstractNum>
  <w:abstractNum w:abstractNumId="159">
    <w:nsid w:val="6B47F63E"/>
    <w:multiLevelType w:val="hybridMultilevel"/>
    <w:lvl w:ilvl="0">
      <w:lvlJc w:val="left"/>
      <w:lvlText w:val="%1."/>
      <w:numFmt w:val="decimal"/>
      <w:start w:val="1"/>
    </w:lvl>
  </w:abstractNum>
  <w:abstractNum w:abstractNumId="160">
    <w:nsid w:val="5CB44A05"/>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jpe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jpe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jpe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jpeg"/><Relationship Id="rId528" Type="http://schemas.openxmlformats.org/officeDocument/2006/relationships/image" Target="media/image521.png"/><Relationship Id="rId529" Type="http://schemas.openxmlformats.org/officeDocument/2006/relationships/image" Target="media/image522.jpeg"/><Relationship Id="rId530" Type="http://schemas.openxmlformats.org/officeDocument/2006/relationships/image" Target="media/image523.png"/><Relationship Id="rId531" Type="http://schemas.openxmlformats.org/officeDocument/2006/relationships/image" Target="media/image524.jpe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jpeg"/><Relationship Id="rId535" Type="http://schemas.openxmlformats.org/officeDocument/2006/relationships/image" Target="media/image528.pn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jpe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jpeg"/><Relationship Id="rId543" Type="http://schemas.openxmlformats.org/officeDocument/2006/relationships/image" Target="media/image536.jpe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jpe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jpeg"/><Relationship Id="rId550" Type="http://schemas.openxmlformats.org/officeDocument/2006/relationships/image" Target="media/image543.jpeg"/><Relationship Id="rId551" Type="http://schemas.openxmlformats.org/officeDocument/2006/relationships/image" Target="media/image544.png"/><Relationship Id="rId552" Type="http://schemas.openxmlformats.org/officeDocument/2006/relationships/image" Target="media/image545.jpe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jpeg"/><Relationship Id="rId557" Type="http://schemas.openxmlformats.org/officeDocument/2006/relationships/image" Target="media/image550.jpeg"/><Relationship Id="rId558" Type="http://schemas.openxmlformats.org/officeDocument/2006/relationships/image" Target="media/image551.png"/><Relationship Id="rId559" Type="http://schemas.openxmlformats.org/officeDocument/2006/relationships/image" Target="media/image552.jpeg"/><Relationship Id="rId560" Type="http://schemas.openxmlformats.org/officeDocument/2006/relationships/image" Target="media/image553.jpe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jpeg"/><Relationship Id="rId565" Type="http://schemas.openxmlformats.org/officeDocument/2006/relationships/image" Target="media/image558.png"/><Relationship Id="rId566" Type="http://schemas.openxmlformats.org/officeDocument/2006/relationships/image" Target="media/image559.jpeg"/><Relationship Id="rId567" Type="http://schemas.openxmlformats.org/officeDocument/2006/relationships/image" Target="media/image560.jpe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jpe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jpe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jpeg"/><Relationship Id="rId578" Type="http://schemas.openxmlformats.org/officeDocument/2006/relationships/image" Target="media/image571.jpeg"/><Relationship Id="rId579" Type="http://schemas.openxmlformats.org/officeDocument/2006/relationships/image" Target="media/image572.png"/><Relationship Id="rId580" Type="http://schemas.openxmlformats.org/officeDocument/2006/relationships/image" Target="media/image573.jpeg"/><Relationship Id="rId581" Type="http://schemas.openxmlformats.org/officeDocument/2006/relationships/image" Target="media/image574.jpe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jpeg"/><Relationship Id="rId585" Type="http://schemas.openxmlformats.org/officeDocument/2006/relationships/image" Target="media/image578.jpeg"/><Relationship Id="rId586" Type="http://schemas.openxmlformats.org/officeDocument/2006/relationships/image" Target="media/image579.png"/><Relationship Id="rId587" Type="http://schemas.openxmlformats.org/officeDocument/2006/relationships/image" Target="media/image580.jpeg"/><Relationship Id="rId588" Type="http://schemas.openxmlformats.org/officeDocument/2006/relationships/image" Target="media/image581.jpe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jpeg"/><Relationship Id="rId592" Type="http://schemas.openxmlformats.org/officeDocument/2006/relationships/image" Target="media/image585.jpeg"/><Relationship Id="rId593" Type="http://schemas.openxmlformats.org/officeDocument/2006/relationships/image" Target="media/image586.png"/><Relationship Id="rId594" Type="http://schemas.openxmlformats.org/officeDocument/2006/relationships/image" Target="media/image587.jpeg"/><Relationship Id="rId595" Type="http://schemas.openxmlformats.org/officeDocument/2006/relationships/image" Target="media/image588.jpe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jpeg"/><Relationship Id="rId599" Type="http://schemas.openxmlformats.org/officeDocument/2006/relationships/image" Target="media/image592.jpeg"/><Relationship Id="rId600" Type="http://schemas.openxmlformats.org/officeDocument/2006/relationships/image" Target="media/image593.png"/><Relationship Id="rId601" Type="http://schemas.openxmlformats.org/officeDocument/2006/relationships/image" Target="media/image594.jpeg"/><Relationship Id="rId602" Type="http://schemas.openxmlformats.org/officeDocument/2006/relationships/image" Target="media/image595.jpe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jpeg"/><Relationship Id="rId606" Type="http://schemas.openxmlformats.org/officeDocument/2006/relationships/image" Target="media/image599.jpeg"/><Relationship Id="rId607" Type="http://schemas.openxmlformats.org/officeDocument/2006/relationships/image" Target="media/image600.png"/><Relationship Id="rId608" Type="http://schemas.openxmlformats.org/officeDocument/2006/relationships/image" Target="media/image601.jpeg"/><Relationship Id="rId609" Type="http://schemas.openxmlformats.org/officeDocument/2006/relationships/image" Target="media/image602.jpe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jpeg"/><Relationship Id="rId613" Type="http://schemas.openxmlformats.org/officeDocument/2006/relationships/image" Target="media/image606.jpeg"/><Relationship Id="rId614" Type="http://schemas.openxmlformats.org/officeDocument/2006/relationships/image" Target="media/image607.png"/><Relationship Id="rId615" Type="http://schemas.openxmlformats.org/officeDocument/2006/relationships/image" Target="media/image608.jpeg"/><Relationship Id="rId616" Type="http://schemas.openxmlformats.org/officeDocument/2006/relationships/image" Target="media/image609.jpe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jpeg"/><Relationship Id="rId620" Type="http://schemas.openxmlformats.org/officeDocument/2006/relationships/image" Target="media/image613.jpeg"/><Relationship Id="rId621" Type="http://schemas.openxmlformats.org/officeDocument/2006/relationships/image" Target="media/image614.png"/><Relationship Id="rId622" Type="http://schemas.openxmlformats.org/officeDocument/2006/relationships/image" Target="media/image615.jpeg"/><Relationship Id="rId623" Type="http://schemas.openxmlformats.org/officeDocument/2006/relationships/image" Target="media/image616.jpe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jpeg"/><Relationship Id="rId627" Type="http://schemas.openxmlformats.org/officeDocument/2006/relationships/image" Target="media/image620.jpeg"/><Relationship Id="rId628" Type="http://schemas.openxmlformats.org/officeDocument/2006/relationships/image" Target="media/image621.jpeg"/><Relationship Id="rId629" Type="http://schemas.openxmlformats.org/officeDocument/2006/relationships/image" Target="media/image622.png"/><Relationship Id="rId630" Type="http://schemas.openxmlformats.org/officeDocument/2006/relationships/image" Target="media/image623.jpe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2026-04-21T07:18:11Z</dcterms:created>
  <dcterms:modified xsi:type="dcterms:W3CDTF">2026-04-21T07:18:11Z</dcterms:modified>
</cp:coreProperties>
</file>