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Washington, D.C. 20549</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94" w:lineRule="exact"/>
        <w:rPr>
          <w:sz w:val="24"/>
          <w:szCs w:val="24"/>
          <w:color w:val="auto"/>
        </w:rPr>
      </w:pPr>
    </w:p>
    <w:p>
      <w:pPr>
        <w:ind w:left="500" w:hanging="350"/>
        <w:spacing w:after="0"/>
        <w:tabs>
          <w:tab w:leader="none" w:pos="500"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9" w:lineRule="exact"/>
        <w:rPr>
          <w:sz w:val="24"/>
          <w:szCs w:val="24"/>
          <w:color w:val="auto"/>
        </w:rPr>
      </w:pPr>
    </w:p>
    <w:p>
      <w:pPr>
        <w:ind w:left="660"/>
        <w:spacing w:after="0"/>
        <w:rPr>
          <w:sz w:val="20"/>
          <w:szCs w:val="20"/>
          <w:color w:val="auto"/>
        </w:rPr>
      </w:pPr>
      <w:r>
        <w:rPr>
          <w:rFonts w:ascii="Arial" w:cs="Arial" w:eastAsia="Arial" w:hAnsi="Arial"/>
          <w:sz w:val="16"/>
          <w:szCs w:val="16"/>
          <w:color w:val="auto"/>
        </w:rPr>
        <w:t>For the quarterly period ended March 31, 2020</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72" w:lineRule="exact"/>
        <w:rPr>
          <w:sz w:val="24"/>
          <w:szCs w:val="24"/>
          <w:color w:val="auto"/>
        </w:rPr>
      </w:pPr>
    </w:p>
    <w:p>
      <w:pPr>
        <w:ind w:left="500" w:hanging="350"/>
        <w:spacing w:after="0"/>
        <w:tabs>
          <w:tab w:leader="none" w:pos="500" w:val="left"/>
        </w:tabs>
        <w:numPr>
          <w:ilvl w:val="0"/>
          <w:numId w:val="2"/>
        </w:numPr>
        <w:rPr>
          <w:rFonts w:ascii="MS PGothic" w:cs="MS PGothic" w:eastAsia="MS PGothic" w:hAnsi="MS PGothic"/>
          <w:sz w:val="40"/>
          <w:szCs w:val="40"/>
          <w:color w:val="auto"/>
          <w:vertAlign w:val="subscript"/>
        </w:rPr>
      </w:pPr>
      <w:r>
        <w:rPr>
          <w:rFonts w:ascii="Arial" w:cs="Arial" w:eastAsia="Arial" w:hAnsi="Arial"/>
          <w:sz w:val="16"/>
          <w:szCs w:val="16"/>
          <w:b w:val="1"/>
          <w:bCs w:val="1"/>
          <w:color w:val="auto"/>
        </w:rPr>
        <w:t>TRANSITION REPORT PURSUANT TO SECTION 13 OR 15(d) OF THE SECURITIES EXCHANGE ACT OF 1934</w:t>
      </w:r>
    </w:p>
    <w:p>
      <w:pPr>
        <w:spacing w:after="0" w:line="173"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2140" w:type="dxa"/>
            <w:vAlign w:val="bottom"/>
          </w:tcPr>
          <w:p>
            <w:pPr>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b w:val="1"/>
                <w:bCs w:val="1"/>
                <w:color w:val="auto"/>
              </w:rPr>
              <w:t>to</w:t>
            </w:r>
          </w:p>
        </w:tc>
        <w:tc>
          <w:tcPr>
            <w:tcW w:w="800" w:type="dxa"/>
            <w:vAlign w:val="bottom"/>
            <w:tcBorders>
              <w:bottom w:val="single" w:sz="8" w:color="auto"/>
            </w:tcBorders>
          </w:tcPr>
          <w:p>
            <w:pPr>
              <w:spacing w:after="0"/>
              <w:rPr>
                <w:sz w:val="16"/>
                <w:szCs w:val="16"/>
                <w:color w:val="auto"/>
              </w:rPr>
            </w:pPr>
          </w:p>
        </w:tc>
        <w:tc>
          <w:tcPr>
            <w:tcW w:w="2240" w:type="dxa"/>
            <w:vAlign w:val="bottom"/>
          </w:tcPr>
          <w:p>
            <w:pPr>
              <w:jc w:val="right"/>
              <w:ind w:right="2149"/>
              <w:spacing w:after="0"/>
              <w:rPr>
                <w:sz w:val="20"/>
                <w:szCs w:val="20"/>
                <w:color w:val="auto"/>
              </w:rPr>
            </w:pPr>
            <w:r>
              <w:rPr>
                <w:rFonts w:ascii="Arial" w:cs="Arial" w:eastAsia="Arial" w:hAnsi="Arial"/>
                <w:sz w:val="10"/>
                <w:szCs w:val="10"/>
                <w:b w:val="1"/>
                <w:bCs w:val="1"/>
                <w:color w:val="auto"/>
                <w:w w:val="70"/>
              </w:rPr>
              <w:t>.</w:t>
            </w:r>
          </w:p>
        </w:tc>
      </w:tr>
      <w:tr>
        <w:trPr>
          <w:trHeight w:val="258"/>
        </w:trPr>
        <w:tc>
          <w:tcPr>
            <w:tcW w:w="2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40" w:type="dxa"/>
            <w:vAlign w:val="bottom"/>
            <w:gridSpan w:val="2"/>
          </w:tcPr>
          <w:p>
            <w:pPr>
              <w:jc w:val="right"/>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2310765</wp:posOffset>
            </wp:positionH>
            <wp:positionV relativeFrom="paragraph">
              <wp:posOffset>132080</wp:posOffset>
            </wp:positionV>
            <wp:extent cx="245173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Blackbaud, Inc.</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84" w:lineRule="exact"/>
        <w:rPr>
          <w:sz w:val="24"/>
          <w:szCs w:val="24"/>
          <w:color w:val="auto"/>
        </w:rPr>
      </w:pPr>
    </w:p>
    <w:p>
      <w:pPr>
        <w:ind w:left="2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11-2617163</w:t>
      </w:r>
    </w:p>
    <w:p>
      <w:pPr>
        <w:spacing w:after="0" w:line="99" w:lineRule="exact"/>
        <w:rPr>
          <w:sz w:val="24"/>
          <w:szCs w:val="24"/>
          <w:color w:val="auto"/>
        </w:rPr>
      </w:pPr>
    </w:p>
    <w:p>
      <w:pPr>
        <w:sectPr>
          <w:pgSz w:w="11900" w:h="16838" w:orient="portrait"/>
          <w:cols w:equalWidth="0" w:num="2">
            <w:col w:w="7380" w:space="720"/>
            <w:col w:w="3140"/>
          </w:cols>
          <w:pgMar w:left="320" w:top="468" w:right="339" w:bottom="1440" w:gutter="0" w:footer="0" w:header="0"/>
          <w:type w:val="continuous"/>
        </w:sectPr>
      </w:pPr>
    </w:p>
    <w:p>
      <w:pPr>
        <w:ind w:left="94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7" w:lineRule="exact"/>
        <w:rPr>
          <w:sz w:val="24"/>
          <w:szCs w:val="24"/>
          <w:color w:val="auto"/>
        </w:rPr>
      </w:pPr>
    </w:p>
    <w:p>
      <w:pPr>
        <w:sectPr>
          <w:pgSz w:w="11900" w:h="16838" w:orient="portrait"/>
          <w:cols w:equalWidth="0" w:num="2">
            <w:col w:w="6600" w:space="720"/>
            <w:col w:w="3920"/>
          </w:cols>
          <w:pgMar w:left="320" w:top="468"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4460" w:type="dxa"/>
            <w:vAlign w:val="bottom"/>
            <w:gridSpan w:val="3"/>
          </w:tcPr>
          <w:p>
            <w:pPr>
              <w:ind w:left="40"/>
              <w:spacing w:after="0"/>
              <w:rPr>
                <w:sz w:val="20"/>
                <w:szCs w:val="20"/>
                <w:color w:val="auto"/>
              </w:rPr>
            </w:pPr>
            <w:r>
              <w:rPr>
                <w:rFonts w:ascii="Arial" w:cs="Arial" w:eastAsia="Arial" w:hAnsi="Arial"/>
                <w:sz w:val="16"/>
                <w:szCs w:val="16"/>
                <w:color w:val="auto"/>
              </w:rPr>
              <w:t>Securities Registered Pursuant to Section 12(b) of the Act:</w:t>
            </w:r>
          </w:p>
        </w:tc>
        <w:tc>
          <w:tcPr>
            <w:tcW w:w="6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2"/>
        </w:trPr>
        <w:tc>
          <w:tcPr>
            <w:tcW w:w="1540" w:type="dxa"/>
            <w:vAlign w:val="bottom"/>
          </w:tcPr>
          <w:p>
            <w:pPr>
              <w:spacing w:after="0"/>
              <w:rPr>
                <w:sz w:val="19"/>
                <w:szCs w:val="19"/>
                <w:color w:val="auto"/>
              </w:rPr>
            </w:pPr>
          </w:p>
        </w:tc>
        <w:tc>
          <w:tcPr>
            <w:tcW w:w="2920" w:type="dxa"/>
            <w:vAlign w:val="bottom"/>
            <w:gridSpan w:val="2"/>
          </w:tcPr>
          <w:p>
            <w:pPr>
              <w:jc w:val="center"/>
              <w:ind w:right="1700"/>
              <w:spacing w:after="0"/>
              <w:rPr>
                <w:sz w:val="20"/>
                <w:szCs w:val="20"/>
                <w:color w:val="auto"/>
              </w:rPr>
            </w:pPr>
            <w:r>
              <w:rPr>
                <w:rFonts w:ascii="Arial" w:cs="Arial" w:eastAsia="Arial" w:hAnsi="Arial"/>
                <w:sz w:val="16"/>
                <w:szCs w:val="16"/>
                <w:color w:val="auto"/>
                <w:w w:val="91"/>
              </w:rPr>
              <w:t>Title of Each Class</w:t>
            </w:r>
          </w:p>
        </w:tc>
        <w:tc>
          <w:tcPr>
            <w:tcW w:w="3220" w:type="dxa"/>
            <w:vAlign w:val="bottom"/>
            <w:gridSpan w:val="3"/>
          </w:tcPr>
          <w:p>
            <w:pPr>
              <w:jc w:val="center"/>
              <w:ind w:right="760"/>
              <w:spacing w:after="0"/>
              <w:rPr>
                <w:sz w:val="20"/>
                <w:szCs w:val="20"/>
                <w:color w:val="auto"/>
              </w:rPr>
            </w:pPr>
            <w:r>
              <w:rPr>
                <w:rFonts w:ascii="Arial" w:cs="Arial" w:eastAsia="Arial" w:hAnsi="Arial"/>
                <w:sz w:val="16"/>
                <w:szCs w:val="16"/>
                <w:color w:val="auto"/>
                <w:w w:val="93"/>
              </w:rPr>
              <w:t>Trading Symbol(s)</w:t>
            </w:r>
          </w:p>
        </w:tc>
        <w:tc>
          <w:tcPr>
            <w:tcW w:w="3560" w:type="dxa"/>
            <w:vAlign w:val="bottom"/>
            <w:gridSpan w:val="2"/>
          </w:tcPr>
          <w:p>
            <w:pPr>
              <w:jc w:val="center"/>
              <w:ind w:right="580"/>
              <w:spacing w:after="0"/>
              <w:rPr>
                <w:sz w:val="20"/>
                <w:szCs w:val="20"/>
                <w:color w:val="auto"/>
              </w:rPr>
            </w:pPr>
            <w:r>
              <w:rPr>
                <w:rFonts w:ascii="Arial" w:cs="Arial" w:eastAsia="Arial" w:hAnsi="Arial"/>
                <w:sz w:val="16"/>
                <w:szCs w:val="16"/>
                <w:color w:val="auto"/>
                <w:w w:val="91"/>
              </w:rPr>
              <w:t>Name of Each Exchange on which Registered</w:t>
            </w:r>
          </w:p>
        </w:tc>
      </w:tr>
      <w:tr>
        <w:trPr>
          <w:trHeight w:val="20"/>
        </w:trPr>
        <w:tc>
          <w:tcPr>
            <w:tcW w:w="1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71"/>
        </w:trPr>
        <w:tc>
          <w:tcPr>
            <w:tcW w:w="44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Common Stock, $0.001 Par Value</w:t>
            </w:r>
          </w:p>
        </w:tc>
        <w:tc>
          <w:tcPr>
            <w:tcW w:w="620" w:type="dxa"/>
            <w:vAlign w:val="bottom"/>
          </w:tcPr>
          <w:p>
            <w:pPr>
              <w:spacing w:after="0"/>
              <w:rPr>
                <w:sz w:val="23"/>
                <w:szCs w:val="23"/>
                <w:color w:val="auto"/>
              </w:rPr>
            </w:pPr>
          </w:p>
        </w:tc>
        <w:tc>
          <w:tcPr>
            <w:tcW w:w="2600" w:type="dxa"/>
            <w:vAlign w:val="bottom"/>
            <w:gridSpan w:val="2"/>
          </w:tcPr>
          <w:p>
            <w:pPr>
              <w:jc w:val="center"/>
              <w:ind w:right="1380"/>
              <w:spacing w:after="0"/>
              <w:rPr>
                <w:sz w:val="20"/>
                <w:szCs w:val="20"/>
                <w:color w:val="auto"/>
              </w:rPr>
            </w:pPr>
            <w:r>
              <w:rPr>
                <w:rFonts w:ascii="Arial" w:cs="Arial" w:eastAsia="Arial" w:hAnsi="Arial"/>
                <w:sz w:val="16"/>
                <w:szCs w:val="16"/>
                <w:b w:val="1"/>
                <w:bCs w:val="1"/>
                <w:color w:val="auto"/>
              </w:rPr>
              <w:t>BLKB</w:t>
            </w:r>
          </w:p>
        </w:tc>
        <w:tc>
          <w:tcPr>
            <w:tcW w:w="356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92"/>
              </w:rPr>
              <w:t>Nasdaq Global Select Market</w:t>
            </w:r>
          </w:p>
        </w:tc>
      </w:tr>
      <w:tr>
        <w:trPr>
          <w:trHeight w:val="155"/>
        </w:trPr>
        <w:tc>
          <w:tcPr>
            <w:tcW w:w="1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r>
    </w:tbl>
    <w:p>
      <w:pPr>
        <w:spacing w:after="0" w:line="179" w:lineRule="exact"/>
        <w:rPr>
          <w:sz w:val="24"/>
          <w:szCs w:val="24"/>
          <w:color w:val="auto"/>
        </w:rPr>
      </w:pPr>
    </w:p>
    <w:p>
      <w:pPr>
        <w:jc w:val="both"/>
        <w:spacing w:after="0" w:line="28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jc w:val="both"/>
        <w:spacing w:after="0" w:line="264"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60" w:lineRule="exact"/>
        <w:rPr>
          <w:sz w:val="24"/>
          <w:szCs w:val="24"/>
          <w:color w:val="auto"/>
        </w:rPr>
      </w:pPr>
    </w:p>
    <w:tbl>
      <w:tblPr>
        <w:tblLayout w:type="fixed"/>
        <w:tblInd w:w="40" w:type="dxa"/>
        <w:tblCellMar>
          <w:top w:w="0" w:type="dxa"/>
          <w:left w:w="0" w:type="dxa"/>
          <w:bottom w:w="0" w:type="dxa"/>
          <w:right w:w="0" w:type="dxa"/>
        </w:tblCellMar>
      </w:tblPr>
      <w:tr>
        <w:trPr>
          <w:trHeight w:val="310"/>
        </w:trPr>
        <w:tc>
          <w:tcPr>
            <w:tcW w:w="19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5000" w:type="dxa"/>
            <w:vAlign w:val="bottom"/>
          </w:tcPr>
          <w:p>
            <w:pPr>
              <w:ind w:left="2780"/>
              <w:spacing w:after="0"/>
              <w:rPr>
                <w:sz w:val="20"/>
                <w:szCs w:val="20"/>
                <w:color w:val="auto"/>
              </w:rPr>
            </w:pPr>
            <w:r>
              <w:rPr>
                <w:rFonts w:ascii="Arial" w:cs="Arial" w:eastAsia="Arial" w:hAnsi="Arial"/>
                <w:sz w:val="16"/>
                <w:szCs w:val="16"/>
                <w:color w:val="auto"/>
              </w:rPr>
              <w:t>Accelerated filer</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59"/>
        </w:trPr>
        <w:tc>
          <w:tcPr>
            <w:tcW w:w="196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520"/>
              <w:spacing w:after="0" w:line="201" w:lineRule="exact"/>
              <w:rPr>
                <w:sz w:val="20"/>
                <w:szCs w:val="20"/>
                <w:color w:val="auto"/>
              </w:rPr>
            </w:pPr>
            <w:r>
              <w:rPr>
                <w:rFonts w:ascii="MS PGothic" w:cs="MS PGothic" w:eastAsia="MS PGothic" w:hAnsi="MS PGothic"/>
                <w:sz w:val="20"/>
                <w:szCs w:val="20"/>
                <w:color w:val="auto"/>
              </w:rPr>
              <w:t>☐</w:t>
            </w:r>
          </w:p>
        </w:tc>
        <w:tc>
          <w:tcPr>
            <w:tcW w:w="5000" w:type="dxa"/>
            <w:vAlign w:val="bottom"/>
          </w:tcPr>
          <w:p>
            <w:pPr>
              <w:ind w:left="2780"/>
              <w:spacing w:after="0"/>
              <w:rPr>
                <w:sz w:val="20"/>
                <w:szCs w:val="20"/>
                <w:color w:val="auto"/>
              </w:rPr>
            </w:pPr>
            <w:r>
              <w:rPr>
                <w:rFonts w:ascii="Arial" w:cs="Arial" w:eastAsia="Arial" w:hAnsi="Arial"/>
                <w:sz w:val="16"/>
                <w:szCs w:val="16"/>
                <w:color w:val="auto"/>
              </w:rPr>
              <w:t>Smaller reporting company</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459"/>
        </w:trPr>
        <w:tc>
          <w:tcPr>
            <w:tcW w:w="19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00" w:type="dxa"/>
            <w:vAlign w:val="bottom"/>
          </w:tcPr>
          <w:p>
            <w:pPr>
              <w:ind w:left="2780"/>
              <w:spacing w:after="0"/>
              <w:rPr>
                <w:sz w:val="20"/>
                <w:szCs w:val="20"/>
                <w:color w:val="auto"/>
              </w:rPr>
            </w:pPr>
            <w:r>
              <w:rPr>
                <w:rFonts w:ascii="Arial" w:cs="Arial" w:eastAsia="Arial" w:hAnsi="Arial"/>
                <w:sz w:val="16"/>
                <w:szCs w:val="16"/>
                <w:color w:val="auto"/>
              </w:rPr>
              <w:t>Emerging growth company</w:t>
            </w:r>
          </w:p>
        </w:tc>
        <w:tc>
          <w:tcPr>
            <w:tcW w:w="640" w:type="dxa"/>
            <w:vAlign w:val="bottom"/>
          </w:tcPr>
          <w:p>
            <w:pPr>
              <w:ind w:left="46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113" w:lineRule="exact"/>
        <w:rPr>
          <w:sz w:val="24"/>
          <w:szCs w:val="24"/>
          <w:color w:val="auto"/>
        </w:rPr>
      </w:pPr>
    </w:p>
    <w:p>
      <w:pPr>
        <w:spacing w:after="0" w:line="24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7"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April 29, 2020 was 49,621,157.</w:t>
      </w:r>
    </w:p>
    <w:p>
      <w:pPr>
        <w:sectPr>
          <w:pgSz w:w="11900" w:h="16838" w:orient="portrait"/>
          <w:cols w:equalWidth="0" w:num="1">
            <w:col w:w="11240"/>
          </w:cols>
          <w:pgMar w:left="320" w:top="468" w:right="339" w:bottom="1440"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Arial" w:cs="Arial" w:eastAsia="Arial" w:hAnsi="Arial"/>
          <w:sz w:val="40"/>
          <w:szCs w:val="40"/>
          <w:b w:val="1"/>
          <w:bCs w:val="1"/>
          <w:color w:val="4D5259"/>
        </w:rPr>
        <w:t>TABLE OF CONTENTS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100" w:type="dxa"/>
            <w:vAlign w:val="bottom"/>
            <w:gridSpan w:val="2"/>
          </w:tcPr>
          <w:p>
            <w:pPr>
              <w:ind w:left="4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CAUTIONARY STATEMENT REGARDING FORWARD-LOOKING STATEMENTS</w:t>
              </w:r>
            </w:hyperlink>
          </w:p>
        </w:tc>
        <w:tc>
          <w:tcPr>
            <w:tcW w:w="2120" w:type="dxa"/>
            <w:vAlign w:val="bottom"/>
          </w:tcPr>
          <w:p>
            <w:pPr>
              <w:ind w:left="1700"/>
              <w:spacing w:after="0"/>
              <w:rPr>
                <w:rFonts w:ascii="Arial" w:cs="Arial" w:eastAsia="Arial" w:hAnsi="Arial"/>
                <w:sz w:val="20"/>
                <w:szCs w:val="20"/>
                <w:b w:val="1"/>
                <w:bCs w:val="1"/>
                <w:color w:val="71BF43"/>
              </w:rPr>
            </w:pPr>
            <w:hyperlink w:anchor="page4">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160" w:type="dxa"/>
            <w:vAlign w:val="bottom"/>
            <w:tcBorders>
              <w:bottom w:val="single" w:sz="8" w:color="71BF43"/>
            </w:tcBorders>
          </w:tcPr>
          <w:p>
            <w:pPr>
              <w:spacing w:after="0"/>
              <w:rPr>
                <w:sz w:val="2"/>
                <w:szCs w:val="2"/>
                <w:color w:val="auto"/>
              </w:rPr>
            </w:pPr>
          </w:p>
        </w:tc>
        <w:tc>
          <w:tcPr>
            <w:tcW w:w="212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4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PART I.</w:t>
              </w:r>
            </w:hyperlink>
          </w:p>
        </w:tc>
        <w:tc>
          <w:tcPr>
            <w:tcW w:w="8160" w:type="dxa"/>
            <w:vAlign w:val="bottom"/>
          </w:tcPr>
          <w:p>
            <w:pPr>
              <w:ind w:left="22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FINANCIAL INFORMATION</w:t>
              </w:r>
            </w:hyperlink>
          </w:p>
        </w:tc>
        <w:tc>
          <w:tcPr>
            <w:tcW w:w="2120" w:type="dxa"/>
            <w:vAlign w:val="bottom"/>
          </w:tcPr>
          <w:p>
            <w:pPr>
              <w:ind w:left="1700"/>
              <w:spacing w:after="0"/>
              <w:rPr>
                <w:rFonts w:ascii="Arial" w:cs="Arial" w:eastAsia="Arial" w:hAnsi="Arial"/>
                <w:sz w:val="20"/>
                <w:szCs w:val="20"/>
                <w:b w:val="1"/>
                <w:bCs w:val="1"/>
                <w:color w:val="71BF43"/>
              </w:rPr>
            </w:pPr>
            <w:hyperlink w:anchor="page5">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160" w:type="dxa"/>
            <w:vAlign w:val="bottom"/>
            <w:tcBorders>
              <w:bottom w:val="single" w:sz="8" w:color="71BF43"/>
            </w:tcBorders>
          </w:tcPr>
          <w:p>
            <w:pPr>
              <w:spacing w:after="0"/>
              <w:rPr>
                <w:sz w:val="2"/>
                <w:szCs w:val="2"/>
                <w:color w:val="auto"/>
              </w:rPr>
            </w:pPr>
          </w:p>
        </w:tc>
        <w:tc>
          <w:tcPr>
            <w:tcW w:w="2120" w:type="dxa"/>
            <w:vAlign w:val="bottom"/>
            <w:tcBorders>
              <w:bottom w:val="single" w:sz="8" w:color="71BF43"/>
            </w:tcBorders>
          </w:tcPr>
          <w:p>
            <w:pPr>
              <w:spacing w:after="0"/>
              <w:rPr>
                <w:sz w:val="2"/>
                <w:szCs w:val="2"/>
                <w:color w:val="auto"/>
              </w:rPr>
            </w:pPr>
          </w:p>
        </w:tc>
      </w:tr>
      <w:tr>
        <w:trPr>
          <w:trHeight w:val="358"/>
        </w:trPr>
        <w:tc>
          <w:tcPr>
            <w:tcW w:w="940" w:type="dxa"/>
            <w:vAlign w:val="bottom"/>
          </w:tcPr>
          <w:p>
            <w:pPr>
              <w:ind w:left="180"/>
              <w:spacing w:after="0"/>
              <w:rPr>
                <w:rFonts w:ascii="Arial" w:cs="Arial" w:eastAsia="Arial" w:hAnsi="Arial"/>
                <w:sz w:val="18"/>
                <w:szCs w:val="18"/>
                <w:color w:val="auto"/>
              </w:rPr>
            </w:pPr>
            <w:hyperlink w:anchor="page5">
              <w:r>
                <w:rPr>
                  <w:rFonts w:ascii="Arial" w:cs="Arial" w:eastAsia="Arial" w:hAnsi="Arial"/>
                  <w:sz w:val="18"/>
                  <w:szCs w:val="18"/>
                  <w:color w:val="auto"/>
                </w:rPr>
                <w:t>Item 1.</w:t>
              </w:r>
            </w:hyperlink>
          </w:p>
        </w:tc>
        <w:tc>
          <w:tcPr>
            <w:tcW w:w="8160" w:type="dxa"/>
            <w:vAlign w:val="bottom"/>
          </w:tcPr>
          <w:p>
            <w:pPr>
              <w:ind w:left="220"/>
              <w:spacing w:after="0"/>
              <w:rPr>
                <w:rFonts w:ascii="Arial" w:cs="Arial" w:eastAsia="Arial" w:hAnsi="Arial"/>
                <w:sz w:val="18"/>
                <w:szCs w:val="18"/>
                <w:color w:val="auto"/>
              </w:rPr>
            </w:pPr>
            <w:hyperlink w:anchor="page5">
              <w:r>
                <w:rPr>
                  <w:rFonts w:ascii="Arial" w:cs="Arial" w:eastAsia="Arial" w:hAnsi="Arial"/>
                  <w:sz w:val="18"/>
                  <w:szCs w:val="18"/>
                  <w:color w:val="auto"/>
                </w:rPr>
                <w:t>Financial statements</w:t>
              </w:r>
            </w:hyperlink>
          </w:p>
        </w:tc>
        <w:tc>
          <w:tcPr>
            <w:tcW w:w="2120" w:type="dxa"/>
            <w:vAlign w:val="bottom"/>
          </w:tcPr>
          <w:p>
            <w:pPr>
              <w:spacing w:after="0"/>
              <w:rPr>
                <w:sz w:val="24"/>
                <w:szCs w:val="24"/>
                <w:color w:val="auto"/>
              </w:rPr>
            </w:pPr>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5">
              <w:r>
                <w:rPr>
                  <w:rFonts w:ascii="Arial" w:cs="Arial" w:eastAsia="Arial" w:hAnsi="Arial"/>
                  <w:sz w:val="18"/>
                  <w:szCs w:val="18"/>
                  <w:color w:val="auto"/>
                </w:rPr>
                <w:t>Consolidated Balance Sheets (Unaudited)</w:t>
              </w:r>
            </w:hyperlink>
          </w:p>
        </w:tc>
        <w:tc>
          <w:tcPr>
            <w:tcW w:w="2120" w:type="dxa"/>
            <w:vAlign w:val="bottom"/>
          </w:tcPr>
          <w:p>
            <w:pPr>
              <w:ind w:left="1700"/>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6">
              <w:r>
                <w:rPr>
                  <w:rFonts w:ascii="Arial" w:cs="Arial" w:eastAsia="Arial" w:hAnsi="Arial"/>
                  <w:sz w:val="18"/>
                  <w:szCs w:val="18"/>
                  <w:color w:val="auto"/>
                </w:rPr>
                <w:t>Consolidated Statements of Comprehensive Income (Unaudited)</w:t>
              </w:r>
            </w:hyperlink>
          </w:p>
        </w:tc>
        <w:tc>
          <w:tcPr>
            <w:tcW w:w="2120" w:type="dxa"/>
            <w:vAlign w:val="bottom"/>
          </w:tcPr>
          <w:p>
            <w:pPr>
              <w:ind w:left="1700"/>
              <w:spacing w:after="0"/>
              <w:rPr>
                <w:rFonts w:ascii="Arial" w:cs="Arial" w:eastAsia="Arial" w:hAnsi="Arial"/>
                <w:sz w:val="18"/>
                <w:szCs w:val="18"/>
                <w:color w:val="auto"/>
              </w:rPr>
            </w:pPr>
            <w:hyperlink w:anchor="page6">
              <w:r>
                <w:rPr>
                  <w:rFonts w:ascii="Arial" w:cs="Arial" w:eastAsia="Arial" w:hAnsi="Arial"/>
                  <w:sz w:val="18"/>
                  <w:szCs w:val="18"/>
                  <w:color w:val="auto"/>
                </w:rPr>
                <w:t>4</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7">
              <w:r>
                <w:rPr>
                  <w:rFonts w:ascii="Arial" w:cs="Arial" w:eastAsia="Arial" w:hAnsi="Arial"/>
                  <w:sz w:val="18"/>
                  <w:szCs w:val="18"/>
                  <w:color w:val="auto"/>
                </w:rPr>
                <w:t>Consolidated Statements of Cash Flows (Unaudited)</w:t>
              </w:r>
            </w:hyperlink>
          </w:p>
        </w:tc>
        <w:tc>
          <w:tcPr>
            <w:tcW w:w="2120" w:type="dxa"/>
            <w:vAlign w:val="bottom"/>
          </w:tcPr>
          <w:p>
            <w:pPr>
              <w:ind w:left="1700"/>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8">
              <w:r>
                <w:rPr>
                  <w:rFonts w:ascii="Arial" w:cs="Arial" w:eastAsia="Arial" w:hAnsi="Arial"/>
                  <w:sz w:val="18"/>
                  <w:szCs w:val="18"/>
                  <w:color w:val="auto"/>
                </w:rPr>
                <w:t>Consolidated Statements of Stockholders’ Equity (Unaudited)</w:t>
              </w:r>
            </w:hyperlink>
          </w:p>
        </w:tc>
        <w:tc>
          <w:tcPr>
            <w:tcW w:w="2120" w:type="dxa"/>
            <w:vAlign w:val="bottom"/>
          </w:tcPr>
          <w:p>
            <w:pPr>
              <w:ind w:left="1700"/>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70"/>
        </w:trPr>
        <w:tc>
          <w:tcPr>
            <w:tcW w:w="940" w:type="dxa"/>
            <w:vAlign w:val="bottom"/>
          </w:tcPr>
          <w:p>
            <w:pPr>
              <w:spacing w:after="0"/>
              <w:rPr>
                <w:sz w:val="23"/>
                <w:szCs w:val="23"/>
                <w:color w:val="auto"/>
              </w:rPr>
            </w:pPr>
          </w:p>
        </w:tc>
        <w:tc>
          <w:tcPr>
            <w:tcW w:w="8160" w:type="dxa"/>
            <w:vAlign w:val="bottom"/>
          </w:tcPr>
          <w:p>
            <w:pPr>
              <w:ind w:left="480"/>
              <w:spacing w:after="0"/>
              <w:rPr>
                <w:rFonts w:ascii="Arial" w:cs="Arial" w:eastAsia="Arial" w:hAnsi="Arial"/>
                <w:sz w:val="18"/>
                <w:szCs w:val="18"/>
                <w:color w:val="auto"/>
              </w:rPr>
            </w:pPr>
            <w:hyperlink w:anchor="page9">
              <w:r>
                <w:rPr>
                  <w:rFonts w:ascii="Arial" w:cs="Arial" w:eastAsia="Arial" w:hAnsi="Arial"/>
                  <w:sz w:val="18"/>
                  <w:szCs w:val="18"/>
                  <w:color w:val="auto"/>
                </w:rPr>
                <w:t>Notes to Consolidated Financial Statements (Unaudited)</w:t>
              </w:r>
            </w:hyperlink>
          </w:p>
        </w:tc>
        <w:tc>
          <w:tcPr>
            <w:tcW w:w="2120" w:type="dxa"/>
            <w:vAlign w:val="bottom"/>
          </w:tcPr>
          <w:p>
            <w:pPr>
              <w:ind w:left="1700"/>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8160" w:type="dxa"/>
            <w:vAlign w:val="bottom"/>
          </w:tcPr>
          <w:p>
            <w:pPr>
              <w:ind w:left="22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2120" w:type="dxa"/>
            <w:vAlign w:val="bottom"/>
          </w:tcPr>
          <w:p>
            <w:pPr>
              <w:ind w:left="1700"/>
              <w:spacing w:after="0"/>
              <w:rPr>
                <w:rFonts w:ascii="Arial" w:cs="Arial" w:eastAsia="Arial" w:hAnsi="Arial"/>
                <w:sz w:val="18"/>
                <w:szCs w:val="18"/>
                <w:color w:val="auto"/>
              </w:rPr>
            </w:pPr>
            <w:hyperlink w:anchor="page22">
              <w:r>
                <w:rPr>
                  <w:rFonts w:ascii="Arial" w:cs="Arial" w:eastAsia="Arial" w:hAnsi="Arial"/>
                  <w:sz w:val="18"/>
                  <w:szCs w:val="18"/>
                  <w:color w:val="auto"/>
                </w:rPr>
                <w:t>20</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39">
              <w:r>
                <w:rPr>
                  <w:rFonts w:ascii="Arial" w:cs="Arial" w:eastAsia="Arial" w:hAnsi="Arial"/>
                  <w:sz w:val="18"/>
                  <w:szCs w:val="18"/>
                  <w:color w:val="auto"/>
                </w:rPr>
                <w:t>Item 3.</w:t>
              </w:r>
            </w:hyperlink>
          </w:p>
        </w:tc>
        <w:tc>
          <w:tcPr>
            <w:tcW w:w="8160" w:type="dxa"/>
            <w:vAlign w:val="bottom"/>
          </w:tcPr>
          <w:p>
            <w:pPr>
              <w:ind w:left="220"/>
              <w:spacing w:after="0"/>
              <w:rPr>
                <w:rFonts w:ascii="Arial" w:cs="Arial" w:eastAsia="Arial" w:hAnsi="Arial"/>
                <w:sz w:val="18"/>
                <w:szCs w:val="18"/>
                <w:color w:val="auto"/>
              </w:rPr>
            </w:pPr>
            <w:hyperlink w:anchor="page39">
              <w:r>
                <w:rPr>
                  <w:rFonts w:ascii="Arial" w:cs="Arial" w:eastAsia="Arial" w:hAnsi="Arial"/>
                  <w:sz w:val="18"/>
                  <w:szCs w:val="18"/>
                  <w:color w:val="auto"/>
                </w:rPr>
                <w:t>Quantitative and qualitative disclosures about market risk</w:t>
              </w:r>
            </w:hyperlink>
          </w:p>
        </w:tc>
        <w:tc>
          <w:tcPr>
            <w:tcW w:w="2120" w:type="dxa"/>
            <w:vAlign w:val="bottom"/>
          </w:tcPr>
          <w:p>
            <w:pPr>
              <w:ind w:left="1700"/>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r>
        <w:trPr>
          <w:trHeight w:val="270"/>
        </w:trPr>
        <w:tc>
          <w:tcPr>
            <w:tcW w:w="940" w:type="dxa"/>
            <w:vAlign w:val="bottom"/>
          </w:tcPr>
          <w:p>
            <w:pPr>
              <w:ind w:left="180"/>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8160" w:type="dxa"/>
            <w:vAlign w:val="bottom"/>
          </w:tcPr>
          <w:p>
            <w:pPr>
              <w:ind w:left="220"/>
              <w:spacing w:after="0"/>
              <w:rPr>
                <w:rFonts w:ascii="Arial" w:cs="Arial" w:eastAsia="Arial" w:hAnsi="Arial"/>
                <w:sz w:val="18"/>
                <w:szCs w:val="18"/>
                <w:color w:val="auto"/>
              </w:rPr>
            </w:pPr>
            <w:hyperlink w:anchor="page40">
              <w:r>
                <w:rPr>
                  <w:rFonts w:ascii="Arial" w:cs="Arial" w:eastAsia="Arial" w:hAnsi="Arial"/>
                  <w:sz w:val="18"/>
                  <w:szCs w:val="18"/>
                  <w:color w:val="auto"/>
                </w:rPr>
                <w:t>Controls and procedures</w:t>
              </w:r>
            </w:hyperlink>
          </w:p>
        </w:tc>
        <w:tc>
          <w:tcPr>
            <w:tcW w:w="2120" w:type="dxa"/>
            <w:vAlign w:val="bottom"/>
          </w:tcPr>
          <w:p>
            <w:pPr>
              <w:ind w:left="1700"/>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80" w:type="dxa"/>
            <w:vAlign w:val="bottom"/>
          </w:tcPr>
          <w:p>
            <w:pPr>
              <w:ind w:left="40"/>
              <w:spacing w:after="0"/>
              <w:rPr>
                <w:rFonts w:ascii="Arial" w:cs="Arial" w:eastAsia="Arial" w:hAnsi="Arial"/>
                <w:sz w:val="20"/>
                <w:szCs w:val="20"/>
                <w:b w:val="1"/>
                <w:bCs w:val="1"/>
                <w:color w:val="71BF43"/>
              </w:rPr>
            </w:pPr>
            <w:hyperlink w:anchor="page41">
              <w:r>
                <w:rPr>
                  <w:rFonts w:ascii="Arial" w:cs="Arial" w:eastAsia="Arial" w:hAnsi="Arial"/>
                  <w:sz w:val="20"/>
                  <w:szCs w:val="20"/>
                  <w:b w:val="1"/>
                  <w:bCs w:val="1"/>
                  <w:color w:val="71BF43"/>
                </w:rPr>
                <w:t>PART II.</w:t>
              </w:r>
            </w:hyperlink>
          </w:p>
        </w:tc>
        <w:tc>
          <w:tcPr>
            <w:tcW w:w="9180" w:type="dxa"/>
            <w:vAlign w:val="bottom"/>
          </w:tcPr>
          <w:p>
            <w:pPr>
              <w:ind w:left="180"/>
              <w:spacing w:after="0"/>
              <w:rPr>
                <w:rFonts w:ascii="Arial" w:cs="Arial" w:eastAsia="Arial" w:hAnsi="Arial"/>
                <w:sz w:val="20"/>
                <w:szCs w:val="20"/>
                <w:b w:val="1"/>
                <w:bCs w:val="1"/>
                <w:color w:val="71BF43"/>
              </w:rPr>
            </w:pPr>
            <w:hyperlink w:anchor="page41">
              <w:r>
                <w:rPr>
                  <w:rFonts w:ascii="Arial" w:cs="Arial" w:eastAsia="Arial" w:hAnsi="Arial"/>
                  <w:sz w:val="20"/>
                  <w:szCs w:val="20"/>
                  <w:b w:val="1"/>
                  <w:bCs w:val="1"/>
                  <w:color w:val="71BF43"/>
                </w:rPr>
                <w:t>OTHER INFORMATION</w:t>
              </w:r>
            </w:hyperlink>
          </w:p>
        </w:tc>
        <w:tc>
          <w:tcPr>
            <w:tcW w:w="1060" w:type="dxa"/>
            <w:vAlign w:val="bottom"/>
          </w:tcPr>
          <w:p>
            <w:pPr>
              <w:ind w:left="640"/>
              <w:spacing w:after="0"/>
              <w:rPr>
                <w:rFonts w:ascii="Arial" w:cs="Arial" w:eastAsia="Arial" w:hAnsi="Arial"/>
                <w:sz w:val="20"/>
                <w:szCs w:val="20"/>
                <w:b w:val="1"/>
                <w:bCs w:val="1"/>
                <w:color w:val="71BF43"/>
              </w:rPr>
            </w:pPr>
            <w:hyperlink w:anchor="page41">
              <w:r>
                <w:rPr>
                  <w:rFonts w:ascii="Arial" w:cs="Arial" w:eastAsia="Arial" w:hAnsi="Arial"/>
                  <w:sz w:val="20"/>
                  <w:szCs w:val="20"/>
                  <w:b w:val="1"/>
                  <w:bCs w:val="1"/>
                  <w:color w:val="71BF43"/>
                </w:rPr>
                <w:t>39</w:t>
              </w:r>
            </w:hyperlink>
          </w:p>
        </w:tc>
      </w:tr>
      <w:tr>
        <w:trPr>
          <w:trHeight w:val="23"/>
        </w:trPr>
        <w:tc>
          <w:tcPr>
            <w:tcW w:w="980" w:type="dxa"/>
            <w:vAlign w:val="bottom"/>
            <w:tcBorders>
              <w:bottom w:val="single" w:sz="8" w:color="71BF43"/>
            </w:tcBorders>
          </w:tcPr>
          <w:p>
            <w:pPr>
              <w:spacing w:after="0"/>
              <w:rPr>
                <w:sz w:val="2"/>
                <w:szCs w:val="2"/>
                <w:color w:val="auto"/>
              </w:rPr>
            </w:pPr>
          </w:p>
        </w:tc>
        <w:tc>
          <w:tcPr>
            <w:tcW w:w="918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r>
        <w:trPr>
          <w:trHeight w:val="358"/>
        </w:trPr>
        <w:tc>
          <w:tcPr>
            <w:tcW w:w="980" w:type="dxa"/>
            <w:vAlign w:val="bottom"/>
          </w:tcPr>
          <w:p>
            <w:pPr>
              <w:ind w:left="180"/>
              <w:spacing w:after="0"/>
              <w:rPr>
                <w:rFonts w:ascii="Arial" w:cs="Arial" w:eastAsia="Arial" w:hAnsi="Arial"/>
                <w:sz w:val="18"/>
                <w:szCs w:val="18"/>
                <w:color w:val="auto"/>
              </w:rPr>
            </w:pPr>
            <w:hyperlink w:anchor="page41">
              <w:r>
                <w:rPr>
                  <w:rFonts w:ascii="Arial" w:cs="Arial" w:eastAsia="Arial" w:hAnsi="Arial"/>
                  <w:sz w:val="18"/>
                  <w:szCs w:val="18"/>
                  <w:color w:val="auto"/>
                </w:rPr>
                <w:t>Item 1A.</w:t>
              </w:r>
            </w:hyperlink>
          </w:p>
        </w:tc>
        <w:tc>
          <w:tcPr>
            <w:tcW w:w="9180" w:type="dxa"/>
            <w:vAlign w:val="bottom"/>
          </w:tcPr>
          <w:p>
            <w:pPr>
              <w:ind w:left="180"/>
              <w:spacing w:after="0"/>
              <w:rPr>
                <w:rFonts w:ascii="Arial" w:cs="Arial" w:eastAsia="Arial" w:hAnsi="Arial"/>
                <w:sz w:val="18"/>
                <w:szCs w:val="18"/>
                <w:color w:val="auto"/>
              </w:rPr>
            </w:pPr>
            <w:hyperlink w:anchor="page41">
              <w:r>
                <w:rPr>
                  <w:rFonts w:ascii="Arial" w:cs="Arial" w:eastAsia="Arial" w:hAnsi="Arial"/>
                  <w:sz w:val="18"/>
                  <w:szCs w:val="18"/>
                  <w:color w:val="auto"/>
                </w:rPr>
                <w:t>Risk factors</w:t>
              </w:r>
            </w:hyperlink>
          </w:p>
        </w:tc>
        <w:tc>
          <w:tcPr>
            <w:tcW w:w="1060" w:type="dxa"/>
            <w:vAlign w:val="bottom"/>
          </w:tcPr>
          <w:p>
            <w:pPr>
              <w:ind w:left="640"/>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r>
      <w:tr>
        <w:trPr>
          <w:trHeight w:val="270"/>
        </w:trPr>
        <w:tc>
          <w:tcPr>
            <w:tcW w:w="980" w:type="dxa"/>
            <w:vAlign w:val="bottom"/>
          </w:tcPr>
          <w:p>
            <w:pPr>
              <w:ind w:left="180"/>
              <w:spacing w:after="0"/>
              <w:rPr>
                <w:rFonts w:ascii="Arial" w:cs="Arial" w:eastAsia="Arial" w:hAnsi="Arial"/>
                <w:sz w:val="18"/>
                <w:szCs w:val="18"/>
                <w:color w:val="auto"/>
              </w:rPr>
            </w:pPr>
            <w:hyperlink w:anchor="page42">
              <w:r>
                <w:rPr>
                  <w:rFonts w:ascii="Arial" w:cs="Arial" w:eastAsia="Arial" w:hAnsi="Arial"/>
                  <w:sz w:val="18"/>
                  <w:szCs w:val="18"/>
                  <w:color w:val="auto"/>
                </w:rPr>
                <w:t>Item 2.</w:t>
              </w:r>
            </w:hyperlink>
          </w:p>
        </w:tc>
        <w:tc>
          <w:tcPr>
            <w:tcW w:w="9180" w:type="dxa"/>
            <w:vAlign w:val="bottom"/>
          </w:tcPr>
          <w:p>
            <w:pPr>
              <w:ind w:left="180"/>
              <w:spacing w:after="0"/>
              <w:rPr>
                <w:rFonts w:ascii="Arial" w:cs="Arial" w:eastAsia="Arial" w:hAnsi="Arial"/>
                <w:sz w:val="18"/>
                <w:szCs w:val="18"/>
                <w:color w:val="auto"/>
              </w:rPr>
            </w:pPr>
            <w:hyperlink w:anchor="page42">
              <w:r>
                <w:rPr>
                  <w:rFonts w:ascii="Arial" w:cs="Arial" w:eastAsia="Arial" w:hAnsi="Arial"/>
                  <w:sz w:val="18"/>
                  <w:szCs w:val="18"/>
                  <w:color w:val="auto"/>
                </w:rPr>
                <w:t>Unregistered sales of equity securities and use of proceeds</w:t>
              </w:r>
            </w:hyperlink>
          </w:p>
        </w:tc>
        <w:tc>
          <w:tcPr>
            <w:tcW w:w="1060" w:type="dxa"/>
            <w:vAlign w:val="bottom"/>
          </w:tcPr>
          <w:p>
            <w:pPr>
              <w:ind w:left="640"/>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r>
      <w:tr>
        <w:trPr>
          <w:trHeight w:val="270"/>
        </w:trPr>
        <w:tc>
          <w:tcPr>
            <w:tcW w:w="980" w:type="dxa"/>
            <w:vAlign w:val="bottom"/>
          </w:tcPr>
          <w:p>
            <w:pPr>
              <w:ind w:left="180"/>
              <w:spacing w:after="0"/>
              <w:rPr>
                <w:rFonts w:ascii="Arial" w:cs="Arial" w:eastAsia="Arial" w:hAnsi="Arial"/>
                <w:sz w:val="18"/>
                <w:szCs w:val="18"/>
                <w:color w:val="auto"/>
              </w:rPr>
            </w:pPr>
            <w:hyperlink w:anchor="page43">
              <w:r>
                <w:rPr>
                  <w:rFonts w:ascii="Arial" w:cs="Arial" w:eastAsia="Arial" w:hAnsi="Arial"/>
                  <w:sz w:val="18"/>
                  <w:szCs w:val="18"/>
                  <w:color w:val="auto"/>
                </w:rPr>
                <w:t>Item 6.</w:t>
              </w:r>
            </w:hyperlink>
          </w:p>
        </w:tc>
        <w:tc>
          <w:tcPr>
            <w:tcW w:w="9180" w:type="dxa"/>
            <w:vAlign w:val="bottom"/>
          </w:tcPr>
          <w:p>
            <w:pPr>
              <w:ind w:left="180"/>
              <w:spacing w:after="0"/>
              <w:rPr>
                <w:rFonts w:ascii="Arial" w:cs="Arial" w:eastAsia="Arial" w:hAnsi="Arial"/>
                <w:sz w:val="18"/>
                <w:szCs w:val="18"/>
                <w:color w:val="auto"/>
              </w:rPr>
            </w:pPr>
            <w:hyperlink w:anchor="page43">
              <w:r>
                <w:rPr>
                  <w:rFonts w:ascii="Arial" w:cs="Arial" w:eastAsia="Arial" w:hAnsi="Arial"/>
                  <w:sz w:val="18"/>
                  <w:szCs w:val="18"/>
                  <w:color w:val="auto"/>
                </w:rPr>
                <w:t>Exhibits</w:t>
              </w:r>
            </w:hyperlink>
          </w:p>
        </w:tc>
        <w:tc>
          <w:tcPr>
            <w:tcW w:w="1060" w:type="dxa"/>
            <w:vAlign w:val="bottom"/>
          </w:tcPr>
          <w:p>
            <w:pPr>
              <w:ind w:left="640"/>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r>
      <w:tr>
        <w:trPr>
          <w:trHeight w:val="611"/>
        </w:trPr>
        <w:tc>
          <w:tcPr>
            <w:tcW w:w="10160" w:type="dxa"/>
            <w:vAlign w:val="bottom"/>
            <w:gridSpan w:val="2"/>
          </w:tcPr>
          <w:p>
            <w:pPr>
              <w:ind w:left="40"/>
              <w:spacing w:after="0"/>
              <w:rPr>
                <w:rFonts w:ascii="Arial" w:cs="Arial" w:eastAsia="Arial" w:hAnsi="Arial"/>
                <w:sz w:val="20"/>
                <w:szCs w:val="20"/>
                <w:b w:val="1"/>
                <w:bCs w:val="1"/>
                <w:color w:val="71BF43"/>
              </w:rPr>
            </w:pPr>
            <w:hyperlink w:anchor="page44">
              <w:r>
                <w:rPr>
                  <w:rFonts w:ascii="Arial" w:cs="Arial" w:eastAsia="Arial" w:hAnsi="Arial"/>
                  <w:sz w:val="20"/>
                  <w:szCs w:val="20"/>
                  <w:b w:val="1"/>
                  <w:bCs w:val="1"/>
                  <w:color w:val="71BF43"/>
                </w:rPr>
                <w:t>SIGNATURES</w:t>
              </w:r>
            </w:hyperlink>
          </w:p>
        </w:tc>
        <w:tc>
          <w:tcPr>
            <w:tcW w:w="1060" w:type="dxa"/>
            <w:vAlign w:val="bottom"/>
          </w:tcPr>
          <w:p>
            <w:pPr>
              <w:ind w:left="640"/>
              <w:spacing w:after="0"/>
              <w:rPr>
                <w:rFonts w:ascii="Arial" w:cs="Arial" w:eastAsia="Arial" w:hAnsi="Arial"/>
                <w:sz w:val="20"/>
                <w:szCs w:val="20"/>
                <w:b w:val="1"/>
                <w:bCs w:val="1"/>
                <w:color w:val="71BF43"/>
              </w:rPr>
            </w:pPr>
            <w:hyperlink w:anchor="page44">
              <w:r>
                <w:rPr>
                  <w:rFonts w:ascii="Arial" w:cs="Arial" w:eastAsia="Arial" w:hAnsi="Arial"/>
                  <w:sz w:val="20"/>
                  <w:szCs w:val="20"/>
                  <w:b w:val="1"/>
                  <w:bCs w:val="1"/>
                  <w:color w:val="71BF43"/>
                </w:rPr>
                <w:t>42</w:t>
              </w:r>
            </w:hyperlink>
          </w:p>
        </w:tc>
      </w:tr>
      <w:tr>
        <w:trPr>
          <w:trHeight w:val="23"/>
        </w:trPr>
        <w:tc>
          <w:tcPr>
            <w:tcW w:w="980" w:type="dxa"/>
            <w:vAlign w:val="bottom"/>
            <w:tcBorders>
              <w:bottom w:val="single" w:sz="8" w:color="71BF43"/>
            </w:tcBorders>
          </w:tcPr>
          <w:p>
            <w:pPr>
              <w:spacing w:after="0"/>
              <w:rPr>
                <w:sz w:val="2"/>
                <w:szCs w:val="2"/>
                <w:color w:val="auto"/>
              </w:rPr>
            </w:pPr>
          </w:p>
        </w:tc>
        <w:tc>
          <w:tcPr>
            <w:tcW w:w="918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r>
        <w:trPr>
          <w:trHeight w:val="548"/>
        </w:trPr>
        <w:tc>
          <w:tcPr>
            <w:tcW w:w="980" w:type="dxa"/>
            <w:vAlign w:val="bottom"/>
          </w:tcPr>
          <w:p>
            <w:pPr>
              <w:spacing w:after="0"/>
              <w:rPr>
                <w:sz w:val="24"/>
                <w:szCs w:val="24"/>
                <w:color w:val="auto"/>
              </w:rPr>
            </w:pPr>
          </w:p>
        </w:tc>
        <w:tc>
          <w:tcPr>
            <w:tcW w:w="9180" w:type="dxa"/>
            <w:vAlign w:val="bottom"/>
          </w:tcPr>
          <w:p>
            <w:pPr>
              <w:ind w:left="6820"/>
              <w:spacing w:after="0"/>
              <w:rPr>
                <w:sz w:val="20"/>
                <w:szCs w:val="20"/>
                <w:color w:val="auto"/>
              </w:rPr>
            </w:pPr>
            <w:r>
              <w:rPr>
                <w:rFonts w:ascii="Arial" w:cs="Arial" w:eastAsia="Arial" w:hAnsi="Arial"/>
                <w:sz w:val="14"/>
                <w:szCs w:val="14"/>
                <w:color w:val="auto"/>
              </w:rPr>
              <w:t>First Quarter 2020 Form 10-Q</w:t>
            </w:r>
          </w:p>
        </w:tc>
        <w:tc>
          <w:tcPr>
            <w:tcW w:w="1060" w:type="dxa"/>
            <w:vAlign w:val="bottom"/>
          </w:tcPr>
          <w:p>
            <w:pPr>
              <w:ind w:left="660"/>
              <w:spacing w:after="0"/>
              <w:rPr>
                <w:sz w:val="20"/>
                <w:szCs w:val="20"/>
                <w:color w:val="auto"/>
              </w:rPr>
            </w:pPr>
            <w:r>
              <w:rPr>
                <w:rFonts w:ascii="Arial" w:cs="Arial" w:eastAsia="Arial" w:hAnsi="Arial"/>
                <w:sz w:val="14"/>
                <w:szCs w:val="14"/>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20"/>
          </w:cols>
          <w:pgMar w:left="320" w:top="497" w:right="35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720" w:right="460" w:hanging="445"/>
        <w:spacing w:after="0"/>
        <w:rPr>
          <w:sz w:val="20"/>
          <w:szCs w:val="20"/>
          <w:color w:val="auto"/>
        </w:rPr>
      </w:pPr>
      <w:r>
        <w:rPr>
          <w:sz w:val="1"/>
          <w:szCs w:val="1"/>
          <w:color w:val="auto"/>
        </w:rPr>
        <w:drawing>
          <wp:inline distT="0" distB="0" distL="0" distR="0">
            <wp:extent cx="180340" cy="22288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340" cy="222885"/>
                    </a:xfrm>
                    <a:prstGeom prst="rect">
                      <a:avLst/>
                    </a:prstGeom>
                    <a:noFill/>
                    <a:ln>
                      <a:noFill/>
                    </a:ln>
                  </pic:spPr>
                </pic:pic>
              </a:graphicData>
            </a:graphic>
          </wp:inline>
        </w:drawing>
      </w:r>
      <w:r>
        <w:rPr>
          <w:rFonts w:ascii="Arial" w:cs="Arial" w:eastAsia="Arial" w:hAnsi="Arial"/>
          <w:sz w:val="40"/>
          <w:szCs w:val="40"/>
          <w:b w:val="1"/>
          <w:bCs w:val="1"/>
          <w:color w:val="4D5259"/>
        </w:rPr>
        <w:t xml:space="preserve"> CAUTIONARY STATEMENT REGARDING FORWARD-LOOKING STATEMENTS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and potential litigation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2019 and in our other SEC filings.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2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2  </w:t>
      </w:r>
      <w:r>
        <w:rPr>
          <w:sz w:val="1"/>
          <w:szCs w:val="1"/>
          <w:color w:val="auto"/>
        </w:rPr>
        <w:drawing>
          <wp:inline distT="0" distB="0" distL="0" distR="0">
            <wp:extent cx="668655" cy="1028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4" w:name="page5"/>
    <w:bookmarkEnd w:id="4"/>
    <w:p>
      <w:pPr>
        <w:ind w:left="260"/>
        <w:spacing w:after="0"/>
        <w:rPr>
          <w:sz w:val="20"/>
          <w:szCs w:val="20"/>
          <w:color w:val="auto"/>
        </w:rPr>
      </w:pPr>
      <w:r>
        <w:rPr>
          <w:sz w:val="1"/>
          <w:szCs w:val="1"/>
          <w:color w:val="auto"/>
        </w:rPr>
        <w:drawing>
          <wp:inline distT="0" distB="0" distL="0" distR="0">
            <wp:extent cx="180340" cy="24003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340" cy="24003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 FINANCIAL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4"/>
                <w:szCs w:val="14"/>
                <w:color w:val="auto"/>
              </w:rPr>
            </w:pPr>
          </w:p>
        </w:tc>
        <w:tc>
          <w:tcPr>
            <w:tcW w:w="112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March 31,</w:t>
            </w:r>
          </w:p>
        </w:tc>
        <w:tc>
          <w:tcPr>
            <w:tcW w:w="34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112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2020</w:t>
            </w:r>
          </w:p>
        </w:tc>
        <w:tc>
          <w:tcPr>
            <w:tcW w:w="34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Assets</w:t>
            </w:r>
          </w:p>
        </w:tc>
        <w:tc>
          <w:tcPr>
            <w:tcW w:w="46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Current assets:</w:t>
            </w:r>
          </w:p>
        </w:tc>
        <w:tc>
          <w:tcPr>
            <w:tcW w:w="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8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Cash and cash equivalents</w:t>
            </w:r>
          </w:p>
        </w:tc>
        <w:tc>
          <w:tcPr>
            <w:tcW w:w="460" w:type="dxa"/>
            <w:vAlign w:val="bottom"/>
            <w:tcBorders>
              <w:bottom w:val="single" w:sz="8" w:color="F4F4F4"/>
            </w:tcBorders>
            <w:shd w:val="clear" w:color="auto" w:fill="F4F4F4"/>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24,972</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Restricted cash due to customers</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232,250</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545,485</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00" w:type="dxa"/>
            <w:vAlign w:val="bottom"/>
            <w:shd w:val="clear" w:color="auto" w:fill="F4F4F4"/>
          </w:tcPr>
          <w:p>
            <w:pPr>
              <w:ind w:left="600"/>
              <w:spacing w:after="0"/>
              <w:rPr>
                <w:sz w:val="20"/>
                <w:szCs w:val="20"/>
                <w:color w:val="auto"/>
              </w:rPr>
            </w:pPr>
            <w:r>
              <w:rPr>
                <w:rFonts w:ascii="Arial" w:cs="Arial" w:eastAsia="Arial" w:hAnsi="Arial"/>
                <w:sz w:val="16"/>
                <w:szCs w:val="16"/>
                <w:color w:val="auto"/>
              </w:rPr>
              <w:t>Accounts receivable, net of allowance of $5,928 and $5,529 at March 31, 2020 and December 31, 2019,</w:t>
            </w:r>
          </w:p>
        </w:tc>
        <w:tc>
          <w:tcPr>
            <w:tcW w:w="460" w:type="dxa"/>
            <w:vAlign w:val="bottom"/>
            <w:shd w:val="clear" w:color="auto" w:fill="F4F4F4"/>
          </w:tcPr>
          <w:p>
            <w:pPr>
              <w:spacing w:after="0"/>
              <w:rPr>
                <w:sz w:val="19"/>
                <w:szCs w:val="19"/>
                <w:color w:val="auto"/>
              </w:rPr>
            </w:pPr>
          </w:p>
        </w:tc>
        <w:tc>
          <w:tcPr>
            <w:tcW w:w="1120" w:type="dxa"/>
            <w:vAlign w:val="bottom"/>
            <w:shd w:val="clear" w:color="auto" w:fill="F4F4F4"/>
          </w:tcPr>
          <w:p>
            <w:pPr>
              <w:jc w:val="right"/>
              <w:ind w:right="20"/>
              <w:spacing w:after="0"/>
              <w:rPr>
                <w:sz w:val="20"/>
                <w:szCs w:val="20"/>
                <w:color w:val="auto"/>
              </w:rPr>
            </w:pPr>
            <w:r>
              <w:rPr>
                <w:rFonts w:ascii="Arial" w:cs="Arial" w:eastAsia="Arial" w:hAnsi="Arial"/>
                <w:sz w:val="16"/>
                <w:szCs w:val="16"/>
                <w:color w:val="auto"/>
              </w:rPr>
              <w:t>89,191</w:t>
            </w:r>
          </w:p>
        </w:tc>
        <w:tc>
          <w:tcPr>
            <w:tcW w:w="340" w:type="dxa"/>
            <w:vAlign w:val="bottom"/>
            <w:shd w:val="clear" w:color="auto" w:fill="F4F4F4"/>
          </w:tcPr>
          <w:p>
            <w:pPr>
              <w:spacing w:after="0"/>
              <w:rPr>
                <w:sz w:val="19"/>
                <w:szCs w:val="19"/>
                <w:color w:val="auto"/>
              </w:rPr>
            </w:pPr>
          </w:p>
        </w:tc>
        <w:tc>
          <w:tcPr>
            <w:tcW w:w="1220" w:type="dxa"/>
            <w:vAlign w:val="bottom"/>
            <w:shd w:val="clear" w:color="auto" w:fill="F4F4F4"/>
          </w:tcPr>
          <w:p>
            <w:pPr>
              <w:jc w:val="right"/>
              <w:ind w:right="20"/>
              <w:spacing w:after="0"/>
              <w:rPr>
                <w:sz w:val="20"/>
                <w:szCs w:val="20"/>
                <w:color w:val="auto"/>
              </w:rPr>
            </w:pPr>
            <w:r>
              <w:rPr>
                <w:rFonts w:ascii="Arial" w:cs="Arial" w:eastAsia="Arial" w:hAnsi="Arial"/>
                <w:sz w:val="16"/>
                <w:szCs w:val="16"/>
                <w:color w:val="auto"/>
              </w:rPr>
              <w:t>88,868</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respectively</w:t>
            </w:r>
          </w:p>
        </w:tc>
        <w:tc>
          <w:tcPr>
            <w:tcW w:w="460" w:type="dxa"/>
            <w:vAlign w:val="bottom"/>
            <w:tcBorders>
              <w:bottom w:val="single" w:sz="8" w:color="F4F4F4"/>
            </w:tcBorders>
            <w:shd w:val="clear" w:color="auto" w:fill="F4F4F4"/>
          </w:tcPr>
          <w:p>
            <w:pPr>
              <w:spacing w:after="0"/>
              <w:rPr>
                <w:sz w:val="19"/>
                <w:szCs w:val="19"/>
                <w:color w:val="auto"/>
              </w:rPr>
            </w:pPr>
          </w:p>
        </w:tc>
        <w:tc>
          <w:tcPr>
            <w:tcW w:w="1120" w:type="dxa"/>
            <w:vAlign w:val="bottom"/>
            <w:tcBorders>
              <w:bottom w:val="single" w:sz="8" w:color="F4F4F4"/>
            </w:tcBorders>
            <w:shd w:val="clear" w:color="auto" w:fill="F4F4F4"/>
          </w:tcPr>
          <w:p>
            <w:pPr>
              <w:spacing w:after="0"/>
              <w:rPr>
                <w:sz w:val="19"/>
                <w:szCs w:val="19"/>
                <w:color w:val="auto"/>
              </w:rPr>
            </w:pPr>
          </w:p>
        </w:tc>
        <w:tc>
          <w:tcPr>
            <w:tcW w:w="340" w:type="dxa"/>
            <w:vAlign w:val="bottom"/>
            <w:tcBorders>
              <w:bottom w:val="single" w:sz="8" w:color="F4F4F4"/>
            </w:tcBorders>
            <w:shd w:val="clear" w:color="auto" w:fill="F4F4F4"/>
          </w:tcPr>
          <w:p>
            <w:pPr>
              <w:spacing w:after="0"/>
              <w:rPr>
                <w:sz w:val="19"/>
                <w:szCs w:val="19"/>
                <w:color w:val="auto"/>
              </w:rPr>
            </w:pPr>
          </w:p>
        </w:tc>
        <w:tc>
          <w:tcPr>
            <w:tcW w:w="1220" w:type="dxa"/>
            <w:vAlign w:val="bottom"/>
            <w:tcBorders>
              <w:bottom w:val="single" w:sz="8" w:color="F4F4F4"/>
            </w:tcBorders>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600"/>
              <w:spacing w:after="0"/>
              <w:rPr>
                <w:sz w:val="20"/>
                <w:szCs w:val="20"/>
                <w:color w:val="auto"/>
              </w:rPr>
            </w:pPr>
            <w:r>
              <w:rPr>
                <w:rFonts w:ascii="Arial" w:cs="Arial" w:eastAsia="Arial" w:hAnsi="Arial"/>
                <w:sz w:val="16"/>
                <w:szCs w:val="16"/>
                <w:color w:val="auto"/>
              </w:rPr>
              <w:t>Customer funds receivable</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1,205</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Prepaid expenses and other current assets</w:t>
            </w:r>
          </w:p>
        </w:tc>
        <w:tc>
          <w:tcPr>
            <w:tcW w:w="460" w:type="dxa"/>
            <w:vAlign w:val="bottom"/>
            <w:tcBorders>
              <w:bottom w:val="single" w:sz="8" w:color="F4F4F4"/>
            </w:tcBorders>
            <w:shd w:val="clear" w:color="auto" w:fill="F4F4F4"/>
          </w:tcPr>
          <w:p>
            <w:pPr>
              <w:spacing w:after="0"/>
              <w:rPr>
                <w:sz w:val="22"/>
                <w:szCs w:val="22"/>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81,004</w:t>
            </w:r>
          </w:p>
        </w:tc>
        <w:tc>
          <w:tcPr>
            <w:tcW w:w="340" w:type="dxa"/>
            <w:vAlign w:val="bottom"/>
            <w:tcBorders>
              <w:bottom w:val="single" w:sz="8" w:color="F4F4F4"/>
            </w:tcBorders>
            <w:shd w:val="clear" w:color="auto" w:fill="F4F4F4"/>
          </w:tcPr>
          <w:p>
            <w:pPr>
              <w:spacing w:after="0"/>
              <w:rPr>
                <w:sz w:val="22"/>
                <w:szCs w:val="22"/>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67,852</w:t>
            </w:r>
          </w:p>
        </w:tc>
        <w:tc>
          <w:tcPr>
            <w:tcW w:w="0" w:type="dxa"/>
            <w:vAlign w:val="bottom"/>
          </w:tcPr>
          <w:p>
            <w:pPr>
              <w:spacing w:after="0"/>
              <w:rPr>
                <w:sz w:val="1"/>
                <w:szCs w:val="1"/>
                <w:color w:val="auto"/>
              </w:rPr>
            </w:pPr>
          </w:p>
        </w:tc>
      </w:tr>
      <w:tr>
        <w:trPr>
          <w:trHeight w:val="217"/>
        </w:trPr>
        <w:tc>
          <w:tcPr>
            <w:tcW w:w="8100" w:type="dxa"/>
            <w:vAlign w:val="bottom"/>
          </w:tcPr>
          <w:p>
            <w:pPr>
              <w:ind w:left="720"/>
              <w:spacing w:after="0"/>
              <w:rPr>
                <w:sz w:val="20"/>
                <w:szCs w:val="20"/>
                <w:color w:val="auto"/>
              </w:rPr>
            </w:pPr>
            <w:r>
              <w:rPr>
                <w:rFonts w:ascii="Arial" w:cs="Arial" w:eastAsia="Arial" w:hAnsi="Arial"/>
                <w:sz w:val="16"/>
                <w:szCs w:val="16"/>
                <w:color w:val="auto"/>
              </w:rPr>
              <w:t>Total current assets</w:t>
            </w: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428,622</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734,539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Property and equipment, net</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35,661</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35,546</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Operating lease right-of-use assets</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100,568</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104,400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Software development costs, net</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105,594</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101,302</w:t>
            </w:r>
          </w:p>
        </w:tc>
        <w:tc>
          <w:tcPr>
            <w:tcW w:w="0" w:type="dxa"/>
            <w:vAlign w:val="bottom"/>
          </w:tcPr>
          <w:p>
            <w:pPr>
              <w:spacing w:after="0"/>
              <w:rPr>
                <w:sz w:val="1"/>
                <w:szCs w:val="1"/>
                <w:color w:val="auto"/>
              </w:rPr>
            </w:pPr>
          </w:p>
        </w:tc>
      </w:tr>
      <w:tr>
        <w:trPr>
          <w:trHeight w:val="224"/>
        </w:trPr>
        <w:tc>
          <w:tcPr>
            <w:tcW w:w="8100" w:type="dxa"/>
            <w:vAlign w:val="bottom"/>
          </w:tcPr>
          <w:p>
            <w:pPr>
              <w:ind w:left="380"/>
              <w:spacing w:after="0"/>
              <w:rPr>
                <w:sz w:val="20"/>
                <w:szCs w:val="20"/>
                <w:color w:val="auto"/>
              </w:rPr>
            </w:pPr>
            <w:r>
              <w:rPr>
                <w:rFonts w:ascii="Arial" w:cs="Arial" w:eastAsia="Arial" w:hAnsi="Arial"/>
                <w:sz w:val="16"/>
                <w:szCs w:val="16"/>
                <w:color w:val="auto"/>
              </w:rPr>
              <w:t>Goodwill</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631,033</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634,088</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Intangible assets, net</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303,097</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317,895</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66,346</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65,193</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assets</w:t>
            </w:r>
          </w:p>
        </w:tc>
        <w:tc>
          <w:tcPr>
            <w:tcW w:w="460" w:type="dxa"/>
            <w:vAlign w:val="bottom"/>
            <w:tcBorders>
              <w:bottom w:val="single" w:sz="8" w:color="F4F4F4"/>
            </w:tcBorders>
            <w:shd w:val="clear" w:color="auto" w:fill="F4F4F4"/>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1,670,921</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1,992,963</w:t>
            </w:r>
          </w:p>
        </w:tc>
        <w:tc>
          <w:tcPr>
            <w:tcW w:w="0" w:type="dxa"/>
            <w:vAlign w:val="bottom"/>
          </w:tcPr>
          <w:p>
            <w:pPr>
              <w:spacing w:after="0"/>
              <w:rPr>
                <w:sz w:val="1"/>
                <w:szCs w:val="1"/>
                <w:color w:val="auto"/>
              </w:rPr>
            </w:pPr>
          </w:p>
        </w:tc>
      </w:tr>
      <w:tr>
        <w:trPr>
          <w:trHeight w:val="203"/>
        </w:trPr>
        <w:tc>
          <w:tcPr>
            <w:tcW w:w="8100" w:type="dxa"/>
            <w:vAlign w:val="bottom"/>
          </w:tcPr>
          <w:p>
            <w:pPr>
              <w:ind w:left="180"/>
              <w:spacing w:after="0"/>
              <w:rPr>
                <w:sz w:val="20"/>
                <w:szCs w:val="20"/>
                <w:color w:val="auto"/>
              </w:rPr>
            </w:pPr>
            <w:r>
              <w:rPr>
                <w:rFonts w:ascii="Arial" w:cs="Arial" w:eastAsia="Arial" w:hAnsi="Arial"/>
                <w:sz w:val="16"/>
                <w:szCs w:val="16"/>
                <w:b w:val="1"/>
                <w:bCs w:val="1"/>
                <w:color w:val="auto"/>
              </w:rPr>
              <w:t>Liabilities and stockholders’ equity</w:t>
            </w: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8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Current liabilities:</w:t>
            </w:r>
          </w:p>
        </w:tc>
        <w:tc>
          <w:tcPr>
            <w:tcW w:w="46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Trade accounts payable</w:t>
            </w: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44,510</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47,676</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45,781</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73,317</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Due to customers</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233,455</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546,009</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Debt, current portion</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10,351</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7,500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Deferred revenue, current portion</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288,682</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314,335</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F4F4F4"/>
            </w:tcBorders>
            <w:shd w:val="clear" w:color="auto" w:fill="F4F4F4"/>
          </w:tcPr>
          <w:p>
            <w:pPr>
              <w:ind w:left="720"/>
              <w:spacing w:after="0"/>
              <w:rPr>
                <w:sz w:val="20"/>
                <w:szCs w:val="20"/>
                <w:color w:val="auto"/>
              </w:rPr>
            </w:pPr>
            <w:r>
              <w:rPr>
                <w:rFonts w:ascii="Arial" w:cs="Arial" w:eastAsia="Arial" w:hAnsi="Arial"/>
                <w:sz w:val="16"/>
                <w:szCs w:val="16"/>
                <w:color w:val="auto"/>
              </w:rPr>
              <w:t>Total current liabilities</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622,779</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988,837</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Debt, net of current portion</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520,576</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459,600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Deferred tax liability</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43,286</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44,594</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Deferred revenue, net of current portion</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1,715</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1,802</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Operating lease liabilities, net of current portion</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91,235</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95,624</w:t>
            </w:r>
          </w:p>
        </w:tc>
        <w:tc>
          <w:tcPr>
            <w:tcW w:w="0" w:type="dxa"/>
            <w:vAlign w:val="bottom"/>
          </w:tcPr>
          <w:p>
            <w:pPr>
              <w:spacing w:after="0"/>
              <w:rPr>
                <w:sz w:val="1"/>
                <w:szCs w:val="1"/>
                <w:color w:val="auto"/>
              </w:rPr>
            </w:pPr>
          </w:p>
        </w:tc>
      </w:tr>
      <w:tr>
        <w:trPr>
          <w:trHeight w:val="223"/>
        </w:trPr>
        <w:tc>
          <w:tcPr>
            <w:tcW w:w="8100" w:type="dxa"/>
            <w:vAlign w:val="bottom"/>
          </w:tcPr>
          <w:p>
            <w:pPr>
              <w:ind w:left="380"/>
              <w:spacing w:after="0"/>
              <w:rPr>
                <w:sz w:val="20"/>
                <w:szCs w:val="20"/>
                <w:color w:val="auto"/>
              </w:rPr>
            </w:pPr>
            <w:r>
              <w:rPr>
                <w:rFonts w:ascii="Arial" w:cs="Arial" w:eastAsia="Arial" w:hAnsi="Arial"/>
                <w:sz w:val="16"/>
                <w:szCs w:val="16"/>
                <w:color w:val="auto"/>
              </w:rPr>
              <w:t>Other liabilities</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10,937</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5,742</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liabilities</w:t>
            </w:r>
          </w:p>
        </w:tc>
        <w:tc>
          <w:tcPr>
            <w:tcW w:w="46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1,290,528</w:t>
            </w: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1,596,199</w:t>
            </w:r>
          </w:p>
        </w:tc>
        <w:tc>
          <w:tcPr>
            <w:tcW w:w="0" w:type="dxa"/>
            <w:vAlign w:val="bottom"/>
          </w:tcPr>
          <w:p>
            <w:pPr>
              <w:spacing w:after="0"/>
              <w:rPr>
                <w:sz w:val="1"/>
                <w:szCs w:val="1"/>
                <w:color w:val="auto"/>
              </w:rPr>
            </w:pPr>
          </w:p>
        </w:tc>
      </w:tr>
      <w:tr>
        <w:trPr>
          <w:trHeight w:val="203"/>
        </w:trPr>
        <w:tc>
          <w:tcPr>
            <w:tcW w:w="8100" w:type="dxa"/>
            <w:vAlign w:val="bottom"/>
          </w:tcPr>
          <w:p>
            <w:pPr>
              <w:ind w:left="380"/>
              <w:spacing w:after="0"/>
              <w:rPr>
                <w:sz w:val="20"/>
                <w:szCs w:val="20"/>
                <w:color w:val="auto"/>
              </w:rPr>
            </w:pPr>
            <w:r>
              <w:rPr>
                <w:rFonts w:ascii="Arial" w:cs="Arial" w:eastAsia="Arial" w:hAnsi="Arial"/>
                <w:sz w:val="16"/>
                <w:szCs w:val="16"/>
                <w:color w:val="auto"/>
              </w:rPr>
              <w:t>Commitments and contingencies (see Note 9)</w:t>
            </w:r>
          </w:p>
        </w:tc>
        <w:tc>
          <w:tcPr>
            <w:tcW w:w="4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6"/>
        </w:trPr>
        <w:tc>
          <w:tcPr>
            <w:tcW w:w="8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Stockholders’ equity:</w:t>
            </w:r>
          </w:p>
        </w:tc>
        <w:tc>
          <w:tcPr>
            <w:tcW w:w="46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100" w:type="dxa"/>
            <w:vAlign w:val="bottom"/>
          </w:tcPr>
          <w:p>
            <w:pPr>
              <w:ind w:left="600"/>
              <w:spacing w:after="0"/>
              <w:rPr>
                <w:sz w:val="20"/>
                <w:szCs w:val="20"/>
                <w:color w:val="auto"/>
              </w:rPr>
            </w:pPr>
            <w:r>
              <w:rPr>
                <w:rFonts w:ascii="Arial" w:cs="Arial" w:eastAsia="Arial" w:hAnsi="Arial"/>
                <w:sz w:val="16"/>
                <w:szCs w:val="16"/>
                <w:color w:val="auto"/>
              </w:rPr>
              <w:t>Preferred stock; 20,000,000 shares authorized, none outstanding</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100" w:type="dxa"/>
            <w:vAlign w:val="bottom"/>
            <w:shd w:val="clear" w:color="auto" w:fill="F4F4F4"/>
          </w:tcPr>
          <w:p>
            <w:pPr>
              <w:ind w:left="600"/>
              <w:spacing w:after="0"/>
              <w:rPr>
                <w:sz w:val="20"/>
                <w:szCs w:val="20"/>
                <w:color w:val="auto"/>
              </w:rPr>
            </w:pPr>
            <w:r>
              <w:rPr>
                <w:rFonts w:ascii="Arial" w:cs="Arial" w:eastAsia="Arial" w:hAnsi="Arial"/>
                <w:sz w:val="16"/>
                <w:szCs w:val="16"/>
                <w:color w:val="auto"/>
                <w:w w:val="94"/>
              </w:rPr>
              <w:t>Common stock, $0.001 par value; 180,000,000 shares authorized, 60,932,639 and 60,206,091 shares issued at</w:t>
            </w:r>
          </w:p>
        </w:tc>
        <w:tc>
          <w:tcPr>
            <w:tcW w:w="460" w:type="dxa"/>
            <w:vAlign w:val="bottom"/>
            <w:shd w:val="clear" w:color="auto" w:fill="F4F4F4"/>
          </w:tcPr>
          <w:p>
            <w:pPr>
              <w:spacing w:after="0"/>
              <w:rPr>
                <w:sz w:val="19"/>
                <w:szCs w:val="19"/>
                <w:color w:val="auto"/>
              </w:rPr>
            </w:pPr>
          </w:p>
        </w:tc>
        <w:tc>
          <w:tcPr>
            <w:tcW w:w="1120" w:type="dxa"/>
            <w:vAlign w:val="bottom"/>
            <w:shd w:val="clear" w:color="auto" w:fill="F4F4F4"/>
          </w:tcPr>
          <w:p>
            <w:pPr>
              <w:spacing w:after="0"/>
              <w:rPr>
                <w:sz w:val="19"/>
                <w:szCs w:val="19"/>
                <w:color w:val="auto"/>
              </w:rPr>
            </w:pPr>
          </w:p>
        </w:tc>
        <w:tc>
          <w:tcPr>
            <w:tcW w:w="340" w:type="dxa"/>
            <w:vAlign w:val="bottom"/>
            <w:shd w:val="clear" w:color="auto" w:fill="F4F4F4"/>
          </w:tcPr>
          <w:p>
            <w:pPr>
              <w:spacing w:after="0"/>
              <w:rPr>
                <w:sz w:val="19"/>
                <w:szCs w:val="19"/>
                <w:color w:val="auto"/>
              </w:rPr>
            </w:pPr>
          </w:p>
        </w:tc>
        <w:tc>
          <w:tcPr>
            <w:tcW w:w="122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March 31, 2020 and December 31, 2019, respectively</w:t>
            </w:r>
          </w:p>
        </w:tc>
        <w:tc>
          <w:tcPr>
            <w:tcW w:w="460" w:type="dxa"/>
            <w:vAlign w:val="bottom"/>
            <w:tcBorders>
              <w:bottom w:val="single" w:sz="8" w:color="F4F4F4"/>
            </w:tcBorders>
            <w:shd w:val="clear" w:color="auto" w:fill="F4F4F4"/>
          </w:tcPr>
          <w:p>
            <w:pPr>
              <w:spacing w:after="0"/>
              <w:rPr>
                <w:sz w:val="19"/>
                <w:szCs w:val="19"/>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61</w:t>
            </w:r>
          </w:p>
        </w:tc>
        <w:tc>
          <w:tcPr>
            <w:tcW w:w="340" w:type="dxa"/>
            <w:vAlign w:val="bottom"/>
            <w:tcBorders>
              <w:bottom w:val="single" w:sz="8" w:color="F4F4F4"/>
            </w:tcBorders>
            <w:shd w:val="clear" w:color="auto" w:fill="F4F4F4"/>
          </w:tcPr>
          <w:p>
            <w:pPr>
              <w:spacing w:after="0"/>
              <w:rPr>
                <w:sz w:val="19"/>
                <w:szCs w:val="19"/>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Additional paid-in capital</w:t>
            </w:r>
          </w:p>
        </w:tc>
        <w:tc>
          <w:tcPr>
            <w:tcW w:w="460" w:type="dxa"/>
            <w:vAlign w:val="bottom"/>
          </w:tcPr>
          <w:p>
            <w:pPr>
              <w:spacing w:after="0"/>
              <w:rPr>
                <w:sz w:val="19"/>
                <w:szCs w:val="19"/>
                <w:color w:val="auto"/>
              </w:rPr>
            </w:pPr>
          </w:p>
        </w:tc>
        <w:tc>
          <w:tcPr>
            <w:tcW w:w="1120" w:type="dxa"/>
            <w:vAlign w:val="bottom"/>
          </w:tcPr>
          <w:p>
            <w:pPr>
              <w:jc w:val="right"/>
              <w:ind w:right="20"/>
              <w:spacing w:after="0"/>
              <w:rPr>
                <w:sz w:val="20"/>
                <w:szCs w:val="20"/>
                <w:color w:val="auto"/>
              </w:rPr>
            </w:pPr>
            <w:r>
              <w:rPr>
                <w:rFonts w:ascii="Arial" w:cs="Arial" w:eastAsia="Arial" w:hAnsi="Arial"/>
                <w:sz w:val="16"/>
                <w:szCs w:val="16"/>
                <w:color w:val="auto"/>
              </w:rPr>
              <w:t>471,344</w:t>
            </w:r>
          </w:p>
        </w:tc>
        <w:tc>
          <w:tcPr>
            <w:tcW w:w="340" w:type="dxa"/>
            <w:vAlign w:val="bottom"/>
          </w:tcPr>
          <w:p>
            <w:pPr>
              <w:spacing w:after="0"/>
              <w:rPr>
                <w:sz w:val="19"/>
                <w:szCs w:val="19"/>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457,804</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w w:val="91"/>
              </w:rPr>
              <w:t>Treasury stock, at cost; 11,311,712 and 11,066,354 shares at March 31, 2020 and December 31, 2019, respectively</w:t>
            </w:r>
          </w:p>
        </w:tc>
        <w:tc>
          <w:tcPr>
            <w:tcW w:w="460" w:type="dxa"/>
            <w:vAlign w:val="bottom"/>
            <w:tcBorders>
              <w:bottom w:val="single" w:sz="8" w:color="F4F4F4"/>
            </w:tcBorders>
            <w:shd w:val="clear" w:color="auto" w:fill="F4F4F4"/>
          </w:tcPr>
          <w:p>
            <w:pPr>
              <w:spacing w:after="0"/>
              <w:rPr>
                <w:sz w:val="20"/>
                <w:szCs w:val="20"/>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340" w:type="dxa"/>
            <w:vAlign w:val="bottom"/>
            <w:tcBorders>
              <w:bottom w:val="single" w:sz="8" w:color="F4F4F4"/>
            </w:tcBorders>
            <w:shd w:val="clear" w:color="auto" w:fill="F4F4F4"/>
          </w:tcPr>
          <w:p>
            <w:pPr>
              <w:spacing w:after="0"/>
              <w:rPr>
                <w:sz w:val="20"/>
                <w:szCs w:val="20"/>
                <w:color w:val="auto"/>
              </w:rPr>
            </w:pPr>
          </w:p>
        </w:tc>
        <w:tc>
          <w:tcPr>
            <w:tcW w:w="1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(290,665)</w:t>
            </w:r>
          </w:p>
        </w:tc>
        <w:tc>
          <w:tcPr>
            <w:tcW w:w="0" w:type="dxa"/>
            <w:vAlign w:val="bottom"/>
          </w:tcPr>
          <w:p>
            <w:pPr>
              <w:spacing w:after="0"/>
              <w:rPr>
                <w:sz w:val="1"/>
                <w:szCs w:val="1"/>
                <w:color w:val="auto"/>
              </w:rPr>
            </w:pPr>
          </w:p>
        </w:tc>
      </w:tr>
      <w:tr>
        <w:trPr>
          <w:trHeight w:val="223"/>
        </w:trPr>
        <w:tc>
          <w:tcPr>
            <w:tcW w:w="8100" w:type="dxa"/>
            <w:vAlign w:val="bottom"/>
          </w:tcPr>
          <w:p>
            <w:pPr>
              <w:ind w:left="600"/>
              <w:spacing w:after="0"/>
              <w:rPr>
                <w:sz w:val="20"/>
                <w:szCs w:val="20"/>
                <w:color w:val="auto"/>
              </w:rPr>
            </w:pPr>
            <w:r>
              <w:rPr>
                <w:rFonts w:ascii="Arial" w:cs="Arial" w:eastAsia="Arial" w:hAnsi="Arial"/>
                <w:sz w:val="16"/>
                <w:szCs w:val="16"/>
                <w:color w:val="auto"/>
              </w:rPr>
              <w:t>Accumulated other comprehensive loss</w:t>
            </w:r>
          </w:p>
        </w:tc>
        <w:tc>
          <w:tcPr>
            <w:tcW w:w="4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(14,140)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(5,290)</w:t>
            </w:r>
          </w:p>
        </w:tc>
        <w:tc>
          <w:tcPr>
            <w:tcW w:w="0" w:type="dxa"/>
            <w:vAlign w:val="bottom"/>
          </w:tcPr>
          <w:p>
            <w:pPr>
              <w:spacing w:after="0"/>
              <w:rPr>
                <w:sz w:val="1"/>
                <w:szCs w:val="1"/>
                <w:color w:val="auto"/>
              </w:rPr>
            </w:pPr>
          </w:p>
        </w:tc>
      </w:tr>
      <w:tr>
        <w:trPr>
          <w:trHeight w:val="33"/>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100" w:type="dxa"/>
            <w:vAlign w:val="bottom"/>
            <w:tcBorders>
              <w:bottom w:val="single" w:sz="8" w:color="F4F4F4"/>
            </w:tcBorders>
            <w:shd w:val="clear" w:color="auto" w:fill="F4F4F4"/>
          </w:tcPr>
          <w:p>
            <w:pPr>
              <w:ind w:left="600"/>
              <w:spacing w:after="0"/>
              <w:rPr>
                <w:sz w:val="20"/>
                <w:szCs w:val="20"/>
                <w:color w:val="auto"/>
              </w:rPr>
            </w:pPr>
            <w:r>
              <w:rPr>
                <w:rFonts w:ascii="Arial" w:cs="Arial" w:eastAsia="Arial" w:hAnsi="Arial"/>
                <w:sz w:val="16"/>
                <w:szCs w:val="16"/>
                <w:color w:val="auto"/>
              </w:rPr>
              <w:t>Retained earnings</w:t>
            </w:r>
          </w:p>
        </w:tc>
        <w:tc>
          <w:tcPr>
            <w:tcW w:w="460" w:type="dxa"/>
            <w:vAlign w:val="bottom"/>
            <w:tcBorders>
              <w:bottom w:val="single" w:sz="8" w:color="F4F4F4"/>
            </w:tcBorders>
            <w:shd w:val="clear" w:color="auto" w:fill="F4F4F4"/>
          </w:tcPr>
          <w:p>
            <w:pPr>
              <w:spacing w:after="0"/>
              <w:rPr>
                <w:sz w:val="22"/>
                <w:szCs w:val="22"/>
                <w:color w:val="auto"/>
              </w:rPr>
            </w:pP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233,575</w:t>
            </w:r>
          </w:p>
        </w:tc>
        <w:tc>
          <w:tcPr>
            <w:tcW w:w="340" w:type="dxa"/>
            <w:vAlign w:val="bottom"/>
            <w:tcBorders>
              <w:bottom w:val="single" w:sz="8" w:color="F4F4F4"/>
            </w:tcBorders>
            <w:shd w:val="clear" w:color="auto" w:fill="F4F4F4"/>
          </w:tcPr>
          <w:p>
            <w:pPr>
              <w:spacing w:after="0"/>
              <w:rPr>
                <w:sz w:val="22"/>
                <w:szCs w:val="22"/>
                <w:color w:val="auto"/>
              </w:rPr>
            </w:pP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234,855</w:t>
            </w:r>
          </w:p>
        </w:tc>
        <w:tc>
          <w:tcPr>
            <w:tcW w:w="0" w:type="dxa"/>
            <w:vAlign w:val="bottom"/>
          </w:tcPr>
          <w:p>
            <w:pPr>
              <w:spacing w:after="0"/>
              <w:rPr>
                <w:sz w:val="1"/>
                <w:szCs w:val="1"/>
                <w:color w:val="auto"/>
              </w:rPr>
            </w:pPr>
          </w:p>
        </w:tc>
      </w:tr>
      <w:tr>
        <w:trPr>
          <w:trHeight w:val="217"/>
        </w:trPr>
        <w:tc>
          <w:tcPr>
            <w:tcW w:w="8100" w:type="dxa"/>
            <w:vAlign w:val="bottom"/>
          </w:tcPr>
          <w:p>
            <w:pPr>
              <w:ind w:left="1140"/>
              <w:spacing w:after="0"/>
              <w:rPr>
                <w:sz w:val="20"/>
                <w:szCs w:val="20"/>
                <w:color w:val="auto"/>
              </w:rPr>
            </w:pPr>
            <w:r>
              <w:rPr>
                <w:rFonts w:ascii="Arial" w:cs="Arial" w:eastAsia="Arial" w:hAnsi="Arial"/>
                <w:sz w:val="16"/>
                <w:szCs w:val="16"/>
                <w:b w:val="1"/>
                <w:bCs w:val="1"/>
                <w:color w:val="auto"/>
              </w:rPr>
              <w:t>Total stockholders’ equity</w:t>
            </w:r>
          </w:p>
        </w:tc>
        <w:tc>
          <w:tcPr>
            <w:tcW w:w="4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380,393</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396,764</w:t>
            </w:r>
          </w:p>
        </w:tc>
        <w:tc>
          <w:tcPr>
            <w:tcW w:w="0" w:type="dxa"/>
            <w:vAlign w:val="bottom"/>
          </w:tcPr>
          <w:p>
            <w:pPr>
              <w:spacing w:after="0"/>
              <w:rPr>
                <w:sz w:val="1"/>
                <w:szCs w:val="1"/>
                <w:color w:val="auto"/>
              </w:rPr>
            </w:pPr>
          </w:p>
        </w:tc>
      </w:tr>
      <w:tr>
        <w:trPr>
          <w:trHeight w:val="33"/>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00" w:type="dxa"/>
            <w:vAlign w:val="bottom"/>
            <w:tcBorders>
              <w:bottom w:val="single" w:sz="8" w:color="F4F4F4"/>
            </w:tcBorders>
            <w:shd w:val="clear" w:color="auto" w:fill="F4F4F4"/>
          </w:tcPr>
          <w:p>
            <w:pPr>
              <w:ind w:left="1140"/>
              <w:spacing w:after="0"/>
              <w:rPr>
                <w:sz w:val="20"/>
                <w:szCs w:val="20"/>
                <w:color w:val="auto"/>
              </w:rPr>
            </w:pPr>
            <w:r>
              <w:rPr>
                <w:rFonts w:ascii="Arial" w:cs="Arial" w:eastAsia="Arial" w:hAnsi="Arial"/>
                <w:sz w:val="16"/>
                <w:szCs w:val="16"/>
                <w:b w:val="1"/>
                <w:bCs w:val="1"/>
                <w:color w:val="auto"/>
              </w:rPr>
              <w:t>Total liabilities and stockholders’ equity</w:t>
            </w:r>
          </w:p>
        </w:tc>
        <w:tc>
          <w:tcPr>
            <w:tcW w:w="460" w:type="dxa"/>
            <w:vAlign w:val="bottom"/>
            <w:tcBorders>
              <w:bottom w:val="single" w:sz="8" w:color="F4F4F4"/>
            </w:tcBorders>
            <w:shd w:val="clear" w:color="auto" w:fill="F4F4F4"/>
          </w:tcPr>
          <w:p>
            <w:pPr>
              <w:jc w:val="right"/>
              <w:ind w:right="2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1,670,921</w:t>
            </w:r>
          </w:p>
        </w:tc>
        <w:tc>
          <w:tcPr>
            <w:tcW w:w="340" w:type="dxa"/>
            <w:vAlign w:val="bottom"/>
            <w:tcBorders>
              <w:bottom w:val="single" w:sz="8" w:color="F4F4F4"/>
            </w:tcBorders>
            <w:shd w:val="clear" w:color="auto" w:fill="F4F4F4"/>
          </w:tcPr>
          <w:p>
            <w:pPr>
              <w:jc w:val="right"/>
              <w:ind w:right="13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1,992,963</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w:t>
      </w:r>
    </w:p>
    <w:p>
      <w:pPr>
        <w:sectPr>
          <w:pgSz w:w="11900" w:h="16838" w:orient="portrait"/>
          <w:cols w:equalWidth="0" w:num="1">
            <w:col w:w="11240"/>
          </w:cols>
          <w:pgMar w:left="320" w:top="6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shd w:val="clear" w:color="auto" w:fill="ACACAC"/>
          </w:tcPr>
          <w:p>
            <w:pPr>
              <w:spacing w:after="0"/>
              <w:rPr>
                <w:sz w:val="14"/>
                <w:szCs w:val="14"/>
                <w:color w:val="auto"/>
              </w:rPr>
            </w:pPr>
          </w:p>
        </w:tc>
        <w:tc>
          <w:tcPr>
            <w:tcW w:w="300" w:type="dxa"/>
            <w:vAlign w:val="bottom"/>
            <w:shd w:val="clear" w:color="auto" w:fill="ACACAC"/>
          </w:tcPr>
          <w:p>
            <w:pPr>
              <w:spacing w:after="0"/>
              <w:rPr>
                <w:sz w:val="14"/>
                <w:szCs w:val="14"/>
                <w:color w:val="auto"/>
              </w:rPr>
            </w:pPr>
          </w:p>
        </w:tc>
        <w:tc>
          <w:tcPr>
            <w:tcW w:w="2380" w:type="dxa"/>
            <w:vAlign w:val="bottom"/>
            <w:gridSpan w:val="3"/>
            <w:shd w:val="clear" w:color="auto" w:fill="ACACAC"/>
          </w:tcPr>
          <w:p>
            <w:pPr>
              <w:jc w:val="right"/>
              <w:ind w:right="60"/>
              <w:spacing w:after="0"/>
              <w:rPr>
                <w:sz w:val="20"/>
                <w:szCs w:val="20"/>
                <w:color w:val="auto"/>
              </w:rPr>
            </w:pPr>
            <w:r>
              <w:rPr>
                <w:rFonts w:ascii="Arial" w:cs="Arial" w:eastAsia="Arial" w:hAnsi="Arial"/>
                <w:sz w:val="14"/>
                <w:szCs w:val="14"/>
                <w:b w:val="1"/>
                <w:bCs w:val="1"/>
                <w:color w:val="FFFFFF"/>
              </w:rPr>
              <w:t>Three months ended</w:t>
            </w:r>
          </w:p>
        </w:tc>
      </w:tr>
      <w:tr>
        <w:trPr>
          <w:trHeight w:val="186"/>
        </w:trPr>
        <w:tc>
          <w:tcPr>
            <w:tcW w:w="8560" w:type="dxa"/>
            <w:vAlign w:val="bottom"/>
            <w:shd w:val="clear" w:color="auto" w:fill="ACACAC"/>
          </w:tcPr>
          <w:p>
            <w:pPr>
              <w:spacing w:after="0"/>
              <w:rPr>
                <w:sz w:val="16"/>
                <w:szCs w:val="16"/>
                <w:color w:val="auto"/>
              </w:rPr>
            </w:pPr>
          </w:p>
        </w:tc>
        <w:tc>
          <w:tcPr>
            <w:tcW w:w="300" w:type="dxa"/>
            <w:vAlign w:val="bottom"/>
            <w:shd w:val="clear" w:color="auto" w:fill="ACACAC"/>
          </w:tcPr>
          <w:p>
            <w:pPr>
              <w:spacing w:after="0"/>
              <w:rPr>
                <w:sz w:val="16"/>
                <w:szCs w:val="16"/>
                <w:color w:val="auto"/>
              </w:rPr>
            </w:pPr>
          </w:p>
        </w:tc>
        <w:tc>
          <w:tcPr>
            <w:tcW w:w="102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March 31,</w:t>
            </w:r>
          </w:p>
        </w:tc>
      </w:tr>
      <w:tr>
        <w:trPr>
          <w:trHeight w:val="242"/>
        </w:trPr>
        <w:tc>
          <w:tcPr>
            <w:tcW w:w="85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300" w:type="dxa"/>
            <w:vAlign w:val="bottom"/>
            <w:shd w:val="clear" w:color="auto" w:fill="ACACAC"/>
          </w:tcPr>
          <w:p>
            <w:pPr>
              <w:spacing w:after="0"/>
              <w:rPr>
                <w:sz w:val="21"/>
                <w:szCs w:val="21"/>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20" w:type="dxa"/>
            <w:vAlign w:val="bottom"/>
            <w:shd w:val="clear" w:color="auto" w:fill="ACACAC"/>
          </w:tcPr>
          <w:p>
            <w:pPr>
              <w:spacing w:after="0"/>
              <w:rPr>
                <w:sz w:val="21"/>
                <w:szCs w:val="21"/>
                <w:color w:val="auto"/>
              </w:rPr>
            </w:pPr>
          </w:p>
        </w:tc>
        <w:tc>
          <w:tcPr>
            <w:tcW w:w="1040" w:type="dxa"/>
            <w:vAlign w:val="bottom"/>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2019</w:t>
            </w:r>
          </w:p>
        </w:tc>
      </w:tr>
      <w:tr>
        <w:trPr>
          <w:trHeight w:val="25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Revenue</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23"/>
        </w:trPr>
        <w:tc>
          <w:tcPr>
            <w:tcW w:w="8560" w:type="dxa"/>
            <w:vAlign w:val="bottom"/>
          </w:tcPr>
          <w:p>
            <w:pPr>
              <w:ind w:left="380"/>
              <w:spacing w:after="0"/>
              <w:rPr>
                <w:sz w:val="20"/>
                <w:szCs w:val="20"/>
                <w:color w:val="auto"/>
              </w:rPr>
            </w:pPr>
            <w:r>
              <w:rPr>
                <w:rFonts w:ascii="Arial" w:cs="Arial" w:eastAsia="Arial" w:hAnsi="Arial"/>
                <w:sz w:val="16"/>
                <w:szCs w:val="16"/>
                <w:color w:val="auto"/>
              </w:rPr>
              <w:t>Recurring</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204,867</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198,094</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One-time services and other</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18,754</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17,736</w:t>
            </w:r>
          </w:p>
        </w:tc>
      </w:tr>
      <w:tr>
        <w:trPr>
          <w:trHeight w:val="217"/>
        </w:trPr>
        <w:tc>
          <w:tcPr>
            <w:tcW w:w="8560" w:type="dxa"/>
            <w:vAlign w:val="bottom"/>
          </w:tcPr>
          <w:p>
            <w:pPr>
              <w:ind w:left="600"/>
              <w:spacing w:after="0"/>
              <w:rPr>
                <w:sz w:val="20"/>
                <w:szCs w:val="20"/>
                <w:color w:val="auto"/>
              </w:rPr>
            </w:pPr>
            <w:r>
              <w:rPr>
                <w:rFonts w:ascii="Arial" w:cs="Arial" w:eastAsia="Arial" w:hAnsi="Arial"/>
                <w:sz w:val="16"/>
                <w:szCs w:val="16"/>
                <w:b w:val="1"/>
                <w:bCs w:val="1"/>
                <w:color w:val="auto"/>
              </w:rPr>
              <w:t>Total revenue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223,621</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215,830</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Cost of revenue</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24"/>
        </w:trPr>
        <w:tc>
          <w:tcPr>
            <w:tcW w:w="8560" w:type="dxa"/>
            <w:vAlign w:val="bottom"/>
          </w:tcPr>
          <w:p>
            <w:pPr>
              <w:ind w:left="380"/>
              <w:spacing w:after="0"/>
              <w:rPr>
                <w:sz w:val="20"/>
                <w:szCs w:val="20"/>
                <w:color w:val="auto"/>
              </w:rPr>
            </w:pPr>
            <w:r>
              <w:rPr>
                <w:rFonts w:ascii="Arial" w:cs="Arial" w:eastAsia="Arial" w:hAnsi="Arial"/>
                <w:sz w:val="16"/>
                <w:szCs w:val="16"/>
                <w:color w:val="auto"/>
              </w:rPr>
              <w:t>Cost of recurring</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89,551</w:t>
            </w: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84,711</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Cost of one-time services and other</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15,314</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14,572</w:t>
            </w:r>
          </w:p>
        </w:tc>
      </w:tr>
      <w:tr>
        <w:trPr>
          <w:trHeight w:val="217"/>
        </w:trPr>
        <w:tc>
          <w:tcPr>
            <w:tcW w:w="8560" w:type="dxa"/>
            <w:vAlign w:val="bottom"/>
          </w:tcPr>
          <w:p>
            <w:pPr>
              <w:ind w:left="600"/>
              <w:spacing w:after="0"/>
              <w:rPr>
                <w:sz w:val="20"/>
                <w:szCs w:val="20"/>
                <w:color w:val="auto"/>
              </w:rPr>
            </w:pPr>
            <w:r>
              <w:rPr>
                <w:rFonts w:ascii="Arial" w:cs="Arial" w:eastAsia="Arial" w:hAnsi="Arial"/>
                <w:sz w:val="16"/>
                <w:szCs w:val="16"/>
                <w:b w:val="1"/>
                <w:bCs w:val="1"/>
                <w:color w:val="auto"/>
              </w:rPr>
              <w:t>Total cost of revenue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104,865</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99,283</w:t>
            </w:r>
          </w:p>
        </w:tc>
      </w:tr>
      <w:tr>
        <w:trPr>
          <w:trHeight w:val="33"/>
        </w:trPr>
        <w:tc>
          <w:tcPr>
            <w:tcW w:w="856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Gross profit</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118,756</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116,547</w:t>
            </w:r>
          </w:p>
        </w:tc>
      </w:tr>
      <w:tr>
        <w:trPr>
          <w:trHeight w:val="203"/>
        </w:trPr>
        <w:tc>
          <w:tcPr>
            <w:tcW w:w="8560" w:type="dxa"/>
            <w:vAlign w:val="bottom"/>
          </w:tcPr>
          <w:p>
            <w:pPr>
              <w:ind w:left="180"/>
              <w:spacing w:after="0"/>
              <w:rPr>
                <w:sz w:val="20"/>
                <w:szCs w:val="20"/>
                <w:color w:val="auto"/>
              </w:rPr>
            </w:pPr>
            <w:r>
              <w:rPr>
                <w:rFonts w:ascii="Arial" w:cs="Arial" w:eastAsia="Arial" w:hAnsi="Arial"/>
                <w:sz w:val="16"/>
                <w:szCs w:val="16"/>
                <w:b w:val="1"/>
                <w:bCs w:val="1"/>
                <w:color w:val="auto"/>
              </w:rPr>
              <w:t>Operating expenses</w:t>
            </w: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60"/>
        </w:trPr>
        <w:tc>
          <w:tcPr>
            <w:tcW w:w="8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7"/>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Sales, marketing and customer success</w:t>
            </w:r>
          </w:p>
        </w:tc>
        <w:tc>
          <w:tcPr>
            <w:tcW w:w="300" w:type="dxa"/>
            <w:vAlign w:val="bottom"/>
            <w:tcBorders>
              <w:bottom w:val="single" w:sz="8" w:color="F4F4F4"/>
            </w:tcBorders>
            <w:shd w:val="clear" w:color="auto" w:fill="F4F4F4"/>
          </w:tcPr>
          <w:p>
            <w:pPr>
              <w:spacing w:after="0"/>
              <w:rPr>
                <w:sz w:val="20"/>
                <w:szCs w:val="20"/>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58,735</w:t>
            </w:r>
          </w:p>
        </w:tc>
        <w:tc>
          <w:tcPr>
            <w:tcW w:w="320" w:type="dxa"/>
            <w:vAlign w:val="bottom"/>
            <w:tcBorders>
              <w:bottom w:val="single" w:sz="8" w:color="F4F4F4"/>
            </w:tcBorders>
            <w:shd w:val="clear" w:color="auto" w:fill="F4F4F4"/>
          </w:tcPr>
          <w:p>
            <w:pPr>
              <w:spacing w:after="0"/>
              <w:rPr>
                <w:sz w:val="20"/>
                <w:szCs w:val="20"/>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55,455</w:t>
            </w:r>
          </w:p>
        </w:tc>
      </w:tr>
      <w:tr>
        <w:trPr>
          <w:trHeight w:val="223"/>
        </w:trPr>
        <w:tc>
          <w:tcPr>
            <w:tcW w:w="8560" w:type="dxa"/>
            <w:vAlign w:val="bottom"/>
          </w:tcPr>
          <w:p>
            <w:pPr>
              <w:ind w:left="380"/>
              <w:spacing w:after="0"/>
              <w:rPr>
                <w:sz w:val="20"/>
                <w:szCs w:val="20"/>
                <w:color w:val="auto"/>
              </w:rPr>
            </w:pPr>
            <w:r>
              <w:rPr>
                <w:rFonts w:ascii="Arial" w:cs="Arial" w:eastAsia="Arial" w:hAnsi="Arial"/>
                <w:sz w:val="16"/>
                <w:szCs w:val="16"/>
                <w:color w:val="auto"/>
              </w:rPr>
              <w:t>Research and development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24,977</w:t>
            </w: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28,461</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F4F4F4"/>
            </w:tcBorders>
            <w:shd w:val="clear" w:color="auto" w:fill="F4F4F4"/>
          </w:tcPr>
          <w:p>
            <w:pPr>
              <w:spacing w:after="0"/>
              <w:rPr>
                <w:sz w:val="20"/>
                <w:szCs w:val="20"/>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25,855</w:t>
            </w:r>
          </w:p>
        </w:tc>
        <w:tc>
          <w:tcPr>
            <w:tcW w:w="320" w:type="dxa"/>
            <w:vAlign w:val="bottom"/>
            <w:tcBorders>
              <w:bottom w:val="single" w:sz="8" w:color="F4F4F4"/>
            </w:tcBorders>
            <w:shd w:val="clear" w:color="auto" w:fill="F4F4F4"/>
          </w:tcPr>
          <w:p>
            <w:pPr>
              <w:spacing w:after="0"/>
              <w:rPr>
                <w:sz w:val="20"/>
                <w:szCs w:val="20"/>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27,117</w:t>
            </w:r>
          </w:p>
        </w:tc>
      </w:tr>
      <w:tr>
        <w:trPr>
          <w:trHeight w:val="224"/>
        </w:trPr>
        <w:tc>
          <w:tcPr>
            <w:tcW w:w="8560" w:type="dxa"/>
            <w:vAlign w:val="bottom"/>
          </w:tcPr>
          <w:p>
            <w:pPr>
              <w:ind w:left="380"/>
              <w:spacing w:after="0"/>
              <w:rPr>
                <w:sz w:val="20"/>
                <w:szCs w:val="20"/>
                <w:color w:val="auto"/>
              </w:rPr>
            </w:pPr>
            <w:r>
              <w:rPr>
                <w:rFonts w:ascii="Arial" w:cs="Arial" w:eastAsia="Arial" w:hAnsi="Arial"/>
                <w:sz w:val="16"/>
                <w:szCs w:val="16"/>
                <w:color w:val="auto"/>
              </w:rPr>
              <w:t>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741</w:t>
            </w: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1,376</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Restructuring</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24</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1,953</w:t>
            </w:r>
          </w:p>
        </w:tc>
      </w:tr>
      <w:tr>
        <w:trPr>
          <w:trHeight w:val="217"/>
        </w:trPr>
        <w:tc>
          <w:tcPr>
            <w:tcW w:w="8560" w:type="dxa"/>
            <w:vAlign w:val="bottom"/>
          </w:tcPr>
          <w:p>
            <w:pPr>
              <w:ind w:left="600"/>
              <w:spacing w:after="0"/>
              <w:rPr>
                <w:sz w:val="20"/>
                <w:szCs w:val="20"/>
                <w:color w:val="auto"/>
              </w:rPr>
            </w:pPr>
            <w:r>
              <w:rPr>
                <w:rFonts w:ascii="Arial" w:cs="Arial" w:eastAsia="Arial" w:hAnsi="Arial"/>
                <w:sz w:val="16"/>
                <w:szCs w:val="16"/>
                <w:b w:val="1"/>
                <w:bCs w:val="1"/>
                <w:color w:val="auto"/>
              </w:rPr>
              <w:t>Total operating expenses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110,332</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114,362</w:t>
            </w:r>
          </w:p>
        </w:tc>
      </w:tr>
      <w:tr>
        <w:trPr>
          <w:trHeight w:val="33"/>
        </w:trPr>
        <w:tc>
          <w:tcPr>
            <w:tcW w:w="856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Income from operations</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8,424</w:t>
            </w: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2,185</w:t>
            </w:r>
          </w:p>
        </w:tc>
      </w:tr>
      <w:tr>
        <w:trPr>
          <w:trHeight w:val="217"/>
        </w:trPr>
        <w:tc>
          <w:tcPr>
            <w:tcW w:w="856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(4,159)</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(5,323)</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Other income, net</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1,070</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182</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b w:val="1"/>
                <w:bCs w:val="1"/>
                <w:color w:val="auto"/>
              </w:rPr>
              <w:t>Income (loss) before provision for income taxes</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5,335</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(2,956)</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7"/>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Income tax provision (benefit)</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696</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(1,834)</w:t>
            </w:r>
          </w:p>
        </w:tc>
      </w:tr>
      <w:tr>
        <w:trPr>
          <w:trHeight w:val="217"/>
        </w:trPr>
        <w:tc>
          <w:tcPr>
            <w:tcW w:w="8560" w:type="dxa"/>
            <w:vAlign w:val="bottom"/>
          </w:tcPr>
          <w:p>
            <w:pPr>
              <w:ind w:left="180"/>
              <w:spacing w:after="0"/>
              <w:rPr>
                <w:sz w:val="20"/>
                <w:szCs w:val="20"/>
                <w:color w:val="auto"/>
              </w:rPr>
            </w:pPr>
            <w:r>
              <w:rPr>
                <w:rFonts w:ascii="Arial" w:cs="Arial" w:eastAsia="Arial" w:hAnsi="Arial"/>
                <w:sz w:val="16"/>
                <w:szCs w:val="16"/>
                <w:b w:val="1"/>
                <w:bCs w:val="1"/>
                <w:color w:val="auto"/>
              </w:rPr>
              <w:t>Net income (loss)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4,639</w:t>
            </w:r>
          </w:p>
        </w:tc>
        <w:tc>
          <w:tcPr>
            <w:tcW w:w="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(1,122)</w:t>
            </w:r>
          </w:p>
        </w:tc>
      </w:tr>
      <w:tr>
        <w:trPr>
          <w:trHeight w:val="33"/>
        </w:trPr>
        <w:tc>
          <w:tcPr>
            <w:tcW w:w="856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Earnings (loss) per share</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23"/>
        </w:trPr>
        <w:tc>
          <w:tcPr>
            <w:tcW w:w="8560" w:type="dxa"/>
            <w:vAlign w:val="bottom"/>
          </w:tcPr>
          <w:p>
            <w:pPr>
              <w:ind w:left="38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0.10</w:t>
            </w: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(0.02)</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6"/>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F4F4F4"/>
            </w:tcBorders>
            <w:shd w:val="clear" w:color="auto" w:fill="F4F4F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0.10</w:t>
            </w:r>
          </w:p>
        </w:tc>
        <w:tc>
          <w:tcPr>
            <w:tcW w:w="320" w:type="dxa"/>
            <w:vAlign w:val="bottom"/>
            <w:tcBorders>
              <w:bottom w:val="single" w:sz="8" w:color="F4F4F4"/>
            </w:tcBorders>
            <w:shd w:val="clear" w:color="auto" w:fill="F4F4F4"/>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(0.02)</w:t>
            </w:r>
          </w:p>
        </w:tc>
      </w:tr>
      <w:tr>
        <w:trPr>
          <w:trHeight w:val="223"/>
        </w:trPr>
        <w:tc>
          <w:tcPr>
            <w:tcW w:w="8560" w:type="dxa"/>
            <w:vAlign w:val="bottom"/>
          </w:tcPr>
          <w:p>
            <w:pPr>
              <w:ind w:left="180"/>
              <w:spacing w:after="0"/>
              <w:rPr>
                <w:sz w:val="20"/>
                <w:szCs w:val="20"/>
                <w:color w:val="auto"/>
              </w:rPr>
            </w:pPr>
            <w:r>
              <w:rPr>
                <w:rFonts w:ascii="Arial" w:cs="Arial" w:eastAsia="Arial" w:hAnsi="Arial"/>
                <w:sz w:val="16"/>
                <w:szCs w:val="16"/>
                <w:b w:val="1"/>
                <w:bCs w:val="1"/>
                <w:color w:val="auto"/>
              </w:rPr>
              <w:t>Common shares and equivalents outstanding</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7"/>
        </w:trPr>
        <w:tc>
          <w:tcPr>
            <w:tcW w:w="8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37"/>
        </w:trPr>
        <w:tc>
          <w:tcPr>
            <w:tcW w:w="8560" w:type="dxa"/>
            <w:vAlign w:val="bottom"/>
            <w:tcBorders>
              <w:bottom w:val="single" w:sz="8" w:color="F4F4F4"/>
            </w:tcBorders>
            <w:shd w:val="clear" w:color="auto" w:fill="F4F4F4"/>
          </w:tcPr>
          <w:p>
            <w:pPr>
              <w:ind w:left="380"/>
              <w:spacing w:after="0"/>
              <w:rPr>
                <w:sz w:val="20"/>
                <w:szCs w:val="20"/>
                <w:color w:val="auto"/>
              </w:rPr>
            </w:pPr>
            <w:r>
              <w:rPr>
                <w:rFonts w:ascii="Arial" w:cs="Arial" w:eastAsia="Arial" w:hAnsi="Arial"/>
                <w:sz w:val="16"/>
                <w:szCs w:val="16"/>
                <w:color w:val="auto"/>
              </w:rPr>
              <w:t>Basic weighted average shares</w:t>
            </w:r>
          </w:p>
        </w:tc>
        <w:tc>
          <w:tcPr>
            <w:tcW w:w="300" w:type="dxa"/>
            <w:vAlign w:val="bottom"/>
            <w:tcBorders>
              <w:bottom w:val="single" w:sz="8" w:color="F4F4F4"/>
            </w:tcBorders>
            <w:shd w:val="clear" w:color="auto" w:fill="F4F4F4"/>
          </w:tcPr>
          <w:p>
            <w:pPr>
              <w:spacing w:after="0"/>
              <w:rPr>
                <w:sz w:val="20"/>
                <w:szCs w:val="20"/>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48,036,300</w:t>
            </w:r>
          </w:p>
        </w:tc>
        <w:tc>
          <w:tcPr>
            <w:tcW w:w="320" w:type="dxa"/>
            <w:vAlign w:val="bottom"/>
            <w:tcBorders>
              <w:bottom w:val="single" w:sz="8" w:color="F4F4F4"/>
            </w:tcBorders>
            <w:shd w:val="clear" w:color="auto" w:fill="F4F4F4"/>
          </w:tcPr>
          <w:p>
            <w:pPr>
              <w:spacing w:after="0"/>
              <w:rPr>
                <w:sz w:val="20"/>
                <w:szCs w:val="20"/>
                <w:color w:val="auto"/>
              </w:rPr>
            </w:pP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47,516,912</w:t>
            </w:r>
          </w:p>
        </w:tc>
      </w:tr>
      <w:tr>
        <w:trPr>
          <w:trHeight w:val="223"/>
        </w:trPr>
        <w:tc>
          <w:tcPr>
            <w:tcW w:w="8560" w:type="dxa"/>
            <w:vAlign w:val="bottom"/>
          </w:tcPr>
          <w:p>
            <w:pPr>
              <w:ind w:left="380"/>
              <w:spacing w:after="0"/>
              <w:rPr>
                <w:sz w:val="20"/>
                <w:szCs w:val="20"/>
                <w:color w:val="auto"/>
              </w:rPr>
            </w:pPr>
            <w:r>
              <w:rPr>
                <w:rFonts w:ascii="Arial" w:cs="Arial" w:eastAsia="Arial" w:hAnsi="Arial"/>
                <w:sz w:val="16"/>
                <w:szCs w:val="16"/>
                <w:color w:val="auto"/>
              </w:rPr>
              <w:t>Diluted weighted average shares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48,455,751</w:t>
            </w: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47,516,912</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Other comprehensive (loss) income</w:t>
            </w:r>
          </w:p>
        </w:tc>
        <w:tc>
          <w:tcPr>
            <w:tcW w:w="30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40" w:type="dxa"/>
            <w:vAlign w:val="bottom"/>
            <w:tcBorders>
              <w:bottom w:val="single" w:sz="8" w:color="F4F4F4"/>
            </w:tcBorders>
            <w:shd w:val="clear" w:color="auto" w:fill="F4F4F4"/>
          </w:tcPr>
          <w:p>
            <w:pPr>
              <w:spacing w:after="0"/>
              <w:rPr>
                <w:sz w:val="21"/>
                <w:szCs w:val="21"/>
                <w:color w:val="auto"/>
              </w:rPr>
            </w:pPr>
          </w:p>
        </w:tc>
      </w:tr>
      <w:tr>
        <w:trPr>
          <w:trHeight w:val="223"/>
        </w:trPr>
        <w:tc>
          <w:tcPr>
            <w:tcW w:w="8560" w:type="dxa"/>
            <w:vAlign w:val="bottom"/>
          </w:tcPr>
          <w:p>
            <w:pPr>
              <w:ind w:left="42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(5,728)</w:t>
            </w:r>
          </w:p>
        </w:tc>
        <w:tc>
          <w:tcPr>
            <w:tcW w:w="32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4,590</w:t>
            </w:r>
          </w:p>
        </w:tc>
      </w:tr>
      <w:tr>
        <w:trPr>
          <w:trHeight w:val="33"/>
        </w:trPr>
        <w:tc>
          <w:tcPr>
            <w:tcW w:w="8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6"/>
        </w:trPr>
        <w:tc>
          <w:tcPr>
            <w:tcW w:w="8560" w:type="dxa"/>
            <w:vAlign w:val="bottom"/>
            <w:tcBorders>
              <w:bottom w:val="single" w:sz="8" w:color="F4F4F4"/>
            </w:tcBorders>
            <w:shd w:val="clear" w:color="auto" w:fill="F4F4F4"/>
          </w:tcPr>
          <w:p>
            <w:pPr>
              <w:ind w:left="420"/>
              <w:spacing w:after="0"/>
              <w:rPr>
                <w:sz w:val="20"/>
                <w:szCs w:val="20"/>
                <w:color w:val="auto"/>
              </w:rPr>
            </w:pPr>
            <w:r>
              <w:rPr>
                <w:rFonts w:ascii="Arial" w:cs="Arial" w:eastAsia="Arial" w:hAnsi="Arial"/>
                <w:sz w:val="16"/>
                <w:szCs w:val="16"/>
                <w:color w:val="auto"/>
              </w:rPr>
              <w:t>Unrealized loss on derivative instruments, net of tax</w:t>
            </w:r>
          </w:p>
        </w:tc>
        <w:tc>
          <w:tcPr>
            <w:tcW w:w="30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(3,122)</w:t>
            </w:r>
          </w:p>
        </w:tc>
        <w:tc>
          <w:tcPr>
            <w:tcW w:w="320" w:type="dxa"/>
            <w:vAlign w:val="bottom"/>
            <w:tcBorders>
              <w:bottom w:val="single" w:sz="8" w:color="F4F4F4"/>
            </w:tcBorders>
            <w:shd w:val="clear" w:color="auto" w:fill="F4F4F4"/>
          </w:tcPr>
          <w:p>
            <w:pPr>
              <w:spacing w:after="0"/>
              <w:rPr>
                <w:sz w:val="22"/>
                <w:szCs w:val="22"/>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(932)</w:t>
            </w:r>
          </w:p>
        </w:tc>
      </w:tr>
      <w:tr>
        <w:trPr>
          <w:trHeight w:val="217"/>
        </w:trPr>
        <w:tc>
          <w:tcPr>
            <w:tcW w:w="8560" w:type="dxa"/>
            <w:vAlign w:val="bottom"/>
          </w:tcPr>
          <w:p>
            <w:pPr>
              <w:ind w:left="600"/>
              <w:spacing w:after="0"/>
              <w:rPr>
                <w:sz w:val="20"/>
                <w:szCs w:val="20"/>
                <w:color w:val="auto"/>
              </w:rPr>
            </w:pPr>
            <w:r>
              <w:rPr>
                <w:rFonts w:ascii="Arial" w:cs="Arial" w:eastAsia="Arial" w:hAnsi="Arial"/>
                <w:sz w:val="16"/>
                <w:szCs w:val="16"/>
                <w:b w:val="1"/>
                <w:bCs w:val="1"/>
                <w:color w:val="auto"/>
              </w:rPr>
              <w:t>Total other comprehensive (loss) income</w:t>
            </w:r>
          </w:p>
        </w:tc>
        <w:tc>
          <w:tcPr>
            <w:tcW w:w="3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(8,850)</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3,658</w:t>
            </w:r>
          </w:p>
        </w:tc>
      </w:tr>
      <w:tr>
        <w:trPr>
          <w:trHeight w:val="33"/>
        </w:trPr>
        <w:tc>
          <w:tcPr>
            <w:tcW w:w="8560" w:type="dxa"/>
            <w:vAlign w:val="bottom"/>
            <w:tcBorders>
              <w:bottom w:val="single" w:sz="8" w:color="F4F4F4"/>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85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b w:val="1"/>
                <w:bCs w:val="1"/>
                <w:color w:val="auto"/>
              </w:rPr>
              <w:t>Comprehensive (loss) income</w:t>
            </w:r>
          </w:p>
        </w:tc>
        <w:tc>
          <w:tcPr>
            <w:tcW w:w="300" w:type="dxa"/>
            <w:vAlign w:val="bottom"/>
            <w:tcBorders>
              <w:bottom w:val="single" w:sz="8" w:color="F4F4F4"/>
            </w:tcBorders>
            <w:shd w:val="clear" w:color="auto" w:fill="F4F4F4"/>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(4,211)</w:t>
            </w:r>
          </w:p>
        </w:tc>
        <w:tc>
          <w:tcPr>
            <w:tcW w:w="320" w:type="dxa"/>
            <w:vAlign w:val="bottom"/>
            <w:tcBorders>
              <w:bottom w:val="single" w:sz="8" w:color="F4F4F4"/>
            </w:tcBorders>
            <w:shd w:val="clear" w:color="auto" w:fill="F4F4F4"/>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F4F4F4"/>
            </w:tcBorders>
            <w:shd w:val="clear" w:color="auto" w:fill="F4F4F4"/>
          </w:tcPr>
          <w:p>
            <w:pPr>
              <w:jc w:val="right"/>
              <w:ind w:right="20"/>
              <w:spacing w:after="0"/>
              <w:rPr>
                <w:sz w:val="20"/>
                <w:szCs w:val="20"/>
                <w:color w:val="auto"/>
              </w:rPr>
            </w:pPr>
            <w:r>
              <w:rPr>
                <w:rFonts w:ascii="Arial" w:cs="Arial" w:eastAsia="Arial" w:hAnsi="Arial"/>
                <w:sz w:val="16"/>
                <w:szCs w:val="16"/>
                <w:color w:val="auto"/>
              </w:rPr>
              <w:t>2,536</w:t>
            </w:r>
          </w:p>
        </w:tc>
      </w:tr>
      <w:tr>
        <w:trPr>
          <w:trHeight w:val="20"/>
        </w:trPr>
        <w:tc>
          <w:tcPr>
            <w:tcW w:w="856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320" w:type="dxa"/>
            <w:vAlign w:val="bottom"/>
            <w:shd w:val="clear" w:color="auto" w:fill="71BF43"/>
          </w:tcPr>
          <w:p>
            <w:pPr>
              <w:spacing w:after="0" w:line="20" w:lineRule="exact"/>
              <w:rPr>
                <w:sz w:val="1"/>
                <w:szCs w:val="1"/>
                <w:color w:val="auto"/>
              </w:rPr>
            </w:pPr>
          </w:p>
        </w:tc>
        <w:tc>
          <w:tcPr>
            <w:tcW w:w="104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-5682615</wp:posOffset>
            </wp:positionV>
            <wp:extent cx="17056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4  </w:t>
      </w:r>
      <w:r>
        <w:rPr>
          <w:sz w:val="1"/>
          <w:szCs w:val="1"/>
          <w:color w:val="auto"/>
        </w:rPr>
        <w:drawing>
          <wp:inline distT="0" distB="0" distL="0" distR="0">
            <wp:extent cx="668655" cy="10287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93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FFFFFF"/>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Adjustments to reconcile net income (loss) to net cash used in operating activities:</w:t>
      </w:r>
    </w:p>
    <w:p>
      <w:pPr>
        <w:spacing w:after="0" w:line="8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Provision for credit losses and sales returns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Deferred taxes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Amortization of deferred financing costs and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Other non-cash adjustments</w:t>
      </w:r>
    </w:p>
    <w:p>
      <w:pPr>
        <w:spacing w:after="0" w:line="7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Changes in operating assets and liabilities, net of acquisition and disposal of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13232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receivable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Prepaid expenses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Trade accounts payable</w:t>
      </w:r>
    </w:p>
    <w:p>
      <w:pPr>
        <w:spacing w:after="0" w:line="7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720"/>
        <w:spacing w:after="0"/>
        <w:rPr>
          <w:sz w:val="20"/>
          <w:szCs w:val="20"/>
          <w:color w:val="auto"/>
        </w:rPr>
      </w:pPr>
      <w:r>
        <w:rPr>
          <w:rFonts w:ascii="Arial" w:cs="Arial" w:eastAsia="Arial" w:hAnsi="Arial"/>
          <w:sz w:val="16"/>
          <w:szCs w:val="16"/>
          <w:color w:val="auto"/>
        </w:rPr>
        <w:t>Deferred revenue</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Capitalized software development costs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Purchase of net assets of acquired companies, net of cash and restricted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debt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due to customers</w:t>
      </w:r>
    </w:p>
    <w:p>
      <w:pPr>
        <w:spacing w:after="0" w:line="7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customer funds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 payments to stockholders</w:t>
      </w:r>
    </w:p>
    <w:p>
      <w:pPr>
        <w:spacing w:after="0" w:line="6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62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right"/>
        <w:ind w:right="14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p>
      <w:pPr>
        <w:jc w:val="right"/>
        <w:ind w:right="100"/>
        <w:spacing w:after="0"/>
        <w:rPr>
          <w:sz w:val="20"/>
          <w:szCs w:val="20"/>
          <w:color w:val="auto"/>
        </w:rPr>
      </w:pPr>
      <w:r>
        <w:rPr>
          <w:rFonts w:ascii="Arial" w:cs="Arial" w:eastAsia="Arial" w:hAnsi="Arial"/>
          <w:sz w:val="14"/>
          <w:szCs w:val="14"/>
          <w:b w:val="1"/>
          <w:bCs w:val="1"/>
          <w:color w:val="FFFFFF"/>
        </w:rPr>
        <w:t>March 31,</w:t>
      </w:r>
    </w:p>
    <w:p>
      <w:pPr>
        <w:spacing w:after="0" w:line="53" w:lineRule="exact"/>
        <w:rPr>
          <w:sz w:val="20"/>
          <w:szCs w:val="20"/>
          <w:color w:val="auto"/>
        </w:rPr>
      </w:pPr>
    </w:p>
    <w:p>
      <w:pPr>
        <w:ind w:left="740"/>
        <w:spacing w:after="0"/>
        <w:tabs>
          <w:tab w:leader="none" w:pos="1820" w:val="left"/>
        </w:tabs>
        <w:rPr>
          <w:sz w:val="20"/>
          <w:szCs w:val="20"/>
          <w:color w:val="auto"/>
        </w:rPr>
      </w:pPr>
      <w:r>
        <w:rPr>
          <w:rFonts w:ascii="Arial" w:cs="Arial" w:eastAsia="Arial" w:hAnsi="Arial"/>
          <w:sz w:val="14"/>
          <w:szCs w:val="14"/>
          <w:b w:val="1"/>
          <w:bCs w:val="1"/>
          <w:color w:val="FFFFFF"/>
        </w:rPr>
        <w:t>2020</w:t>
      </w:r>
      <w:r>
        <w:rPr>
          <w:sz w:val="20"/>
          <w:szCs w:val="20"/>
          <w:color w:val="auto"/>
        </w:rPr>
        <w:tab/>
      </w:r>
      <w:r>
        <w:rPr>
          <w:rFonts w:ascii="Arial" w:cs="Arial" w:eastAsia="Arial" w:hAnsi="Arial"/>
          <w:sz w:val="14"/>
          <w:szCs w:val="14"/>
          <w:b w:val="1"/>
          <w:bCs w:val="1"/>
          <w:color w:val="FFFFFF"/>
        </w:rPr>
        <w:t>2019</w:t>
      </w:r>
    </w:p>
    <w:p>
      <w:pPr>
        <w:spacing w:after="0" w:line="324" w:lineRule="exact"/>
        <w:rPr>
          <w:sz w:val="20"/>
          <w:szCs w:val="20"/>
          <w:color w:val="auto"/>
        </w:rPr>
      </w:pPr>
    </w:p>
    <w:p>
      <w:pPr>
        <w:ind w:left="20"/>
        <w:spacing w:after="0"/>
        <w:tabs>
          <w:tab w:leader="none" w:pos="640" w:val="left"/>
          <w:tab w:leader="none" w:pos="1140" w:val="left"/>
          <w:tab w:leader="none" w:pos="17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4,639</w:t>
        <w:tab/>
        <w:t>$</w:t>
      </w:r>
      <w:r>
        <w:rPr>
          <w:sz w:val="20"/>
          <w:szCs w:val="20"/>
          <w:color w:val="auto"/>
        </w:rPr>
        <w:tab/>
      </w:r>
      <w:r>
        <w:rPr>
          <w:rFonts w:ascii="Arial" w:cs="Arial" w:eastAsia="Arial" w:hAnsi="Arial"/>
          <w:sz w:val="14"/>
          <w:szCs w:val="14"/>
          <w:color w:val="auto"/>
        </w:rPr>
        <w:t>(1,122)</w:t>
      </w:r>
    </w:p>
    <w:p>
      <w:pPr>
        <w:spacing w:after="0" w:line="343"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color w:val="auto"/>
        </w:rPr>
        <w:t>21,804</w:t>
      </w:r>
      <w:r>
        <w:rPr>
          <w:sz w:val="20"/>
          <w:szCs w:val="20"/>
          <w:color w:val="auto"/>
        </w:rPr>
        <w:tab/>
      </w:r>
      <w:r>
        <w:rPr>
          <w:rFonts w:ascii="Arial" w:cs="Arial" w:eastAsia="Arial" w:hAnsi="Arial"/>
          <w:sz w:val="16"/>
          <w:szCs w:val="16"/>
          <w:color w:val="auto"/>
        </w:rPr>
        <w:t>21,724</w:t>
      </w:r>
    </w:p>
    <w:p>
      <w:pPr>
        <w:spacing w:after="0" w:line="73" w:lineRule="exact"/>
        <w:rPr>
          <w:sz w:val="20"/>
          <w:szCs w:val="20"/>
          <w:color w:val="auto"/>
        </w:rPr>
      </w:pPr>
    </w:p>
    <w:p>
      <w:pPr>
        <w:ind w:left="660"/>
        <w:spacing w:after="0"/>
        <w:tabs>
          <w:tab w:leader="none" w:pos="1740" w:val="left"/>
        </w:tabs>
        <w:rPr>
          <w:sz w:val="20"/>
          <w:szCs w:val="20"/>
          <w:color w:val="auto"/>
        </w:rPr>
      </w:pPr>
      <w:r>
        <w:rPr>
          <w:rFonts w:ascii="Arial" w:cs="Arial" w:eastAsia="Arial" w:hAnsi="Arial"/>
          <w:sz w:val="16"/>
          <w:szCs w:val="16"/>
          <w:color w:val="auto"/>
        </w:rPr>
        <w:t>2,488</w:t>
      </w:r>
      <w:r>
        <w:rPr>
          <w:sz w:val="20"/>
          <w:szCs w:val="20"/>
          <w:color w:val="auto"/>
        </w:rPr>
        <w:tab/>
      </w:r>
      <w:r>
        <w:rPr>
          <w:rFonts w:ascii="Arial" w:cs="Arial" w:eastAsia="Arial" w:hAnsi="Arial"/>
          <w:sz w:val="16"/>
          <w:szCs w:val="16"/>
          <w:color w:val="auto"/>
        </w:rPr>
        <w:t>2,032</w:t>
      </w:r>
    </w:p>
    <w:p>
      <w:pPr>
        <w:spacing w:after="0" w:line="73" w:lineRule="exact"/>
        <w:rPr>
          <w:sz w:val="20"/>
          <w:szCs w:val="20"/>
          <w:color w:val="auto"/>
        </w:rPr>
      </w:pPr>
    </w:p>
    <w:p>
      <w:pPr>
        <w:ind w:left="580"/>
        <w:spacing w:after="0"/>
        <w:tabs>
          <w:tab w:leader="none" w:pos="1660" w:val="left"/>
        </w:tabs>
        <w:rPr>
          <w:sz w:val="20"/>
          <w:szCs w:val="20"/>
          <w:color w:val="auto"/>
        </w:rPr>
      </w:pPr>
      <w:r>
        <w:rPr>
          <w:rFonts w:ascii="Arial" w:cs="Arial" w:eastAsia="Arial" w:hAnsi="Arial"/>
          <w:sz w:val="16"/>
          <w:szCs w:val="16"/>
          <w:color w:val="auto"/>
        </w:rPr>
        <w:t>13,580</w:t>
      </w:r>
      <w:r>
        <w:rPr>
          <w:sz w:val="20"/>
          <w:szCs w:val="20"/>
          <w:color w:val="auto"/>
        </w:rPr>
        <w:tab/>
      </w:r>
      <w:r>
        <w:rPr>
          <w:rFonts w:ascii="Arial" w:cs="Arial" w:eastAsia="Arial" w:hAnsi="Arial"/>
          <w:sz w:val="16"/>
          <w:szCs w:val="16"/>
          <w:color w:val="auto"/>
        </w:rPr>
        <w:t>13,726</w:t>
      </w:r>
    </w:p>
    <w:p>
      <w:pPr>
        <w:spacing w:after="0" w:line="73" w:lineRule="exact"/>
        <w:rPr>
          <w:sz w:val="20"/>
          <w:szCs w:val="20"/>
          <w:color w:val="auto"/>
        </w:rPr>
      </w:pPr>
    </w:p>
    <w:p>
      <w:pPr>
        <w:jc w:val="both"/>
        <w:ind w:left="780"/>
        <w:spacing w:after="0"/>
        <w:tabs>
          <w:tab w:leader="none" w:pos="1700" w:val="left"/>
        </w:tabs>
        <w:rPr>
          <w:sz w:val="20"/>
          <w:szCs w:val="20"/>
          <w:color w:val="auto"/>
        </w:rPr>
      </w:pPr>
      <w:r>
        <w:rPr>
          <w:rFonts w:ascii="Arial" w:cs="Arial" w:eastAsia="Arial" w:hAnsi="Arial"/>
          <w:sz w:val="16"/>
          <w:szCs w:val="16"/>
          <w:color w:val="auto"/>
        </w:rPr>
        <w:t>954</w:t>
      </w:r>
      <w:r>
        <w:rPr>
          <w:sz w:val="20"/>
          <w:szCs w:val="20"/>
          <w:color w:val="auto"/>
        </w:rPr>
        <w:tab/>
      </w:r>
      <w:r>
        <w:rPr>
          <w:rFonts w:ascii="Arial" w:cs="Arial" w:eastAsia="Arial" w:hAnsi="Arial"/>
          <w:sz w:val="16"/>
          <w:szCs w:val="16"/>
          <w:color w:val="auto"/>
        </w:rPr>
        <w:t>(1,155)</w:t>
      </w:r>
    </w:p>
    <w:p>
      <w:pPr>
        <w:spacing w:after="0" w:line="73" w:lineRule="exact"/>
        <w:rPr>
          <w:sz w:val="20"/>
          <w:szCs w:val="20"/>
          <w:color w:val="auto"/>
        </w:rPr>
      </w:pPr>
    </w:p>
    <w:p>
      <w:pPr>
        <w:ind w:left="1880" w:hanging="1098"/>
        <w:spacing w:after="0"/>
        <w:tabs>
          <w:tab w:leader="none" w:pos="1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188</w:t>
      </w:r>
    </w:p>
    <w:p>
      <w:pPr>
        <w:spacing w:after="0" w:line="72" w:lineRule="exact"/>
        <w:rPr>
          <w:rFonts w:ascii="Arial" w:cs="Arial" w:eastAsia="Arial" w:hAnsi="Arial"/>
          <w:sz w:val="16"/>
          <w:szCs w:val="16"/>
          <w:color w:val="auto"/>
        </w:rPr>
      </w:pPr>
    </w:p>
    <w:p>
      <w:pPr>
        <w:ind w:left="1760" w:hanging="978"/>
        <w:spacing w:after="0"/>
        <w:tabs>
          <w:tab w:leader="none" w:pos="1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1,820</w:t>
      </w:r>
    </w:p>
    <w:p>
      <w:pPr>
        <w:spacing w:after="0" w:line="343" w:lineRule="exact"/>
        <w:rPr>
          <w:sz w:val="20"/>
          <w:szCs w:val="20"/>
          <w:color w:val="auto"/>
        </w:rPr>
      </w:pPr>
    </w:p>
    <w:p>
      <w:pPr>
        <w:jc w:val="both"/>
        <w:ind w:left="600"/>
        <w:spacing w:after="0"/>
        <w:tabs>
          <w:tab w:leader="none" w:pos="1700" w:val="left"/>
        </w:tabs>
        <w:rPr>
          <w:sz w:val="20"/>
          <w:szCs w:val="20"/>
          <w:color w:val="auto"/>
        </w:rPr>
      </w:pPr>
      <w:r>
        <w:rPr>
          <w:rFonts w:ascii="Arial" w:cs="Arial" w:eastAsia="Arial" w:hAnsi="Arial"/>
          <w:sz w:val="16"/>
          <w:szCs w:val="16"/>
          <w:color w:val="auto"/>
        </w:rPr>
        <w:t>(3,876)</w:t>
      </w:r>
      <w:r>
        <w:rPr>
          <w:sz w:val="20"/>
          <w:szCs w:val="20"/>
          <w:color w:val="auto"/>
        </w:rPr>
        <w:tab/>
      </w:r>
      <w:r>
        <w:rPr>
          <w:rFonts w:ascii="Arial" w:cs="Arial" w:eastAsia="Arial" w:hAnsi="Arial"/>
          <w:sz w:val="16"/>
          <w:szCs w:val="16"/>
          <w:color w:val="auto"/>
        </w:rPr>
        <w:t>(1,797)</w:t>
      </w:r>
    </w:p>
    <w:p>
      <w:pPr>
        <w:spacing w:after="0" w:line="73" w:lineRule="exact"/>
        <w:rPr>
          <w:sz w:val="20"/>
          <w:szCs w:val="20"/>
          <w:color w:val="auto"/>
        </w:rPr>
      </w:pPr>
    </w:p>
    <w:p>
      <w:pPr>
        <w:jc w:val="both"/>
        <w:ind w:left="600"/>
        <w:spacing w:after="0"/>
        <w:tabs>
          <w:tab w:leader="none" w:pos="1620" w:val="left"/>
        </w:tabs>
        <w:rPr>
          <w:sz w:val="20"/>
          <w:szCs w:val="20"/>
          <w:color w:val="auto"/>
        </w:rPr>
      </w:pPr>
      <w:r>
        <w:rPr>
          <w:rFonts w:ascii="Arial" w:cs="Arial" w:eastAsia="Arial" w:hAnsi="Arial"/>
          <w:sz w:val="16"/>
          <w:szCs w:val="16"/>
          <w:color w:val="auto"/>
        </w:rPr>
        <w:t>(5,303)</w:t>
      </w:r>
      <w:r>
        <w:rPr>
          <w:sz w:val="20"/>
          <w:szCs w:val="20"/>
          <w:color w:val="auto"/>
        </w:rPr>
        <w:tab/>
      </w:r>
      <w:r>
        <w:rPr>
          <w:rFonts w:ascii="Arial" w:cs="Arial" w:eastAsia="Arial" w:hAnsi="Arial"/>
          <w:sz w:val="16"/>
          <w:szCs w:val="16"/>
          <w:color w:val="auto"/>
        </w:rPr>
        <w:t>(12,107)</w:t>
      </w:r>
    </w:p>
    <w:p>
      <w:pPr>
        <w:spacing w:after="0" w:line="73" w:lineRule="exact"/>
        <w:rPr>
          <w:sz w:val="20"/>
          <w:szCs w:val="20"/>
          <w:color w:val="auto"/>
        </w:rPr>
      </w:pPr>
    </w:p>
    <w:p>
      <w:pPr>
        <w:jc w:val="both"/>
        <w:ind w:left="600"/>
        <w:spacing w:after="0"/>
        <w:tabs>
          <w:tab w:leader="none" w:pos="1700" w:val="left"/>
        </w:tabs>
        <w:rPr>
          <w:sz w:val="20"/>
          <w:szCs w:val="20"/>
          <w:color w:val="auto"/>
        </w:rPr>
      </w:pPr>
      <w:r>
        <w:rPr>
          <w:rFonts w:ascii="Arial" w:cs="Arial" w:eastAsia="Arial" w:hAnsi="Arial"/>
          <w:sz w:val="16"/>
          <w:szCs w:val="16"/>
          <w:color w:val="auto"/>
        </w:rPr>
        <w:t>(4,021)</w:t>
      </w:r>
      <w:r>
        <w:rPr>
          <w:sz w:val="20"/>
          <w:szCs w:val="20"/>
          <w:color w:val="auto"/>
        </w:rPr>
        <w:tab/>
      </w:r>
      <w:r>
        <w:rPr>
          <w:rFonts w:ascii="Arial" w:cs="Arial" w:eastAsia="Arial" w:hAnsi="Arial"/>
          <w:sz w:val="16"/>
          <w:szCs w:val="16"/>
          <w:color w:val="auto"/>
        </w:rPr>
        <w:t>(3,624)</w:t>
      </w:r>
    </w:p>
    <w:p>
      <w:pPr>
        <w:spacing w:after="0" w:line="73"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(31,694)</w:t>
      </w:r>
      <w:r>
        <w:rPr>
          <w:sz w:val="20"/>
          <w:szCs w:val="20"/>
          <w:color w:val="auto"/>
        </w:rPr>
        <w:tab/>
      </w:r>
      <w:r>
        <w:rPr>
          <w:rFonts w:ascii="Arial" w:cs="Arial" w:eastAsia="Arial" w:hAnsi="Arial"/>
          <w:sz w:val="16"/>
          <w:szCs w:val="16"/>
          <w:color w:val="auto"/>
        </w:rPr>
        <w:t>(11,690)</w:t>
      </w:r>
    </w:p>
    <w:p>
      <w:pPr>
        <w:spacing w:after="0" w:line="73"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(23,364)</w:t>
      </w:r>
      <w:r>
        <w:rPr>
          <w:sz w:val="20"/>
          <w:szCs w:val="20"/>
          <w:color w:val="auto"/>
        </w:rPr>
        <w:tab/>
      </w:r>
      <w:r>
        <w:rPr>
          <w:rFonts w:ascii="Arial" w:cs="Arial" w:eastAsia="Arial" w:hAnsi="Arial"/>
          <w:sz w:val="16"/>
          <w:szCs w:val="16"/>
          <w:color w:val="auto"/>
        </w:rPr>
        <w:t>(18,006)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34925</wp:posOffset>
            </wp:positionV>
            <wp:extent cx="14230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6"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(24,503)</w:t>
      </w:r>
      <w:r>
        <w:rPr>
          <w:sz w:val="20"/>
          <w:szCs w:val="20"/>
          <w:color w:val="auto"/>
        </w:rPr>
        <w:tab/>
      </w:r>
      <w:r>
        <w:rPr>
          <w:rFonts w:ascii="Arial" w:cs="Arial" w:eastAsia="Arial" w:hAnsi="Arial"/>
          <w:sz w:val="16"/>
          <w:szCs w:val="16"/>
          <w:color w:val="auto"/>
        </w:rPr>
        <w:t>(10,011)</w:t>
      </w:r>
    </w:p>
    <w:p>
      <w:pPr>
        <w:spacing w:after="0" w:line="343" w:lineRule="exact"/>
        <w:rPr>
          <w:sz w:val="20"/>
          <w:szCs w:val="20"/>
          <w:color w:val="auto"/>
        </w:rPr>
      </w:pPr>
    </w:p>
    <w:p>
      <w:pPr>
        <w:jc w:val="both"/>
        <w:ind w:left="600"/>
        <w:spacing w:after="0"/>
        <w:tabs>
          <w:tab w:leader="none" w:pos="1700" w:val="left"/>
        </w:tabs>
        <w:rPr>
          <w:sz w:val="20"/>
          <w:szCs w:val="20"/>
          <w:color w:val="auto"/>
        </w:rPr>
      </w:pPr>
      <w:r>
        <w:rPr>
          <w:rFonts w:ascii="Arial" w:cs="Arial" w:eastAsia="Arial" w:hAnsi="Arial"/>
          <w:sz w:val="16"/>
          <w:szCs w:val="16"/>
          <w:color w:val="auto"/>
        </w:rPr>
        <w:t>(2,867)</w:t>
      </w:r>
      <w:r>
        <w:rPr>
          <w:sz w:val="20"/>
          <w:szCs w:val="20"/>
          <w:color w:val="auto"/>
        </w:rPr>
        <w:tab/>
      </w:r>
      <w:r>
        <w:rPr>
          <w:rFonts w:ascii="Arial" w:cs="Arial" w:eastAsia="Arial" w:hAnsi="Arial"/>
          <w:sz w:val="16"/>
          <w:szCs w:val="16"/>
          <w:color w:val="auto"/>
        </w:rPr>
        <w:t>(1,152)</w:t>
      </w:r>
    </w:p>
    <w:p>
      <w:pPr>
        <w:spacing w:after="0" w:line="73"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(10,937)</w:t>
      </w:r>
      <w:r>
        <w:rPr>
          <w:sz w:val="20"/>
          <w:szCs w:val="20"/>
          <w:color w:val="auto"/>
        </w:rPr>
        <w:tab/>
      </w:r>
      <w:r>
        <w:rPr>
          <w:rFonts w:ascii="Arial" w:cs="Arial" w:eastAsia="Arial" w:hAnsi="Arial"/>
          <w:sz w:val="16"/>
          <w:szCs w:val="16"/>
          <w:color w:val="auto"/>
        </w:rPr>
        <w:t>(11,319)</w:t>
      </w:r>
    </w:p>
    <w:p>
      <w:pPr>
        <w:spacing w:after="0" w:line="73"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(109,386)</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(13,804)</w:t>
      </w:r>
      <w:r>
        <w:rPr>
          <w:rFonts w:ascii="Arial" w:cs="Arial" w:eastAsia="Arial" w:hAnsi="Arial"/>
          <w:sz w:val="14"/>
          <w:szCs w:val="14"/>
          <w:color w:val="auto"/>
        </w:rPr>
        <w:t>(121,857)</w:t>
      </w:r>
    </w:p>
    <w:p>
      <w:pPr>
        <w:spacing w:after="0" w:line="343" w:lineRule="exact"/>
        <w:rPr>
          <w:sz w:val="20"/>
          <w:szCs w:val="20"/>
          <w:color w:val="auto"/>
        </w:rPr>
      </w:pPr>
    </w:p>
    <w:p>
      <w:pPr>
        <w:ind w:left="500"/>
        <w:spacing w:after="0"/>
        <w:tabs>
          <w:tab w:leader="none" w:pos="1580" w:val="left"/>
        </w:tabs>
        <w:rPr>
          <w:sz w:val="20"/>
          <w:szCs w:val="20"/>
          <w:color w:val="auto"/>
        </w:rPr>
      </w:pPr>
      <w:r>
        <w:rPr>
          <w:rFonts w:ascii="Arial" w:cs="Arial" w:eastAsia="Arial" w:hAnsi="Arial"/>
          <w:sz w:val="16"/>
          <w:szCs w:val="16"/>
          <w:color w:val="auto"/>
        </w:rPr>
        <w:t>144,700</w:t>
      </w:r>
      <w:r>
        <w:rPr>
          <w:sz w:val="20"/>
          <w:szCs w:val="20"/>
          <w:color w:val="auto"/>
        </w:rPr>
        <w:tab/>
      </w:r>
      <w:r>
        <w:rPr>
          <w:rFonts w:ascii="Arial" w:cs="Arial" w:eastAsia="Arial" w:hAnsi="Arial"/>
          <w:sz w:val="16"/>
          <w:szCs w:val="16"/>
          <w:color w:val="auto"/>
        </w:rPr>
        <w:t>271,500</w:t>
      </w:r>
    </w:p>
    <w:p>
      <w:pPr>
        <w:spacing w:after="0" w:line="73"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(86,075)</w:t>
      </w:r>
      <w:r>
        <w:rPr>
          <w:sz w:val="20"/>
          <w:szCs w:val="20"/>
          <w:color w:val="auto"/>
        </w:rPr>
        <w:tab/>
      </w:r>
      <w:r>
        <w:rPr>
          <w:rFonts w:ascii="Arial" w:cs="Arial" w:eastAsia="Arial" w:hAnsi="Arial"/>
          <w:sz w:val="16"/>
          <w:szCs w:val="16"/>
          <w:color w:val="auto"/>
        </w:rPr>
        <w:t>(75,175)</w:t>
      </w:r>
    </w:p>
    <w:p>
      <w:pPr>
        <w:spacing w:after="0" w:line="73" w:lineRule="exact"/>
        <w:rPr>
          <w:sz w:val="20"/>
          <w:szCs w:val="20"/>
          <w:color w:val="auto"/>
        </w:rPr>
      </w:pPr>
    </w:p>
    <w:p>
      <w:pPr>
        <w:jc w:val="both"/>
        <w:ind w:left="520"/>
        <w:spacing w:after="0"/>
        <w:tabs>
          <w:tab w:leader="none" w:pos="1620" w:val="left"/>
        </w:tabs>
        <w:rPr>
          <w:sz w:val="20"/>
          <w:szCs w:val="20"/>
          <w:color w:val="auto"/>
        </w:rPr>
      </w:pPr>
      <w:r>
        <w:rPr>
          <w:rFonts w:ascii="Arial" w:cs="Arial" w:eastAsia="Arial" w:hAnsi="Arial"/>
          <w:sz w:val="16"/>
          <w:szCs w:val="16"/>
          <w:color w:val="auto"/>
        </w:rPr>
        <w:t>(19,782)</w:t>
      </w:r>
      <w:r>
        <w:rPr>
          <w:sz w:val="20"/>
          <w:szCs w:val="20"/>
          <w:color w:val="auto"/>
        </w:rPr>
        <w:tab/>
      </w:r>
      <w:r>
        <w:rPr>
          <w:rFonts w:ascii="Arial" w:cs="Arial" w:eastAsia="Arial" w:hAnsi="Arial"/>
          <w:sz w:val="16"/>
          <w:szCs w:val="16"/>
          <w:color w:val="auto"/>
        </w:rPr>
        <w:t>(18,400)</w:t>
      </w:r>
    </w:p>
    <w:p>
      <w:pPr>
        <w:spacing w:after="0" w:line="73" w:lineRule="exact"/>
        <w:rPr>
          <w:sz w:val="20"/>
          <w:szCs w:val="20"/>
          <w:color w:val="auto"/>
        </w:rPr>
      </w:pPr>
    </w:p>
    <w:p>
      <w:pPr>
        <w:ind w:left="2060" w:hanging="1116"/>
        <w:spacing w:after="0"/>
        <w:tabs>
          <w:tab w:leader="none" w:pos="2060" w:val="left"/>
        </w:tabs>
        <w:numPr>
          <w:ilvl w:val="0"/>
          <w:numId w:val="6"/>
        </w:numPr>
        <w:rPr>
          <w:rFonts w:ascii="Arial" w:cs="Arial" w:eastAsia="Arial" w:hAnsi="Arial"/>
          <w:sz w:val="16"/>
          <w:szCs w:val="16"/>
          <w:color w:val="auto"/>
        </w:rPr>
      </w:pPr>
      <w:r>
        <w:rPr>
          <w:rFonts w:ascii="Arial" w:cs="Arial" w:eastAsia="Arial" w:hAnsi="Arial"/>
          <w:sz w:val="16"/>
          <w:szCs w:val="16"/>
          <w:color w:val="auto"/>
        </w:rPr>
        <w:t>3</w:t>
      </w:r>
    </w:p>
    <w:p>
      <w:pPr>
        <w:spacing w:after="0" w:line="7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(311,095)</w:t>
      </w:r>
      <w:r>
        <w:rPr>
          <w:rFonts w:ascii="Arial" w:cs="Arial" w:eastAsia="Arial" w:hAnsi="Arial"/>
          <w:sz w:val="14"/>
          <w:szCs w:val="14"/>
          <w:color w:val="auto"/>
        </w:rPr>
        <w:t>(242,885)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(733)</w:t>
            </w: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(3,573)</w:t>
            </w:r>
          </w:p>
        </w:tc>
      </w:tr>
      <w:tr>
        <w:trPr>
          <w:trHeight w:val="257"/>
        </w:trPr>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(5,960)</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(5,901)</w:t>
            </w:r>
          </w:p>
        </w:tc>
      </w:tr>
      <w:tr>
        <w:trPr>
          <w:trHeight w:val="33"/>
        </w:trPr>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(278,944)</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(74,431)</w:t>
            </w:r>
          </w:p>
        </w:tc>
      </w:tr>
      <w:tr>
        <w:trPr>
          <w:trHeight w:val="257"/>
        </w:trPr>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(2,822)</w:t>
            </w:r>
          </w:p>
        </w:tc>
        <w:tc>
          <w:tcPr>
            <w:tcW w:w="2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1,036</w:t>
            </w:r>
          </w:p>
        </w:tc>
      </w:tr>
      <w:tr>
        <w:trPr>
          <w:trHeight w:val="33"/>
        </w:trPr>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(320,073)</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(205,263)</w:t>
            </w:r>
          </w:p>
        </w:tc>
      </w:tr>
      <w:tr>
        <w:trPr>
          <w:trHeight w:val="257"/>
        </w:trPr>
        <w:tc>
          <w:tcPr>
            <w:tcW w:w="2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577,295</w:t>
            </w:r>
          </w:p>
        </w:tc>
        <w:tc>
          <w:tcPr>
            <w:tcW w:w="280" w:type="dxa"/>
            <w:vAlign w:val="bottom"/>
          </w:tcPr>
          <w:p>
            <w:pPr>
              <w:spacing w:after="0"/>
              <w:rPr>
                <w:sz w:val="22"/>
                <w:szCs w:val="22"/>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449,846</w:t>
            </w:r>
          </w:p>
        </w:tc>
      </w:tr>
      <w:tr>
        <w:trPr>
          <w:trHeight w:val="33"/>
        </w:trPr>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257,222</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244,583</w:t>
            </w:r>
          </w:p>
        </w:tc>
      </w:tr>
    </w:tbl>
    <w:p>
      <w:pPr>
        <w:spacing w:after="0" w:line="199" w:lineRule="exact"/>
        <w:rPr>
          <w:sz w:val="20"/>
          <w:szCs w:val="20"/>
          <w:color w:val="auto"/>
        </w:rPr>
      </w:pPr>
    </w:p>
    <w:p>
      <w:pPr>
        <w:sectPr>
          <w:pgSz w:w="11900" w:h="16838" w:orient="portrait"/>
          <w:cols w:equalWidth="0" w:num="2">
            <w:col w:w="8280" w:space="720"/>
            <w:col w:w="2240"/>
          </w:cols>
          <w:pgMar w:left="320" w:top="499" w:right="339" w:bottom="1440" w:gutter="0" w:footer="0" w:header="0"/>
          <w:type w:val="continuous"/>
        </w:sectPr>
      </w:pPr>
    </w:p>
    <w:p>
      <w:pPr>
        <w:ind w:right="20"/>
        <w:spacing w:after="0" w:line="275"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4"/>
                <w:szCs w:val="14"/>
                <w:color w:val="auto"/>
              </w:rPr>
            </w:pPr>
          </w:p>
        </w:tc>
        <w:tc>
          <w:tcPr>
            <w:tcW w:w="1120" w:type="dxa"/>
            <w:vAlign w:val="bottom"/>
            <w:shd w:val="clear" w:color="auto" w:fill="ACACAC"/>
          </w:tcPr>
          <w:p>
            <w:pPr>
              <w:jc w:val="right"/>
              <w:ind w:right="23"/>
              <w:spacing w:after="0"/>
              <w:rPr>
                <w:sz w:val="20"/>
                <w:szCs w:val="20"/>
                <w:color w:val="auto"/>
              </w:rPr>
            </w:pPr>
            <w:r>
              <w:rPr>
                <w:rFonts w:ascii="Arial" w:cs="Arial" w:eastAsia="Arial" w:hAnsi="Arial"/>
                <w:sz w:val="14"/>
                <w:szCs w:val="14"/>
                <w:b w:val="1"/>
                <w:bCs w:val="1"/>
                <w:color w:val="FFFFFF"/>
              </w:rPr>
              <w:t>March 31,</w:t>
            </w:r>
          </w:p>
        </w:tc>
        <w:tc>
          <w:tcPr>
            <w:tcW w:w="440" w:type="dxa"/>
            <w:vAlign w:val="bottom"/>
            <w:shd w:val="clear" w:color="auto" w:fill="ACACAC"/>
          </w:tcPr>
          <w:p>
            <w:pPr>
              <w:spacing w:after="0"/>
              <w:rPr>
                <w:sz w:val="14"/>
                <w:szCs w:val="14"/>
                <w:color w:val="auto"/>
              </w:rPr>
            </w:pPr>
          </w:p>
        </w:tc>
        <w:tc>
          <w:tcPr>
            <w:tcW w:w="1280" w:type="dxa"/>
            <w:vAlign w:val="bottom"/>
            <w:shd w:val="clear" w:color="auto" w:fill="ACACAC"/>
          </w:tcPr>
          <w:p>
            <w:pPr>
              <w:jc w:val="right"/>
              <w:ind w:right="63"/>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7880" w:type="dxa"/>
            <w:vAlign w:val="bottom"/>
            <w:vMerge w:val="continue"/>
            <w:shd w:val="clear" w:color="auto" w:fill="ACACAC"/>
          </w:tcPr>
          <w:p>
            <w:pPr>
              <w:spacing w:after="0"/>
              <w:rPr>
                <w:sz w:val="17"/>
                <w:szCs w:val="17"/>
                <w:color w:val="auto"/>
              </w:rPr>
            </w:pPr>
          </w:p>
        </w:tc>
        <w:tc>
          <w:tcPr>
            <w:tcW w:w="520" w:type="dxa"/>
            <w:vAlign w:val="bottom"/>
            <w:shd w:val="clear" w:color="auto" w:fill="ACACAC"/>
          </w:tcPr>
          <w:p>
            <w:pPr>
              <w:spacing w:after="0"/>
              <w:rPr>
                <w:sz w:val="17"/>
                <w:szCs w:val="17"/>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17"/>
                <w:szCs w:val="17"/>
                <w:color w:val="auto"/>
              </w:rPr>
            </w:pPr>
          </w:p>
        </w:tc>
        <w:tc>
          <w:tcPr>
            <w:tcW w:w="1280" w:type="dxa"/>
            <w:vAlign w:val="bottom"/>
            <w:shd w:val="clear" w:color="auto" w:fill="ACACAC"/>
          </w:tcPr>
          <w:p>
            <w:pPr>
              <w:jc w:val="right"/>
              <w:ind w:right="23"/>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color w:val="auto"/>
              </w:rPr>
              <w:t>Cash and cash equivalents</w:t>
            </w:r>
          </w:p>
        </w:tc>
        <w:tc>
          <w:tcPr>
            <w:tcW w:w="520" w:type="dxa"/>
            <w:vAlign w:val="bottom"/>
            <w:tcBorders>
              <w:bottom w:val="single" w:sz="8" w:color="F4F4F4"/>
            </w:tcBorders>
            <w:shd w:val="clear" w:color="auto" w:fill="F4F4F4"/>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24,972</w:t>
            </w:r>
          </w:p>
        </w:tc>
        <w:tc>
          <w:tcPr>
            <w:tcW w:w="440" w:type="dxa"/>
            <w:vAlign w:val="bottom"/>
            <w:tcBorders>
              <w:bottom w:val="single" w:sz="8" w:color="F4F4F4"/>
            </w:tcBorders>
            <w:shd w:val="clear" w:color="auto" w:fill="F4F4F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F4F4"/>
            </w:tcBorders>
            <w:shd w:val="clear" w:color="auto" w:fill="F4F4F4"/>
          </w:tcPr>
          <w:p>
            <w:pPr>
              <w:jc w:val="right"/>
              <w:ind w:right="23"/>
              <w:spacing w:after="0"/>
              <w:rPr>
                <w:sz w:val="20"/>
                <w:szCs w:val="20"/>
                <w:color w:val="auto"/>
              </w:rPr>
            </w:pPr>
            <w:r>
              <w:rPr>
                <w:rFonts w:ascii="Arial" w:cs="Arial" w:eastAsia="Arial" w:hAnsi="Arial"/>
                <w:sz w:val="16"/>
                <w:szCs w:val="16"/>
                <w:color w:val="auto"/>
              </w:rPr>
              <w:t>31,810</w:t>
            </w:r>
          </w:p>
        </w:tc>
        <w:tc>
          <w:tcPr>
            <w:tcW w:w="0" w:type="dxa"/>
            <w:vAlign w:val="bottom"/>
          </w:tcPr>
          <w:p>
            <w:pPr>
              <w:spacing w:after="0"/>
              <w:rPr>
                <w:sz w:val="1"/>
                <w:szCs w:val="1"/>
                <w:color w:val="auto"/>
              </w:rPr>
            </w:pPr>
          </w:p>
        </w:tc>
      </w:tr>
      <w:tr>
        <w:trPr>
          <w:trHeight w:val="223"/>
        </w:trPr>
        <w:tc>
          <w:tcPr>
            <w:tcW w:w="7880" w:type="dxa"/>
            <w:vAlign w:val="bottom"/>
          </w:tcPr>
          <w:p>
            <w:pPr>
              <w:ind w:left="40"/>
              <w:spacing w:after="0"/>
              <w:rPr>
                <w:sz w:val="20"/>
                <w:szCs w:val="20"/>
                <w:color w:val="auto"/>
              </w:rPr>
            </w:pPr>
            <w:r>
              <w:rPr>
                <w:rFonts w:ascii="Arial" w:cs="Arial" w:eastAsia="Arial" w:hAnsi="Arial"/>
                <w:sz w:val="16"/>
                <w:szCs w:val="16"/>
                <w:color w:val="auto"/>
              </w:rPr>
              <w:t>Restricted cash due to customers</w:t>
            </w:r>
          </w:p>
        </w:tc>
        <w:tc>
          <w:tcPr>
            <w:tcW w:w="5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232,250</w:t>
            </w:r>
          </w:p>
        </w:tc>
        <w:tc>
          <w:tcPr>
            <w:tcW w:w="440" w:type="dxa"/>
            <w:vAlign w:val="bottom"/>
          </w:tcPr>
          <w:p>
            <w:pPr>
              <w:spacing w:after="0"/>
              <w:rPr>
                <w:sz w:val="19"/>
                <w:szCs w:val="19"/>
                <w:color w:val="auto"/>
              </w:rPr>
            </w:pPr>
          </w:p>
        </w:tc>
        <w:tc>
          <w:tcPr>
            <w:tcW w:w="1280" w:type="dxa"/>
            <w:vAlign w:val="bottom"/>
          </w:tcPr>
          <w:p>
            <w:pPr>
              <w:jc w:val="right"/>
              <w:ind w:right="23"/>
              <w:spacing w:after="0"/>
              <w:rPr>
                <w:sz w:val="20"/>
                <w:szCs w:val="20"/>
                <w:color w:val="auto"/>
              </w:rPr>
            </w:pPr>
            <w:r>
              <w:rPr>
                <w:rFonts w:ascii="Arial" w:cs="Arial" w:eastAsia="Arial" w:hAnsi="Arial"/>
                <w:sz w:val="16"/>
                <w:szCs w:val="16"/>
                <w:color w:val="auto"/>
              </w:rPr>
              <w:t>545,485</w:t>
            </w:r>
          </w:p>
        </w:tc>
        <w:tc>
          <w:tcPr>
            <w:tcW w:w="0" w:type="dxa"/>
            <w:vAlign w:val="bottom"/>
          </w:tcPr>
          <w:p>
            <w:pPr>
              <w:spacing w:after="0"/>
              <w:rPr>
                <w:sz w:val="1"/>
                <w:szCs w:val="1"/>
                <w:color w:val="auto"/>
              </w:rPr>
            </w:pPr>
          </w:p>
        </w:tc>
      </w:tr>
      <w:tr>
        <w:trPr>
          <w:trHeight w:val="33"/>
        </w:trPr>
        <w:tc>
          <w:tcPr>
            <w:tcW w:w="788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8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20" w:type="dxa"/>
            <w:vAlign w:val="bottom"/>
            <w:tcBorders>
              <w:bottom w:val="single" w:sz="8" w:color="F4F4F4"/>
            </w:tcBorders>
            <w:shd w:val="clear" w:color="auto" w:fill="F4F4F4"/>
          </w:tcPr>
          <w:p>
            <w:pPr>
              <w:jc w:val="right"/>
              <w:ind w:right="3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257,222</w:t>
            </w:r>
          </w:p>
        </w:tc>
        <w:tc>
          <w:tcPr>
            <w:tcW w:w="440" w:type="dxa"/>
            <w:vAlign w:val="bottom"/>
            <w:tcBorders>
              <w:bottom w:val="single" w:sz="8" w:color="F4F4F4"/>
            </w:tcBorders>
            <w:shd w:val="clear" w:color="auto" w:fill="F4F4F4"/>
          </w:tcPr>
          <w:p>
            <w:pPr>
              <w:jc w:val="right"/>
              <w:ind w:right="19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F4F4F4"/>
            </w:tcBorders>
            <w:shd w:val="clear" w:color="auto" w:fill="F4F4F4"/>
          </w:tcPr>
          <w:p>
            <w:pPr>
              <w:jc w:val="right"/>
              <w:ind w:right="23"/>
              <w:spacing w:after="0"/>
              <w:rPr>
                <w:sz w:val="20"/>
                <w:szCs w:val="20"/>
                <w:color w:val="auto"/>
              </w:rPr>
            </w:pPr>
            <w:r>
              <w:rPr>
                <w:rFonts w:ascii="Arial" w:cs="Arial" w:eastAsia="Arial" w:hAnsi="Arial"/>
                <w:sz w:val="16"/>
                <w:szCs w:val="16"/>
                <w:color w:val="auto"/>
              </w:rPr>
              <w:t>577,295</w:t>
            </w:r>
          </w:p>
        </w:tc>
        <w:tc>
          <w:tcPr>
            <w:tcW w:w="0" w:type="dxa"/>
            <w:vAlign w:val="bottom"/>
          </w:tcPr>
          <w:p>
            <w:pPr>
              <w:spacing w:after="0"/>
              <w:rPr>
                <w:sz w:val="1"/>
                <w:szCs w:val="1"/>
                <w:color w:val="auto"/>
              </w:rPr>
            </w:pPr>
          </w:p>
        </w:tc>
      </w:tr>
      <w:tr>
        <w:trPr>
          <w:trHeight w:val="20"/>
        </w:trPr>
        <w:tc>
          <w:tcPr>
            <w:tcW w:w="788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28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5</w:t>
      </w:r>
    </w:p>
    <w:p>
      <w:pPr>
        <w:sectPr>
          <w:pgSz w:w="11900" w:h="16838" w:orient="portrait"/>
          <w:cols w:equalWidth="0" w:num="1">
            <w:col w:w="11240"/>
          </w:cols>
          <w:pgMar w:left="320" w:top="499" w:right="3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40" w:type="dxa"/>
            <w:vAlign w:val="bottom"/>
            <w:shd w:val="clear" w:color="auto" w:fill="ACACAC"/>
          </w:tcPr>
          <w:p>
            <w:pPr>
              <w:spacing w:after="0"/>
              <w:rPr>
                <w:sz w:val="14"/>
                <w:szCs w:val="14"/>
                <w:color w:val="auto"/>
              </w:rPr>
            </w:pP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24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6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4160" w:type="dxa"/>
            <w:vAlign w:val="bottom"/>
            <w:shd w:val="clear" w:color="auto" w:fill="ACACAC"/>
          </w:tcPr>
          <w:p>
            <w:pPr>
              <w:spacing w:after="0"/>
              <w:rPr>
                <w:sz w:val="12"/>
                <w:szCs w:val="12"/>
                <w:color w:val="auto"/>
              </w:rPr>
            </w:pPr>
          </w:p>
        </w:tc>
        <w:tc>
          <w:tcPr>
            <w:tcW w:w="1680" w:type="dxa"/>
            <w:vAlign w:val="bottom"/>
            <w:gridSpan w:val="3"/>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800" w:type="dxa"/>
            <w:vAlign w:val="bottom"/>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780" w:type="dxa"/>
            <w:vAlign w:val="bottom"/>
            <w:vMerge w:val="restart"/>
            <w:shd w:val="clear" w:color="auto" w:fill="ACACAC"/>
          </w:tcPr>
          <w:p>
            <w:pPr>
              <w:jc w:val="right"/>
              <w:ind w:right="1"/>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2"/>
              <w:spacing w:after="0" w:line="149" w:lineRule="exact"/>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ACACAC"/>
          </w:tcPr>
          <w:p>
            <w:pPr>
              <w:spacing w:after="0"/>
              <w:rPr>
                <w:sz w:val="12"/>
                <w:szCs w:val="12"/>
                <w:color w:val="auto"/>
              </w:rPr>
            </w:pPr>
          </w:p>
        </w:tc>
        <w:tc>
          <w:tcPr>
            <w:tcW w:w="76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12"/>
                <w:szCs w:val="12"/>
                <w:color w:val="auto"/>
              </w:rPr>
            </w:pPr>
          </w:p>
        </w:tc>
        <w:tc>
          <w:tcPr>
            <w:tcW w:w="960" w:type="dxa"/>
            <w:vAlign w:val="bottom"/>
            <w:vMerge w:val="continue"/>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Shares</w:t>
            </w:r>
          </w:p>
        </w:tc>
        <w:tc>
          <w:tcPr>
            <w:tcW w:w="6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40" w:type="dxa"/>
            <w:vAlign w:val="bottom"/>
            <w:shd w:val="clear" w:color="auto" w:fill="ACACAC"/>
          </w:tcPr>
          <w:p>
            <w:pPr>
              <w:spacing w:after="0"/>
              <w:rPr>
                <w:sz w:val="12"/>
                <w:szCs w:val="12"/>
                <w:color w:val="auto"/>
              </w:rPr>
            </w:pPr>
          </w:p>
        </w:tc>
        <w:tc>
          <w:tcPr>
            <w:tcW w:w="8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paid-in</w:t>
            </w:r>
          </w:p>
        </w:tc>
        <w:tc>
          <w:tcPr>
            <w:tcW w:w="240" w:type="dxa"/>
            <w:vAlign w:val="bottom"/>
            <w:shd w:val="clear" w:color="auto" w:fill="ACACAC"/>
          </w:tcPr>
          <w:p>
            <w:pPr>
              <w:spacing w:after="0"/>
              <w:rPr>
                <w:sz w:val="12"/>
                <w:szCs w:val="12"/>
                <w:color w:val="auto"/>
              </w:rPr>
            </w:pPr>
          </w:p>
        </w:tc>
        <w:tc>
          <w:tcPr>
            <w:tcW w:w="78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2"/>
              <w:spacing w:after="0" w:line="149" w:lineRule="exact"/>
              <w:rPr>
                <w:sz w:val="20"/>
                <w:szCs w:val="20"/>
                <w:color w:val="auto"/>
              </w:rPr>
            </w:pPr>
            <w:r>
              <w:rPr>
                <w:rFonts w:ascii="Arial" w:cs="Arial" w:eastAsia="Arial" w:hAnsi="Arial"/>
                <w:sz w:val="14"/>
                <w:szCs w:val="14"/>
                <w:b w:val="1"/>
                <w:bCs w:val="1"/>
                <w:color w:val="FFFFFF"/>
                <w:w w:val="91"/>
              </w:rPr>
              <w:t>comprehensive</w:t>
            </w:r>
          </w:p>
        </w:tc>
        <w:tc>
          <w:tcPr>
            <w:tcW w:w="240" w:type="dxa"/>
            <w:vAlign w:val="bottom"/>
            <w:shd w:val="clear" w:color="auto" w:fill="ACACAC"/>
          </w:tcPr>
          <w:p>
            <w:pPr>
              <w:spacing w:after="0"/>
              <w:rPr>
                <w:sz w:val="12"/>
                <w:szCs w:val="12"/>
                <w:color w:val="auto"/>
              </w:rPr>
            </w:pPr>
          </w:p>
        </w:tc>
        <w:tc>
          <w:tcPr>
            <w:tcW w:w="76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9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w w:val="92"/>
              </w:rPr>
              <w:t>stockholders'</w:t>
            </w:r>
          </w:p>
        </w:tc>
        <w:tc>
          <w:tcPr>
            <w:tcW w:w="0" w:type="dxa"/>
            <w:vAlign w:val="bottom"/>
          </w:tcPr>
          <w:p>
            <w:pPr>
              <w:spacing w:after="0"/>
              <w:rPr>
                <w:sz w:val="1"/>
                <w:szCs w:val="1"/>
                <w:color w:val="auto"/>
              </w:rPr>
            </w:pPr>
          </w:p>
        </w:tc>
      </w:tr>
      <w:tr>
        <w:trPr>
          <w:trHeight w:val="198"/>
        </w:trPr>
        <w:tc>
          <w:tcPr>
            <w:tcW w:w="4160" w:type="dxa"/>
            <w:vAlign w:val="bottom"/>
            <w:vMerge w:val="continue"/>
            <w:shd w:val="clear" w:color="auto" w:fill="ACACAC"/>
          </w:tcPr>
          <w:p>
            <w:pPr>
              <w:spacing w:after="0"/>
              <w:rPr>
                <w:sz w:val="17"/>
                <w:szCs w:val="17"/>
                <w:color w:val="auto"/>
              </w:rPr>
            </w:pPr>
          </w:p>
        </w:tc>
        <w:tc>
          <w:tcPr>
            <w:tcW w:w="1020" w:type="dxa"/>
            <w:vAlign w:val="bottom"/>
            <w:vMerge w:val="continue"/>
            <w:shd w:val="clear" w:color="auto" w:fill="ACACAC"/>
          </w:tcPr>
          <w:p>
            <w:pPr>
              <w:spacing w:after="0"/>
              <w:rPr>
                <w:sz w:val="17"/>
                <w:szCs w:val="17"/>
                <w:color w:val="auto"/>
              </w:rPr>
            </w:pPr>
          </w:p>
        </w:tc>
        <w:tc>
          <w:tcPr>
            <w:tcW w:w="660" w:type="dxa"/>
            <w:vAlign w:val="bottom"/>
            <w:gridSpan w:val="2"/>
            <w:vMerge w:val="continue"/>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40" w:type="dxa"/>
            <w:vAlign w:val="bottom"/>
            <w:shd w:val="clear" w:color="auto" w:fill="ACACAC"/>
          </w:tcPr>
          <w:p>
            <w:pPr>
              <w:spacing w:after="0"/>
              <w:rPr>
                <w:sz w:val="17"/>
                <w:szCs w:val="17"/>
                <w:color w:val="auto"/>
              </w:rPr>
            </w:pPr>
          </w:p>
        </w:tc>
        <w:tc>
          <w:tcPr>
            <w:tcW w:w="780" w:type="dxa"/>
            <w:vAlign w:val="bottom"/>
            <w:shd w:val="clear" w:color="auto" w:fill="ACACAC"/>
          </w:tcPr>
          <w:p>
            <w:pPr>
              <w:jc w:val="right"/>
              <w:ind w:right="1"/>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7"/>
                <w:szCs w:val="17"/>
                <w:color w:val="auto"/>
              </w:rPr>
            </w:pPr>
          </w:p>
        </w:tc>
        <w:tc>
          <w:tcPr>
            <w:tcW w:w="106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7"/>
                <w:szCs w:val="17"/>
                <w:color w:val="auto"/>
              </w:rPr>
            </w:pPr>
          </w:p>
        </w:tc>
        <w:tc>
          <w:tcPr>
            <w:tcW w:w="7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7"/>
                <w:szCs w:val="17"/>
                <w:color w:val="auto"/>
              </w:rPr>
            </w:pPr>
          </w:p>
        </w:tc>
        <w:tc>
          <w:tcPr>
            <w:tcW w:w="9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4"/>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2019</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60,206,091</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457,804</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(290,665)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(5,290)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234,855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396,764</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Net income</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4,639</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4,639</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(5,960)</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(5,960)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rPr>
              <w:t>Exercise of stock options and vesting of restricted stock</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units</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210,057</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rPr>
              <w:t>Employee taxes paid for 245,358 withheld shares upon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(19,782)</w:t>
            </w: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(19,782)</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13,539</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41</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13,580</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563,947</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(47,456)</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loss</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(8,850)</w:t>
            </w:r>
          </w:p>
        </w:tc>
        <w:tc>
          <w:tcPr>
            <w:tcW w:w="24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(8,850)</w:t>
            </w:r>
          </w:p>
        </w:tc>
        <w:tc>
          <w:tcPr>
            <w:tcW w:w="0" w:type="dxa"/>
            <w:vAlign w:val="bottom"/>
          </w:tcPr>
          <w:p>
            <w:pPr>
              <w:spacing w:after="0"/>
              <w:rPr>
                <w:sz w:val="1"/>
                <w:szCs w:val="1"/>
                <w:color w:val="auto"/>
              </w:rPr>
            </w:pPr>
          </w:p>
        </w:tc>
      </w:tr>
      <w:tr>
        <w:trPr>
          <w:trHeight w:val="33"/>
        </w:trPr>
        <w:tc>
          <w:tcPr>
            <w:tcW w:w="4160" w:type="dxa"/>
            <w:vAlign w:val="bottom"/>
            <w:tcBorders>
              <w:bottom w:val="single" w:sz="8" w:color="F4F4F4"/>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b w:val="1"/>
                <w:bCs w:val="1"/>
                <w:color w:val="auto"/>
              </w:rPr>
              <w:t>Balance at March 31, 2020</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60,932,639</w:t>
            </w:r>
          </w:p>
        </w:tc>
        <w:tc>
          <w:tcPr>
            <w:tcW w:w="280" w:type="dxa"/>
            <w:vAlign w:val="bottom"/>
            <w:tcBorders>
              <w:bottom w:val="single" w:sz="8" w:color="F4F4F4"/>
            </w:tcBorders>
            <w:shd w:val="clear" w:color="auto" w:fill="F4F4F4"/>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471,344</w:t>
            </w:r>
          </w:p>
        </w:tc>
        <w:tc>
          <w:tcPr>
            <w:tcW w:w="2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(310,447)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(14,140)</w:t>
            </w:r>
          </w:p>
        </w:tc>
        <w:tc>
          <w:tcPr>
            <w:tcW w:w="24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233,575</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380,393</w:t>
            </w:r>
          </w:p>
        </w:tc>
        <w:tc>
          <w:tcPr>
            <w:tcW w:w="0" w:type="dxa"/>
            <w:vAlign w:val="bottom"/>
          </w:tcPr>
          <w:p>
            <w:pPr>
              <w:spacing w:after="0"/>
              <w:rPr>
                <w:sz w:val="1"/>
                <w:szCs w:val="1"/>
                <w:color w:val="auto"/>
              </w:rPr>
            </w:pPr>
          </w:p>
        </w:tc>
      </w:tr>
      <w:tr>
        <w:trPr>
          <w:trHeight w:val="547"/>
        </w:trPr>
        <w:tc>
          <w:tcPr>
            <w:tcW w:w="4160" w:type="dxa"/>
            <w:vAlign w:val="bottom"/>
            <w:tcBorders>
              <w:top w:val="single" w:sz="8" w:color="71BF43"/>
            </w:tcBorders>
          </w:tcPr>
          <w:p>
            <w:pPr>
              <w:spacing w:after="0"/>
              <w:rPr>
                <w:sz w:val="24"/>
                <w:szCs w:val="24"/>
                <w:color w:val="auto"/>
              </w:rPr>
            </w:pPr>
          </w:p>
        </w:tc>
        <w:tc>
          <w:tcPr>
            <w:tcW w:w="1020" w:type="dxa"/>
            <w:vAlign w:val="bottom"/>
            <w:tcBorders>
              <w:top w:val="single" w:sz="8" w:color="71BF43"/>
            </w:tcBorders>
          </w:tcPr>
          <w:p>
            <w:pPr>
              <w:spacing w:after="0"/>
              <w:rPr>
                <w:sz w:val="24"/>
                <w:szCs w:val="24"/>
                <w:color w:val="auto"/>
              </w:rPr>
            </w:pPr>
          </w:p>
        </w:tc>
        <w:tc>
          <w:tcPr>
            <w:tcW w:w="280" w:type="dxa"/>
            <w:vAlign w:val="bottom"/>
            <w:tcBorders>
              <w:top w:val="single" w:sz="8" w:color="71BF43"/>
            </w:tcBorders>
          </w:tcPr>
          <w:p>
            <w:pPr>
              <w:spacing w:after="0"/>
              <w:rPr>
                <w:sz w:val="24"/>
                <w:szCs w:val="24"/>
                <w:color w:val="auto"/>
              </w:rPr>
            </w:pPr>
          </w:p>
        </w:tc>
        <w:tc>
          <w:tcPr>
            <w:tcW w:w="38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80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780" w:type="dxa"/>
            <w:vAlign w:val="bottom"/>
            <w:tcBorders>
              <w:top w:val="single" w:sz="8" w:color="71BF43"/>
            </w:tcBorders>
          </w:tcPr>
          <w:p>
            <w:pPr>
              <w:spacing w:after="0"/>
              <w:rPr>
                <w:sz w:val="24"/>
                <w:szCs w:val="24"/>
                <w:color w:val="auto"/>
              </w:rPr>
            </w:pPr>
          </w:p>
        </w:tc>
        <w:tc>
          <w:tcPr>
            <w:tcW w:w="160" w:type="dxa"/>
            <w:vAlign w:val="bottom"/>
            <w:tcBorders>
              <w:top w:val="single" w:sz="8" w:color="71BF43"/>
            </w:tcBorders>
          </w:tcPr>
          <w:p>
            <w:pPr>
              <w:spacing w:after="0"/>
              <w:rPr>
                <w:sz w:val="24"/>
                <w:szCs w:val="24"/>
                <w:color w:val="auto"/>
              </w:rPr>
            </w:pPr>
          </w:p>
        </w:tc>
        <w:tc>
          <w:tcPr>
            <w:tcW w:w="106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760" w:type="dxa"/>
            <w:vAlign w:val="bottom"/>
            <w:tcBorders>
              <w:top w:val="single" w:sz="8" w:color="71BF43"/>
            </w:tcBorders>
          </w:tcPr>
          <w:p>
            <w:pPr>
              <w:spacing w:after="0"/>
              <w:rPr>
                <w:sz w:val="24"/>
                <w:szCs w:val="24"/>
                <w:color w:val="auto"/>
              </w:rPr>
            </w:pPr>
          </w:p>
        </w:tc>
        <w:tc>
          <w:tcPr>
            <w:tcW w:w="160" w:type="dxa"/>
            <w:vAlign w:val="bottom"/>
            <w:tcBorders>
              <w:top w:val="single" w:sz="8" w:color="71BF43"/>
            </w:tcBorders>
          </w:tcPr>
          <w:p>
            <w:pPr>
              <w:spacing w:after="0"/>
              <w:rPr>
                <w:sz w:val="24"/>
                <w:szCs w:val="24"/>
                <w:color w:val="auto"/>
              </w:rPr>
            </w:pPr>
          </w:p>
        </w:tc>
        <w:tc>
          <w:tcPr>
            <w:tcW w:w="960" w:type="dxa"/>
            <w:vAlign w:val="bottom"/>
            <w:tcBorders>
              <w:top w:val="single" w:sz="8" w:color="71BF43"/>
            </w:tcBorders>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shd w:val="clear" w:color="auto" w:fill="ACACAC"/>
          </w:tcPr>
          <w:p>
            <w:pPr>
              <w:spacing w:after="0"/>
              <w:rPr>
                <w:sz w:val="13"/>
                <w:szCs w:val="13"/>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240" w:type="dxa"/>
            <w:vAlign w:val="bottom"/>
            <w:shd w:val="clear" w:color="auto" w:fill="ACACAC"/>
          </w:tcPr>
          <w:p>
            <w:pPr>
              <w:spacing w:after="0"/>
              <w:rPr>
                <w:sz w:val="13"/>
                <w:szCs w:val="13"/>
                <w:color w:val="auto"/>
              </w:rPr>
            </w:pPr>
          </w:p>
        </w:tc>
        <w:tc>
          <w:tcPr>
            <w:tcW w:w="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240" w:type="dxa"/>
            <w:vAlign w:val="bottom"/>
            <w:shd w:val="clear" w:color="auto" w:fill="ACACAC"/>
          </w:tcPr>
          <w:p>
            <w:pPr>
              <w:spacing w:after="0"/>
              <w:rPr>
                <w:sz w:val="13"/>
                <w:szCs w:val="13"/>
                <w:color w:val="auto"/>
              </w:rPr>
            </w:pPr>
          </w:p>
        </w:tc>
        <w:tc>
          <w:tcPr>
            <w:tcW w:w="780" w:type="dxa"/>
            <w:vAlign w:val="bottom"/>
            <w:shd w:val="clear" w:color="auto" w:fill="ACACAC"/>
          </w:tcPr>
          <w:p>
            <w:pPr>
              <w:spacing w:after="0"/>
              <w:rPr>
                <w:sz w:val="13"/>
                <w:szCs w:val="13"/>
                <w:color w:val="auto"/>
              </w:rPr>
            </w:pPr>
          </w:p>
        </w:tc>
        <w:tc>
          <w:tcPr>
            <w:tcW w:w="160" w:type="dxa"/>
            <w:vAlign w:val="bottom"/>
            <w:shd w:val="clear" w:color="auto" w:fill="ACACAC"/>
          </w:tcPr>
          <w:p>
            <w:pPr>
              <w:spacing w:after="0"/>
              <w:rPr>
                <w:sz w:val="13"/>
                <w:szCs w:val="13"/>
                <w:color w:val="auto"/>
              </w:rPr>
            </w:pPr>
          </w:p>
        </w:tc>
        <w:tc>
          <w:tcPr>
            <w:tcW w:w="1060" w:type="dxa"/>
            <w:vAlign w:val="bottom"/>
            <w:shd w:val="clear" w:color="auto" w:fill="ACACAC"/>
          </w:tcPr>
          <w:p>
            <w:pPr>
              <w:jc w:val="right"/>
              <w:ind w:right="22"/>
              <w:spacing w:after="0" w:line="153" w:lineRule="exact"/>
              <w:rPr>
                <w:sz w:val="20"/>
                <w:szCs w:val="20"/>
                <w:color w:val="auto"/>
              </w:rPr>
            </w:pPr>
            <w:r>
              <w:rPr>
                <w:rFonts w:ascii="Arial" w:cs="Arial" w:eastAsia="Arial" w:hAnsi="Arial"/>
                <w:sz w:val="14"/>
                <w:szCs w:val="14"/>
                <w:b w:val="1"/>
                <w:bCs w:val="1"/>
                <w:color w:val="FFFFFF"/>
              </w:rPr>
              <w:t>Accumulated</w:t>
            </w:r>
          </w:p>
        </w:tc>
        <w:tc>
          <w:tcPr>
            <w:tcW w:w="240" w:type="dxa"/>
            <w:vAlign w:val="bottom"/>
            <w:shd w:val="clear" w:color="auto" w:fill="ACACAC"/>
          </w:tcPr>
          <w:p>
            <w:pPr>
              <w:spacing w:after="0"/>
              <w:rPr>
                <w:sz w:val="13"/>
                <w:szCs w:val="13"/>
                <w:color w:val="auto"/>
              </w:rPr>
            </w:pPr>
          </w:p>
        </w:tc>
        <w:tc>
          <w:tcPr>
            <w:tcW w:w="760" w:type="dxa"/>
            <w:vAlign w:val="bottom"/>
            <w:shd w:val="clear" w:color="auto" w:fill="ACACAC"/>
          </w:tcPr>
          <w:p>
            <w:pPr>
              <w:spacing w:after="0"/>
              <w:rPr>
                <w:sz w:val="13"/>
                <w:szCs w:val="13"/>
                <w:color w:val="auto"/>
              </w:rPr>
            </w:pPr>
          </w:p>
        </w:tc>
        <w:tc>
          <w:tcPr>
            <w:tcW w:w="160" w:type="dxa"/>
            <w:vAlign w:val="bottom"/>
            <w:shd w:val="clear" w:color="auto" w:fill="ACACAC"/>
          </w:tcPr>
          <w:p>
            <w:pPr>
              <w:spacing w:after="0"/>
              <w:rPr>
                <w:sz w:val="13"/>
                <w:szCs w:val="13"/>
                <w:color w:val="auto"/>
              </w:rPr>
            </w:pPr>
          </w:p>
        </w:tc>
        <w:tc>
          <w:tcPr>
            <w:tcW w:w="96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4160" w:type="dxa"/>
            <w:vAlign w:val="bottom"/>
            <w:shd w:val="clear" w:color="auto" w:fill="ACACAC"/>
          </w:tcPr>
          <w:p>
            <w:pPr>
              <w:spacing w:after="0"/>
              <w:rPr>
                <w:sz w:val="12"/>
                <w:szCs w:val="12"/>
                <w:color w:val="auto"/>
              </w:rPr>
            </w:pPr>
          </w:p>
        </w:tc>
        <w:tc>
          <w:tcPr>
            <w:tcW w:w="1680" w:type="dxa"/>
            <w:vAlign w:val="bottom"/>
            <w:gridSpan w:val="3"/>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800" w:type="dxa"/>
            <w:vAlign w:val="bottom"/>
            <w:vMerge w:val="continue"/>
            <w:shd w:val="clear" w:color="auto" w:fill="ACACAC"/>
          </w:tcPr>
          <w:p>
            <w:pPr>
              <w:spacing w:after="0"/>
              <w:rPr>
                <w:sz w:val="12"/>
                <w:szCs w:val="12"/>
                <w:color w:val="auto"/>
              </w:rPr>
            </w:pPr>
          </w:p>
        </w:tc>
        <w:tc>
          <w:tcPr>
            <w:tcW w:w="240" w:type="dxa"/>
            <w:vAlign w:val="bottom"/>
            <w:shd w:val="clear" w:color="auto" w:fill="ACACAC"/>
          </w:tcPr>
          <w:p>
            <w:pPr>
              <w:spacing w:after="0"/>
              <w:rPr>
                <w:sz w:val="12"/>
                <w:szCs w:val="12"/>
                <w:color w:val="auto"/>
              </w:rPr>
            </w:pPr>
          </w:p>
        </w:tc>
        <w:tc>
          <w:tcPr>
            <w:tcW w:w="780" w:type="dxa"/>
            <w:vAlign w:val="bottom"/>
            <w:vMerge w:val="restart"/>
            <w:shd w:val="clear" w:color="auto" w:fill="ACACAC"/>
          </w:tcPr>
          <w:p>
            <w:pPr>
              <w:jc w:val="right"/>
              <w:ind w:right="1"/>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2"/>
              <w:spacing w:after="0" w:line="149" w:lineRule="exact"/>
              <w:rPr>
                <w:sz w:val="20"/>
                <w:szCs w:val="20"/>
                <w:color w:val="auto"/>
              </w:rPr>
            </w:pPr>
            <w:r>
              <w:rPr>
                <w:rFonts w:ascii="Arial" w:cs="Arial" w:eastAsia="Arial" w:hAnsi="Arial"/>
                <w:sz w:val="14"/>
                <w:szCs w:val="14"/>
                <w:b w:val="1"/>
                <w:bCs w:val="1"/>
                <w:color w:val="FFFFFF"/>
              </w:rPr>
              <w:t>other</w:t>
            </w:r>
          </w:p>
        </w:tc>
        <w:tc>
          <w:tcPr>
            <w:tcW w:w="240" w:type="dxa"/>
            <w:vAlign w:val="bottom"/>
            <w:shd w:val="clear" w:color="auto" w:fill="ACACAC"/>
          </w:tcPr>
          <w:p>
            <w:pPr>
              <w:spacing w:after="0"/>
              <w:rPr>
                <w:sz w:val="12"/>
                <w:szCs w:val="12"/>
                <w:color w:val="auto"/>
              </w:rPr>
            </w:pPr>
          </w:p>
        </w:tc>
        <w:tc>
          <w:tcPr>
            <w:tcW w:w="76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Retained</w:t>
            </w:r>
          </w:p>
        </w:tc>
        <w:tc>
          <w:tcPr>
            <w:tcW w:w="160" w:type="dxa"/>
            <w:vAlign w:val="bottom"/>
            <w:shd w:val="clear" w:color="auto" w:fill="ACACAC"/>
          </w:tcPr>
          <w:p>
            <w:pPr>
              <w:spacing w:after="0"/>
              <w:rPr>
                <w:sz w:val="12"/>
                <w:szCs w:val="12"/>
                <w:color w:val="auto"/>
              </w:rPr>
            </w:pPr>
          </w:p>
        </w:tc>
        <w:tc>
          <w:tcPr>
            <w:tcW w:w="960" w:type="dxa"/>
            <w:vAlign w:val="bottom"/>
            <w:vMerge w:val="continue"/>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02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Shares</w:t>
            </w:r>
          </w:p>
        </w:tc>
        <w:tc>
          <w:tcPr>
            <w:tcW w:w="6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240" w:type="dxa"/>
            <w:vAlign w:val="bottom"/>
            <w:shd w:val="clear" w:color="auto" w:fill="ACACAC"/>
          </w:tcPr>
          <w:p>
            <w:pPr>
              <w:spacing w:after="0"/>
              <w:rPr>
                <w:sz w:val="12"/>
                <w:szCs w:val="12"/>
                <w:color w:val="auto"/>
              </w:rPr>
            </w:pPr>
          </w:p>
        </w:tc>
        <w:tc>
          <w:tcPr>
            <w:tcW w:w="800" w:type="dxa"/>
            <w:vAlign w:val="bottom"/>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paid-in</w:t>
            </w:r>
          </w:p>
        </w:tc>
        <w:tc>
          <w:tcPr>
            <w:tcW w:w="240" w:type="dxa"/>
            <w:vAlign w:val="bottom"/>
            <w:shd w:val="clear" w:color="auto" w:fill="ACACAC"/>
          </w:tcPr>
          <w:p>
            <w:pPr>
              <w:spacing w:after="0"/>
              <w:rPr>
                <w:sz w:val="12"/>
                <w:szCs w:val="12"/>
                <w:color w:val="auto"/>
              </w:rPr>
            </w:pPr>
          </w:p>
        </w:tc>
        <w:tc>
          <w:tcPr>
            <w:tcW w:w="78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1060" w:type="dxa"/>
            <w:vAlign w:val="bottom"/>
            <w:shd w:val="clear" w:color="auto" w:fill="ACACAC"/>
          </w:tcPr>
          <w:p>
            <w:pPr>
              <w:jc w:val="right"/>
              <w:ind w:right="22"/>
              <w:spacing w:after="0" w:line="149" w:lineRule="exact"/>
              <w:rPr>
                <w:sz w:val="20"/>
                <w:szCs w:val="20"/>
                <w:color w:val="auto"/>
              </w:rPr>
            </w:pPr>
            <w:r>
              <w:rPr>
                <w:rFonts w:ascii="Arial" w:cs="Arial" w:eastAsia="Arial" w:hAnsi="Arial"/>
                <w:sz w:val="14"/>
                <w:szCs w:val="14"/>
                <w:b w:val="1"/>
                <w:bCs w:val="1"/>
                <w:color w:val="FFFFFF"/>
                <w:w w:val="91"/>
              </w:rPr>
              <w:t>comprehensive</w:t>
            </w:r>
          </w:p>
        </w:tc>
        <w:tc>
          <w:tcPr>
            <w:tcW w:w="240" w:type="dxa"/>
            <w:vAlign w:val="bottom"/>
            <w:shd w:val="clear" w:color="auto" w:fill="ACACAC"/>
          </w:tcPr>
          <w:p>
            <w:pPr>
              <w:spacing w:after="0"/>
              <w:rPr>
                <w:sz w:val="12"/>
                <w:szCs w:val="12"/>
                <w:color w:val="auto"/>
              </w:rPr>
            </w:pPr>
          </w:p>
        </w:tc>
        <w:tc>
          <w:tcPr>
            <w:tcW w:w="760" w:type="dxa"/>
            <w:vAlign w:val="bottom"/>
            <w:vMerge w:val="continue"/>
            <w:shd w:val="clear" w:color="auto" w:fill="ACACAC"/>
          </w:tcPr>
          <w:p>
            <w:pPr>
              <w:spacing w:after="0"/>
              <w:rPr>
                <w:sz w:val="12"/>
                <w:szCs w:val="12"/>
                <w:color w:val="auto"/>
              </w:rPr>
            </w:pPr>
          </w:p>
        </w:tc>
        <w:tc>
          <w:tcPr>
            <w:tcW w:w="160" w:type="dxa"/>
            <w:vAlign w:val="bottom"/>
            <w:shd w:val="clear" w:color="auto" w:fill="ACACAC"/>
          </w:tcPr>
          <w:p>
            <w:pPr>
              <w:spacing w:after="0"/>
              <w:rPr>
                <w:sz w:val="12"/>
                <w:szCs w:val="12"/>
                <w:color w:val="auto"/>
              </w:rPr>
            </w:pPr>
          </w:p>
        </w:tc>
        <w:tc>
          <w:tcPr>
            <w:tcW w:w="96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w w:val="92"/>
              </w:rPr>
              <w:t>stockholders'</w:t>
            </w:r>
          </w:p>
        </w:tc>
        <w:tc>
          <w:tcPr>
            <w:tcW w:w="0" w:type="dxa"/>
            <w:vAlign w:val="bottom"/>
          </w:tcPr>
          <w:p>
            <w:pPr>
              <w:spacing w:after="0"/>
              <w:rPr>
                <w:sz w:val="1"/>
                <w:szCs w:val="1"/>
                <w:color w:val="auto"/>
              </w:rPr>
            </w:pPr>
          </w:p>
        </w:tc>
      </w:tr>
      <w:tr>
        <w:trPr>
          <w:trHeight w:val="198"/>
        </w:trPr>
        <w:tc>
          <w:tcPr>
            <w:tcW w:w="4160" w:type="dxa"/>
            <w:vAlign w:val="bottom"/>
            <w:vMerge w:val="continue"/>
            <w:shd w:val="clear" w:color="auto" w:fill="ACACAC"/>
          </w:tcPr>
          <w:p>
            <w:pPr>
              <w:spacing w:after="0"/>
              <w:rPr>
                <w:sz w:val="17"/>
                <w:szCs w:val="17"/>
                <w:color w:val="auto"/>
              </w:rPr>
            </w:pPr>
          </w:p>
        </w:tc>
        <w:tc>
          <w:tcPr>
            <w:tcW w:w="1020" w:type="dxa"/>
            <w:vAlign w:val="bottom"/>
            <w:vMerge w:val="continue"/>
            <w:shd w:val="clear" w:color="auto" w:fill="ACACAC"/>
          </w:tcPr>
          <w:p>
            <w:pPr>
              <w:spacing w:after="0"/>
              <w:rPr>
                <w:sz w:val="17"/>
                <w:szCs w:val="17"/>
                <w:color w:val="auto"/>
              </w:rPr>
            </w:pPr>
          </w:p>
        </w:tc>
        <w:tc>
          <w:tcPr>
            <w:tcW w:w="660" w:type="dxa"/>
            <w:vAlign w:val="bottom"/>
            <w:gridSpan w:val="2"/>
            <w:vMerge w:val="continue"/>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8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240" w:type="dxa"/>
            <w:vAlign w:val="bottom"/>
            <w:shd w:val="clear" w:color="auto" w:fill="ACACAC"/>
          </w:tcPr>
          <w:p>
            <w:pPr>
              <w:spacing w:after="0"/>
              <w:rPr>
                <w:sz w:val="17"/>
                <w:szCs w:val="17"/>
                <w:color w:val="auto"/>
              </w:rPr>
            </w:pPr>
          </w:p>
        </w:tc>
        <w:tc>
          <w:tcPr>
            <w:tcW w:w="780" w:type="dxa"/>
            <w:vAlign w:val="bottom"/>
            <w:shd w:val="clear" w:color="auto" w:fill="ACACAC"/>
          </w:tcPr>
          <w:p>
            <w:pPr>
              <w:jc w:val="right"/>
              <w:ind w:right="1"/>
              <w:spacing w:after="0"/>
              <w:rPr>
                <w:sz w:val="20"/>
                <w:szCs w:val="20"/>
                <w:color w:val="auto"/>
              </w:rPr>
            </w:pPr>
            <w:r>
              <w:rPr>
                <w:rFonts w:ascii="Arial" w:cs="Arial" w:eastAsia="Arial" w:hAnsi="Arial"/>
                <w:sz w:val="14"/>
                <w:szCs w:val="14"/>
                <w:b w:val="1"/>
                <w:bCs w:val="1"/>
                <w:color w:val="FFFFFF"/>
              </w:rPr>
              <w:t>stock</w:t>
            </w:r>
          </w:p>
        </w:tc>
        <w:tc>
          <w:tcPr>
            <w:tcW w:w="160" w:type="dxa"/>
            <w:vAlign w:val="bottom"/>
            <w:shd w:val="clear" w:color="auto" w:fill="ACACAC"/>
          </w:tcPr>
          <w:p>
            <w:pPr>
              <w:spacing w:after="0"/>
              <w:rPr>
                <w:sz w:val="17"/>
                <w:szCs w:val="17"/>
                <w:color w:val="auto"/>
              </w:rPr>
            </w:pPr>
          </w:p>
        </w:tc>
        <w:tc>
          <w:tcPr>
            <w:tcW w:w="106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income (loss)</w:t>
            </w:r>
          </w:p>
        </w:tc>
        <w:tc>
          <w:tcPr>
            <w:tcW w:w="240" w:type="dxa"/>
            <w:vAlign w:val="bottom"/>
            <w:shd w:val="clear" w:color="auto" w:fill="ACACAC"/>
          </w:tcPr>
          <w:p>
            <w:pPr>
              <w:spacing w:after="0"/>
              <w:rPr>
                <w:sz w:val="17"/>
                <w:szCs w:val="17"/>
                <w:color w:val="auto"/>
              </w:rPr>
            </w:pPr>
          </w:p>
        </w:tc>
        <w:tc>
          <w:tcPr>
            <w:tcW w:w="7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earnings</w:t>
            </w:r>
          </w:p>
        </w:tc>
        <w:tc>
          <w:tcPr>
            <w:tcW w:w="160" w:type="dxa"/>
            <w:vAlign w:val="bottom"/>
            <w:shd w:val="clear" w:color="auto" w:fill="ACACAC"/>
          </w:tcPr>
          <w:p>
            <w:pPr>
              <w:spacing w:after="0"/>
              <w:rPr>
                <w:sz w:val="17"/>
                <w:szCs w:val="17"/>
                <w:color w:val="auto"/>
              </w:rPr>
            </w:pPr>
          </w:p>
        </w:tc>
        <w:tc>
          <w:tcPr>
            <w:tcW w:w="96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3"/>
        </w:trPr>
        <w:tc>
          <w:tcPr>
            <w:tcW w:w="4160" w:type="dxa"/>
            <w:vAlign w:val="bottom"/>
          </w:tcPr>
          <w:p>
            <w:pPr>
              <w:ind w:left="40"/>
              <w:spacing w:after="0"/>
              <w:rPr>
                <w:sz w:val="20"/>
                <w:szCs w:val="20"/>
                <w:color w:val="auto"/>
              </w:rPr>
            </w:pPr>
            <w:r>
              <w:rPr>
                <w:rFonts w:ascii="Arial" w:cs="Arial" w:eastAsia="Arial" w:hAnsi="Arial"/>
                <w:sz w:val="16"/>
                <w:szCs w:val="16"/>
                <w:b w:val="1"/>
                <w:bCs w:val="1"/>
                <w:color w:val="auto"/>
              </w:rPr>
              <w:t>Balance at December 31, 2018</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59,327,633</w:t>
            </w:r>
          </w:p>
        </w:tc>
        <w:tc>
          <w:tcPr>
            <w:tcW w:w="28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59</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399,241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(266,884)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(5,110)</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246,477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373,783</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Net loss</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(1,122)</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Payment of dividends ($0.12 per share)</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(5,901)</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(5,901)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4160" w:type="dxa"/>
            <w:vAlign w:val="bottom"/>
            <w:shd w:val="clear" w:color="auto" w:fill="F4F4F4"/>
          </w:tcPr>
          <w:p>
            <w:pPr>
              <w:ind w:left="180"/>
              <w:spacing w:after="0"/>
              <w:rPr>
                <w:sz w:val="20"/>
                <w:szCs w:val="20"/>
                <w:color w:val="auto"/>
              </w:rPr>
            </w:pPr>
            <w:r>
              <w:rPr>
                <w:rFonts w:ascii="Arial" w:cs="Arial" w:eastAsia="Arial" w:hAnsi="Arial"/>
                <w:sz w:val="16"/>
                <w:szCs w:val="16"/>
                <w:color w:val="auto"/>
                <w:w w:val="95"/>
              </w:rPr>
              <w:t>Exercise of stock options and stock appreciation rights and</w:t>
            </w:r>
          </w:p>
        </w:tc>
        <w:tc>
          <w:tcPr>
            <w:tcW w:w="102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38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8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760" w:type="dxa"/>
            <w:vAlign w:val="bottom"/>
            <w:shd w:val="clear" w:color="auto" w:fill="F4F4F4"/>
          </w:tcPr>
          <w:p>
            <w:pPr>
              <w:spacing w:after="0"/>
              <w:rPr>
                <w:sz w:val="19"/>
                <w:szCs w:val="19"/>
                <w:color w:val="auto"/>
              </w:rPr>
            </w:pPr>
          </w:p>
        </w:tc>
        <w:tc>
          <w:tcPr>
            <w:tcW w:w="160" w:type="dxa"/>
            <w:vAlign w:val="bottom"/>
            <w:shd w:val="clear" w:color="auto" w:fill="F4F4F4"/>
          </w:tcPr>
          <w:p>
            <w:pPr>
              <w:spacing w:after="0"/>
              <w:rPr>
                <w:sz w:val="19"/>
                <w:szCs w:val="19"/>
                <w:color w:val="auto"/>
              </w:rPr>
            </w:pPr>
          </w:p>
        </w:tc>
        <w:tc>
          <w:tcPr>
            <w:tcW w:w="96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vesting of restricted stock units</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234,453</w:t>
            </w:r>
          </w:p>
        </w:tc>
        <w:tc>
          <w:tcPr>
            <w:tcW w:w="280" w:type="dxa"/>
            <w:vAlign w:val="bottom"/>
            <w:tcBorders>
              <w:bottom w:val="single" w:sz="8" w:color="F4F4F4"/>
            </w:tcBorders>
            <w:shd w:val="clear" w:color="auto" w:fill="F4F4F4"/>
          </w:tcPr>
          <w:p>
            <w:pPr>
              <w:spacing w:after="0"/>
              <w:rPr>
                <w:sz w:val="19"/>
                <w:szCs w:val="19"/>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F4F4F4"/>
            </w:tcBorders>
            <w:shd w:val="clear" w:color="auto" w:fill="F4F4F4"/>
          </w:tcPr>
          <w:p>
            <w:pPr>
              <w:spacing w:after="0"/>
              <w:rPr>
                <w:sz w:val="19"/>
                <w:szCs w:val="19"/>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19"/>
                <w:szCs w:val="19"/>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19"/>
                <w:szCs w:val="19"/>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0"/>
        </w:trPr>
        <w:tc>
          <w:tcPr>
            <w:tcW w:w="4160" w:type="dxa"/>
            <w:vAlign w:val="bottom"/>
          </w:tcPr>
          <w:p>
            <w:pPr>
              <w:ind w:left="180"/>
              <w:spacing w:after="0"/>
              <w:rPr>
                <w:sz w:val="20"/>
                <w:szCs w:val="20"/>
                <w:color w:val="auto"/>
              </w:rPr>
            </w:pPr>
            <w:r>
              <w:rPr>
                <w:rFonts w:ascii="Arial" w:cs="Arial" w:eastAsia="Arial" w:hAnsi="Arial"/>
                <w:sz w:val="16"/>
                <w:szCs w:val="16"/>
                <w:color w:val="auto"/>
              </w:rPr>
              <w:t>Employee taxes paid for 239,311 withheld shares upon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160" w:type="dxa"/>
            <w:vAlign w:val="bottom"/>
          </w:tcPr>
          <w:p>
            <w:pPr>
              <w:ind w:left="180"/>
              <w:spacing w:after="0"/>
              <w:rPr>
                <w:sz w:val="20"/>
                <w:szCs w:val="20"/>
                <w:color w:val="auto"/>
              </w:rPr>
            </w:pPr>
            <w:r>
              <w:rPr>
                <w:rFonts w:ascii="Arial" w:cs="Arial" w:eastAsia="Arial" w:hAnsi="Arial"/>
                <w:sz w:val="16"/>
                <w:szCs w:val="16"/>
                <w:color w:val="auto"/>
              </w:rPr>
              <w:t>equity award settlement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(18,400)</w:t>
            </w:r>
          </w:p>
        </w:tc>
        <w:tc>
          <w:tcPr>
            <w:tcW w:w="16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(18,400)</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Stock-based compensation</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13,693</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33</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13,726</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Restricted stock grants</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663,906</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4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16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6"/>
                <w:szCs w:val="16"/>
                <w:color w:val="auto"/>
              </w:rPr>
              <w:t>Restricted stock cancellations</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(43,314)</w:t>
            </w:r>
          </w:p>
        </w:tc>
        <w:tc>
          <w:tcPr>
            <w:tcW w:w="280" w:type="dxa"/>
            <w:vAlign w:val="bottom"/>
            <w:tcBorders>
              <w:bottom w:val="single" w:sz="8" w:color="F4F4F4"/>
            </w:tcBorders>
            <w:shd w:val="clear" w:color="auto" w:fill="F4F4F4"/>
          </w:tcPr>
          <w:p>
            <w:pPr>
              <w:spacing w:after="0"/>
              <w:rPr>
                <w:sz w:val="20"/>
                <w:szCs w:val="20"/>
                <w:color w:val="auto"/>
              </w:rPr>
            </w:pP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8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106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F4F4F4"/>
            </w:tcBorders>
            <w:shd w:val="clear" w:color="auto" w:fill="F4F4F4"/>
          </w:tcPr>
          <w:p>
            <w:pPr>
              <w:spacing w:after="0"/>
              <w:rPr>
                <w:sz w:val="20"/>
                <w:szCs w:val="20"/>
                <w:color w:val="auto"/>
              </w:rPr>
            </w:pP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F4F4F4"/>
            </w:tcBorders>
            <w:shd w:val="clear" w:color="auto" w:fill="F4F4F4"/>
          </w:tcPr>
          <w:p>
            <w:pPr>
              <w:spacing w:after="0"/>
              <w:rPr>
                <w:sz w:val="20"/>
                <w:szCs w:val="20"/>
                <w:color w:val="auto"/>
              </w:rPr>
            </w:pP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160" w:type="dxa"/>
            <w:vAlign w:val="bottom"/>
          </w:tcPr>
          <w:p>
            <w:pPr>
              <w:ind w:left="180"/>
              <w:spacing w:after="0"/>
              <w:rPr>
                <w:sz w:val="20"/>
                <w:szCs w:val="20"/>
                <w:color w:val="auto"/>
              </w:rPr>
            </w:pPr>
            <w:r>
              <w:rPr>
                <w:rFonts w:ascii="Arial" w:cs="Arial" w:eastAsia="Arial" w:hAnsi="Arial"/>
                <w:sz w:val="16"/>
                <w:szCs w:val="16"/>
                <w:color w:val="auto"/>
              </w:rPr>
              <w:t>Other comprehensive income</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60" w:type="dxa"/>
            <w:vAlign w:val="bottom"/>
          </w:tcPr>
          <w:p>
            <w:pPr>
              <w:jc w:val="right"/>
              <w:ind w:right="22"/>
              <w:spacing w:after="0"/>
              <w:rPr>
                <w:sz w:val="20"/>
                <w:szCs w:val="20"/>
                <w:color w:val="auto"/>
              </w:rPr>
            </w:pPr>
            <w:r>
              <w:rPr>
                <w:rFonts w:ascii="Arial" w:cs="Arial" w:eastAsia="Arial" w:hAnsi="Arial"/>
                <w:sz w:val="16"/>
                <w:szCs w:val="16"/>
                <w:color w:val="auto"/>
              </w:rPr>
              <w:t>3,658</w:t>
            </w:r>
          </w:p>
        </w:tc>
        <w:tc>
          <w:tcPr>
            <w:tcW w:w="240" w:type="dxa"/>
            <w:vAlign w:val="bottom"/>
          </w:tcPr>
          <w:p>
            <w:pPr>
              <w:spacing w:after="0"/>
              <w:rPr>
                <w:sz w:val="19"/>
                <w:szCs w:val="19"/>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60" w:type="dxa"/>
            <w:vAlign w:val="bottom"/>
          </w:tcPr>
          <w:p>
            <w:pPr>
              <w:jc w:val="right"/>
              <w:ind w:right="21"/>
              <w:spacing w:after="0"/>
              <w:rPr>
                <w:sz w:val="20"/>
                <w:szCs w:val="20"/>
                <w:color w:val="auto"/>
              </w:rPr>
            </w:pPr>
            <w:r>
              <w:rPr>
                <w:rFonts w:ascii="Arial" w:cs="Arial" w:eastAsia="Arial" w:hAnsi="Arial"/>
                <w:sz w:val="16"/>
                <w:szCs w:val="16"/>
                <w:color w:val="auto"/>
              </w:rPr>
              <w:t>3,658</w:t>
            </w:r>
          </w:p>
        </w:tc>
        <w:tc>
          <w:tcPr>
            <w:tcW w:w="0" w:type="dxa"/>
            <w:vAlign w:val="bottom"/>
          </w:tcPr>
          <w:p>
            <w:pPr>
              <w:spacing w:after="0"/>
              <w:rPr>
                <w:sz w:val="1"/>
                <w:szCs w:val="1"/>
                <w:color w:val="auto"/>
              </w:rPr>
            </w:pPr>
          </w:p>
        </w:tc>
      </w:tr>
      <w:tr>
        <w:trPr>
          <w:trHeight w:val="33"/>
        </w:trPr>
        <w:tc>
          <w:tcPr>
            <w:tcW w:w="4160" w:type="dxa"/>
            <w:vAlign w:val="bottom"/>
            <w:tcBorders>
              <w:bottom w:val="single" w:sz="8" w:color="F4F4F4"/>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6"/>
                <w:szCs w:val="16"/>
                <w:b w:val="1"/>
                <w:bCs w:val="1"/>
                <w:color w:val="auto"/>
              </w:rPr>
              <w:t>Balance at March 31, 2019</w:t>
            </w:r>
          </w:p>
        </w:tc>
        <w:tc>
          <w:tcPr>
            <w:tcW w:w="102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60,182,678</w:t>
            </w:r>
          </w:p>
        </w:tc>
        <w:tc>
          <w:tcPr>
            <w:tcW w:w="280" w:type="dxa"/>
            <w:vAlign w:val="bottom"/>
            <w:tcBorders>
              <w:bottom w:val="single" w:sz="8" w:color="F4F4F4"/>
            </w:tcBorders>
            <w:shd w:val="clear" w:color="auto" w:fill="F4F4F4"/>
          </w:tcPr>
          <w:p>
            <w:pPr>
              <w:jc w:val="right"/>
              <w:ind w:right="82"/>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60</w:t>
            </w:r>
          </w:p>
        </w:tc>
        <w:tc>
          <w:tcPr>
            <w:tcW w:w="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412,937</w:t>
            </w:r>
          </w:p>
        </w:tc>
        <w:tc>
          <w:tcPr>
            <w:tcW w:w="24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(285,284)</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(1,452)</w:t>
            </w:r>
          </w:p>
        </w:tc>
        <w:tc>
          <w:tcPr>
            <w:tcW w:w="24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239,487</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6"/>
                <w:szCs w:val="16"/>
                <w:color w:val="auto"/>
              </w:rPr>
              <w:t>365,748</w:t>
            </w:r>
          </w:p>
        </w:tc>
        <w:tc>
          <w:tcPr>
            <w:tcW w:w="0" w:type="dxa"/>
            <w:vAlign w:val="bottom"/>
          </w:tcPr>
          <w:p>
            <w:pPr>
              <w:spacing w:after="0"/>
              <w:rPr>
                <w:sz w:val="1"/>
                <w:szCs w:val="1"/>
                <w:color w:val="auto"/>
              </w:rPr>
            </w:pPr>
          </w:p>
        </w:tc>
      </w:tr>
      <w:tr>
        <w:trPr>
          <w:trHeight w:val="20"/>
        </w:trPr>
        <w:tc>
          <w:tcPr>
            <w:tcW w:w="416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8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78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76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-4782820</wp:posOffset>
            </wp:positionV>
            <wp:extent cx="1097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972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-2116455</wp:posOffset>
            </wp:positionV>
            <wp:extent cx="10972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0"/>
        <w:spacing w:after="0"/>
        <w:rPr>
          <w:sz w:val="20"/>
          <w:szCs w:val="20"/>
          <w:color w:val="auto"/>
        </w:rPr>
      </w:pPr>
      <w:r>
        <w:rPr>
          <w:rFonts w:ascii="Arial" w:cs="Arial" w:eastAsia="Arial" w:hAnsi="Arial"/>
          <w:sz w:val="14"/>
          <w:szCs w:val="14"/>
          <w:color w:val="auto"/>
        </w:rPr>
        <w:t xml:space="preserve">6 </w:t>
      </w:r>
      <w:r>
        <w:rPr>
          <w:sz w:val="1"/>
          <w:szCs w:val="1"/>
          <w:color w:val="auto"/>
        </w:rPr>
        <w:drawing>
          <wp:inline distT="0" distB="0" distL="0" distR="0">
            <wp:extent cx="668655" cy="10287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consolidated financial statements</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accompanying interim consolidated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2019 has been derived from the audited consolidated financial statements at that date. Operating results and cash flows for the three months ended March 31, 2020 are not necessarily indicative of the results that may be expected for the fiscal year ending December 31, 2020, or any other future period. Certain information and footnote disclosures normally included in annual financial statements prepared in accordance with GAAP have been omitted in accordance with the rules and regulations for interim reporting of the SEC. These interim consolidated financial statements should be read in conjunction with the consolidated financial statements and notes thereto included in our Annual Report on Form 10-K for the year ended December 31, 2019, and other forms filed with the SEC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financial statements include the accounts of Blackbaud, Inc. and its wholly owned subsidiaries. All intercompany balances and transactions have been eliminated in consolidation.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 ("CEO").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Impacts of COVID-19</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risks and uncertainties as a result of the global COVID-19 pandemic. We expect that COVID-19 will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w:t>
      </w:r>
    </w:p>
    <w:p>
      <w:pPr>
        <w:spacing w:after="0" w:line="348"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7</w:t>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stock-based compensation, capitalization of software development costs, our allowances for credit losses and sales returns, costs of obtaining contracts, valuation of derivative instruments and loss contingencies, among others. Changes in the facts or circumstances underlying these estimates due to COVID-19 could result in material changes and actual results could materially differ from these estimates.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 Instruments-Credit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(Topic 326): Measurement of Credit Losses on Financial Instruments </w:t>
      </w:r>
      <w:r>
        <w:rPr>
          <w:rFonts w:ascii="Arial" w:cs="Arial" w:eastAsia="Arial" w:hAnsi="Arial"/>
          <w:sz w:val="18"/>
          <w:szCs w:val="18"/>
          <w:color w:val="auto"/>
        </w:rPr>
        <w:t>(“ASU 2016-13”). ASU 2016-13 requires certain types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including trade receivables, to be presented at the net amount expected to be collected based on historical events, current conditions and forward-looking information. We adopted ASU 2016-13 as of the January 1, 2020 effective date and the adoption did not have a material impact on our consolidated financial statements.</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Intangibles-Goodwill and Other-Internal-Use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(“ASU 2018-15”). ASU 2018-15 aligns the accounting for</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related to a hosting arrangement that is a service contract with the guidance on capitalizing costs associated with developing or obtaining internal-use software. We adopted ASU 2018-15 prospectively as of the January 1, 2020 effective date and the adoption did not have a material impact on our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our financial position or results of operations when adopted in the future.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the accounting policies for allowance for credit losses and allowance for sales returns below that were updated as a result of adopting ASU 2016-13, there have been no new or material changes to our significant accounting policies described in our Annual Report on Form 10-K for the year ended December 31, 2019, filed with the SEC on February 20,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credit losses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credit losses.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1280" w:type="dxa"/>
            <w:vAlign w:val="bottom"/>
            <w:shd w:val="clear" w:color="auto" w:fill="ACACAC"/>
          </w:tcPr>
          <w:p>
            <w:pPr>
              <w:spacing w:after="0"/>
              <w:rPr>
                <w:sz w:val="14"/>
                <w:szCs w:val="14"/>
                <w:color w:val="auto"/>
              </w:rPr>
            </w:pPr>
          </w:p>
        </w:tc>
        <w:tc>
          <w:tcPr>
            <w:tcW w:w="15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Balance at</w:t>
            </w:r>
          </w:p>
        </w:tc>
        <w:tc>
          <w:tcPr>
            <w:tcW w:w="420" w:type="dxa"/>
            <w:vAlign w:val="bottom"/>
            <w:shd w:val="clear" w:color="auto" w:fill="ACACAC"/>
          </w:tcPr>
          <w:p>
            <w:pPr>
              <w:spacing w:after="0"/>
              <w:rPr>
                <w:sz w:val="14"/>
                <w:szCs w:val="14"/>
                <w:color w:val="auto"/>
              </w:rPr>
            </w:pPr>
          </w:p>
        </w:tc>
        <w:tc>
          <w:tcPr>
            <w:tcW w:w="10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Provision/</w:t>
            </w:r>
          </w:p>
        </w:tc>
        <w:tc>
          <w:tcPr>
            <w:tcW w:w="480" w:type="dxa"/>
            <w:vAlign w:val="bottom"/>
            <w:shd w:val="clear" w:color="auto" w:fill="ACACAC"/>
          </w:tcPr>
          <w:p>
            <w:pPr>
              <w:spacing w:after="0"/>
              <w:rPr>
                <w:sz w:val="14"/>
                <w:szCs w:val="14"/>
                <w:color w:val="auto"/>
              </w:rPr>
            </w:pPr>
          </w:p>
        </w:tc>
        <w:tc>
          <w:tcPr>
            <w:tcW w:w="100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Write-off</w:t>
            </w:r>
          </w:p>
        </w:tc>
        <w:tc>
          <w:tcPr>
            <w:tcW w:w="460" w:type="dxa"/>
            <w:vAlign w:val="bottom"/>
            <w:shd w:val="clear" w:color="auto" w:fill="ACACAC"/>
          </w:tcPr>
          <w:p>
            <w:pPr>
              <w:spacing w:after="0"/>
              <w:rPr>
                <w:sz w:val="14"/>
                <w:szCs w:val="14"/>
                <w:color w:val="auto"/>
              </w:rPr>
            </w:pPr>
          </w:p>
        </w:tc>
        <w:tc>
          <w:tcPr>
            <w:tcW w:w="9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Recovery</w:t>
            </w:r>
          </w:p>
        </w:tc>
        <w:tc>
          <w:tcPr>
            <w:tcW w:w="300" w:type="dxa"/>
            <w:vAlign w:val="bottom"/>
            <w:shd w:val="clear" w:color="auto" w:fill="ACACAC"/>
          </w:tcPr>
          <w:p>
            <w:pPr>
              <w:spacing w:after="0"/>
              <w:rPr>
                <w:sz w:val="14"/>
                <w:szCs w:val="14"/>
                <w:color w:val="auto"/>
              </w:rPr>
            </w:pPr>
          </w:p>
        </w:tc>
        <w:tc>
          <w:tcPr>
            <w:tcW w:w="188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Balance at March 31, 2020</w:t>
            </w:r>
          </w:p>
        </w:tc>
        <w:tc>
          <w:tcPr>
            <w:tcW w:w="0" w:type="dxa"/>
            <w:vAlign w:val="bottom"/>
          </w:tcPr>
          <w:p>
            <w:pPr>
              <w:spacing w:after="0"/>
              <w:rPr>
                <w:sz w:val="1"/>
                <w:szCs w:val="1"/>
                <w:color w:val="auto"/>
              </w:rPr>
            </w:pPr>
          </w:p>
        </w:tc>
      </w:tr>
      <w:tr>
        <w:trPr>
          <w:trHeight w:val="198"/>
        </w:trPr>
        <w:tc>
          <w:tcPr>
            <w:tcW w:w="1880" w:type="dxa"/>
            <w:vAlign w:val="bottom"/>
            <w:vMerge w:val="continue"/>
            <w:shd w:val="clear" w:color="auto" w:fill="ACACAC"/>
          </w:tcPr>
          <w:p>
            <w:pPr>
              <w:spacing w:after="0"/>
              <w:rPr>
                <w:sz w:val="17"/>
                <w:szCs w:val="17"/>
                <w:color w:val="auto"/>
              </w:rPr>
            </w:pPr>
          </w:p>
        </w:tc>
        <w:tc>
          <w:tcPr>
            <w:tcW w:w="1280" w:type="dxa"/>
            <w:vAlign w:val="bottom"/>
            <w:shd w:val="clear" w:color="auto" w:fill="ACACAC"/>
          </w:tcPr>
          <w:p>
            <w:pPr>
              <w:spacing w:after="0"/>
              <w:rPr>
                <w:sz w:val="17"/>
                <w:szCs w:val="17"/>
                <w:color w:val="auto"/>
              </w:rPr>
            </w:pPr>
          </w:p>
        </w:tc>
        <w:tc>
          <w:tcPr>
            <w:tcW w:w="15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1"/>
                <w:szCs w:val="11"/>
                <w:b w:val="1"/>
                <w:bCs w:val="1"/>
                <w:color w:val="FFFFFF"/>
              </w:rPr>
              <w:t>(1)</w:t>
            </w:r>
          </w:p>
        </w:tc>
        <w:tc>
          <w:tcPr>
            <w:tcW w:w="420" w:type="dxa"/>
            <w:vAlign w:val="bottom"/>
            <w:shd w:val="clear" w:color="auto" w:fill="ACACAC"/>
          </w:tcPr>
          <w:p>
            <w:pPr>
              <w:spacing w:after="0"/>
              <w:rPr>
                <w:sz w:val="17"/>
                <w:szCs w:val="17"/>
                <w:color w:val="auto"/>
              </w:rPr>
            </w:pPr>
          </w:p>
        </w:tc>
        <w:tc>
          <w:tcPr>
            <w:tcW w:w="104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adjustment</w:t>
            </w:r>
          </w:p>
        </w:tc>
        <w:tc>
          <w:tcPr>
            <w:tcW w:w="480" w:type="dxa"/>
            <w:vAlign w:val="bottom"/>
            <w:shd w:val="clear" w:color="auto" w:fill="ACACAC"/>
          </w:tcPr>
          <w:p>
            <w:pPr>
              <w:spacing w:after="0"/>
              <w:rPr>
                <w:sz w:val="17"/>
                <w:szCs w:val="17"/>
                <w:color w:val="auto"/>
              </w:rPr>
            </w:pPr>
          </w:p>
        </w:tc>
        <w:tc>
          <w:tcPr>
            <w:tcW w:w="1000" w:type="dxa"/>
            <w:vAlign w:val="bottom"/>
            <w:vMerge w:val="continue"/>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960" w:type="dxa"/>
            <w:vAlign w:val="bottom"/>
            <w:vMerge w:val="continue"/>
            <w:shd w:val="clear" w:color="auto" w:fill="ACACAC"/>
          </w:tcPr>
          <w:p>
            <w:pPr>
              <w:spacing w:after="0"/>
              <w:rPr>
                <w:sz w:val="17"/>
                <w:szCs w:val="17"/>
                <w:color w:val="auto"/>
              </w:rPr>
            </w:pPr>
          </w:p>
        </w:tc>
        <w:tc>
          <w:tcPr>
            <w:tcW w:w="300" w:type="dxa"/>
            <w:vAlign w:val="bottom"/>
            <w:shd w:val="clear" w:color="auto" w:fill="ACACAC"/>
          </w:tcPr>
          <w:p>
            <w:pPr>
              <w:spacing w:after="0"/>
              <w:rPr>
                <w:sz w:val="17"/>
                <w:szCs w:val="17"/>
                <w:color w:val="auto"/>
              </w:rPr>
            </w:pPr>
          </w:p>
        </w:tc>
        <w:tc>
          <w:tcPr>
            <w:tcW w:w="188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80" w:type="dxa"/>
            <w:vAlign w:val="bottom"/>
            <w:shd w:val="clear" w:color="auto" w:fill="F4F4F4"/>
          </w:tcPr>
          <w:p>
            <w:pPr>
              <w:ind w:left="40"/>
              <w:spacing w:after="0"/>
              <w:rPr>
                <w:sz w:val="20"/>
                <w:szCs w:val="20"/>
                <w:color w:val="auto"/>
              </w:rPr>
            </w:pPr>
            <w:r>
              <w:rPr>
                <w:rFonts w:ascii="Arial" w:cs="Arial" w:eastAsia="Arial" w:hAnsi="Arial"/>
                <w:sz w:val="18"/>
                <w:szCs w:val="18"/>
                <w:color w:val="auto"/>
              </w:rPr>
              <w:t>2020</w:t>
            </w:r>
          </w:p>
        </w:tc>
        <w:tc>
          <w:tcPr>
            <w:tcW w:w="128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4,011</w:t>
            </w:r>
          </w:p>
        </w:tc>
        <w:tc>
          <w:tcPr>
            <w:tcW w:w="420" w:type="dxa"/>
            <w:vAlign w:val="bottom"/>
            <w:shd w:val="clear" w:color="auto" w:fill="F4F4F4"/>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593</w:t>
            </w:r>
          </w:p>
        </w:tc>
        <w:tc>
          <w:tcPr>
            <w:tcW w:w="48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(466)</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172</w:t>
            </w:r>
          </w:p>
        </w:tc>
        <w:tc>
          <w:tcPr>
            <w:tcW w:w="30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880" w:type="dxa"/>
            <w:vAlign w:val="bottom"/>
            <w:shd w:val="clear" w:color="auto" w:fill="F4F4F4"/>
          </w:tcPr>
          <w:p>
            <w:pPr>
              <w:jc w:val="right"/>
              <w:ind w:right="19"/>
              <w:spacing w:after="0"/>
              <w:rPr>
                <w:sz w:val="20"/>
                <w:szCs w:val="20"/>
                <w:color w:val="auto"/>
              </w:rPr>
            </w:pPr>
            <w:r>
              <w:rPr>
                <w:rFonts w:ascii="Arial" w:cs="Arial" w:eastAsia="Arial" w:hAnsi="Arial"/>
                <w:sz w:val="18"/>
                <w:szCs w:val="18"/>
                <w:color w:val="auto"/>
              </w:rPr>
              <w:t>4,310</w:t>
            </w:r>
          </w:p>
        </w:tc>
        <w:tc>
          <w:tcPr>
            <w:tcW w:w="0" w:type="dxa"/>
            <w:vAlign w:val="bottom"/>
          </w:tcPr>
          <w:p>
            <w:pPr>
              <w:spacing w:after="0"/>
              <w:rPr>
                <w:sz w:val="1"/>
                <w:szCs w:val="1"/>
                <w:color w:val="auto"/>
              </w:rPr>
            </w:pPr>
          </w:p>
        </w:tc>
      </w:tr>
      <w:tr>
        <w:trPr>
          <w:trHeight w:val="27"/>
        </w:trPr>
        <w:tc>
          <w:tcPr>
            <w:tcW w:w="1880" w:type="dxa"/>
            <w:vAlign w:val="bottom"/>
            <w:shd w:val="clear" w:color="auto" w:fill="F4F4F4"/>
          </w:tcPr>
          <w:p>
            <w:pPr>
              <w:spacing w:after="0"/>
              <w:rPr>
                <w:sz w:val="2"/>
                <w:szCs w:val="2"/>
                <w:color w:val="auto"/>
              </w:rPr>
            </w:pPr>
          </w:p>
        </w:tc>
        <w:tc>
          <w:tcPr>
            <w:tcW w:w="1280" w:type="dxa"/>
            <w:vAlign w:val="bottom"/>
            <w:shd w:val="clear" w:color="auto" w:fill="F4F4F4"/>
          </w:tcPr>
          <w:p>
            <w:pPr>
              <w:spacing w:after="0"/>
              <w:rPr>
                <w:sz w:val="2"/>
                <w:szCs w:val="2"/>
                <w:color w:val="auto"/>
              </w:rPr>
            </w:pPr>
          </w:p>
        </w:tc>
        <w:tc>
          <w:tcPr>
            <w:tcW w:w="1540" w:type="dxa"/>
            <w:vAlign w:val="bottom"/>
            <w:shd w:val="clear" w:color="auto" w:fill="F4F4F4"/>
          </w:tcPr>
          <w:p>
            <w:pPr>
              <w:spacing w:after="0"/>
              <w:rPr>
                <w:sz w:val="2"/>
                <w:szCs w:val="2"/>
                <w:color w:val="auto"/>
              </w:rPr>
            </w:pPr>
          </w:p>
        </w:tc>
        <w:tc>
          <w:tcPr>
            <w:tcW w:w="420" w:type="dxa"/>
            <w:vAlign w:val="bottom"/>
            <w:shd w:val="clear" w:color="auto" w:fill="F4F4F4"/>
          </w:tcPr>
          <w:p>
            <w:pPr>
              <w:spacing w:after="0"/>
              <w:rPr>
                <w:sz w:val="2"/>
                <w:szCs w:val="2"/>
                <w:color w:val="auto"/>
              </w:rPr>
            </w:pPr>
          </w:p>
        </w:tc>
        <w:tc>
          <w:tcPr>
            <w:tcW w:w="1040" w:type="dxa"/>
            <w:vAlign w:val="bottom"/>
            <w:shd w:val="clear" w:color="auto" w:fill="F4F4F4"/>
          </w:tcPr>
          <w:p>
            <w:pPr>
              <w:spacing w:after="0"/>
              <w:rPr>
                <w:sz w:val="2"/>
                <w:szCs w:val="2"/>
                <w:color w:val="auto"/>
              </w:rPr>
            </w:pPr>
          </w:p>
        </w:tc>
        <w:tc>
          <w:tcPr>
            <w:tcW w:w="480" w:type="dxa"/>
            <w:vAlign w:val="bottom"/>
            <w:shd w:val="clear" w:color="auto" w:fill="F4F4F4"/>
          </w:tcPr>
          <w:p>
            <w:pPr>
              <w:spacing w:after="0"/>
              <w:rPr>
                <w:sz w:val="2"/>
                <w:szCs w:val="2"/>
                <w:color w:val="auto"/>
              </w:rPr>
            </w:pPr>
          </w:p>
        </w:tc>
        <w:tc>
          <w:tcPr>
            <w:tcW w:w="1000" w:type="dxa"/>
            <w:vAlign w:val="bottom"/>
            <w:shd w:val="clear" w:color="auto" w:fill="F4F4F4"/>
          </w:tcPr>
          <w:p>
            <w:pPr>
              <w:spacing w:after="0"/>
              <w:rPr>
                <w:sz w:val="2"/>
                <w:szCs w:val="2"/>
                <w:color w:val="auto"/>
              </w:rPr>
            </w:pPr>
          </w:p>
        </w:tc>
        <w:tc>
          <w:tcPr>
            <w:tcW w:w="460" w:type="dxa"/>
            <w:vAlign w:val="bottom"/>
            <w:shd w:val="clear" w:color="auto" w:fill="F4F4F4"/>
          </w:tcPr>
          <w:p>
            <w:pPr>
              <w:spacing w:after="0"/>
              <w:rPr>
                <w:sz w:val="2"/>
                <w:szCs w:val="2"/>
                <w:color w:val="auto"/>
              </w:rPr>
            </w:pPr>
          </w:p>
        </w:tc>
        <w:tc>
          <w:tcPr>
            <w:tcW w:w="960" w:type="dxa"/>
            <w:vAlign w:val="bottom"/>
            <w:shd w:val="clear" w:color="auto" w:fill="F4F4F4"/>
          </w:tcPr>
          <w:p>
            <w:pPr>
              <w:spacing w:after="0"/>
              <w:rPr>
                <w:sz w:val="2"/>
                <w:szCs w:val="2"/>
                <w:color w:val="auto"/>
              </w:rPr>
            </w:pPr>
          </w:p>
        </w:tc>
        <w:tc>
          <w:tcPr>
            <w:tcW w:w="300" w:type="dxa"/>
            <w:vAlign w:val="bottom"/>
            <w:shd w:val="clear" w:color="auto" w:fill="F4F4F4"/>
          </w:tcPr>
          <w:p>
            <w:pPr>
              <w:spacing w:after="0"/>
              <w:rPr>
                <w:sz w:val="2"/>
                <w:szCs w:val="2"/>
                <w:color w:val="auto"/>
              </w:rPr>
            </w:pPr>
          </w:p>
        </w:tc>
        <w:tc>
          <w:tcPr>
            <w:tcW w:w="188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265" w:lineRule="auto"/>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Upon adoption of ASU 2016-13 at January 1, 2020, we reclassified certain balances previously disclosed within the allowance for sales returns to the allowance for credit losses, as these amounts reflect the credit risk associated with our accounts receivable.</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our allowance for credit losses and the amount of write-offs during the three months ended March 31, 2020 were insignificant.</w:t>
      </w:r>
    </w:p>
    <w:p>
      <w:pPr>
        <w:spacing w:after="0" w:line="39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 xml:space="preserve">8  </w:t>
      </w:r>
      <w:r>
        <w:rPr>
          <w:sz w:val="1"/>
          <w:szCs w:val="1"/>
          <w:color w:val="auto"/>
        </w:rPr>
        <w:drawing>
          <wp:inline distT="0" distB="0" distL="0" distR="0">
            <wp:extent cx="668655" cy="10287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Allowance for sales returns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Below is a summary of the changes in our allowance for sales returns.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1340" w:type="dxa"/>
            <w:vAlign w:val="bottom"/>
            <w:shd w:val="clear" w:color="auto" w:fill="ACACAC"/>
          </w:tcPr>
          <w:p>
            <w:pPr>
              <w:spacing w:after="0"/>
              <w:rPr>
                <w:sz w:val="14"/>
                <w:szCs w:val="14"/>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at</w:t>
            </w:r>
          </w:p>
        </w:tc>
        <w:tc>
          <w:tcPr>
            <w:tcW w:w="760" w:type="dxa"/>
            <w:vAlign w:val="bottom"/>
            <w:shd w:val="clear" w:color="auto" w:fill="ACACAC"/>
          </w:tcPr>
          <w:p>
            <w:pPr>
              <w:spacing w:after="0"/>
              <w:rPr>
                <w:sz w:val="14"/>
                <w:szCs w:val="14"/>
                <w:color w:val="auto"/>
              </w:rPr>
            </w:pPr>
          </w:p>
        </w:tc>
        <w:tc>
          <w:tcPr>
            <w:tcW w:w="138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Provision/</w:t>
            </w:r>
          </w:p>
        </w:tc>
        <w:tc>
          <w:tcPr>
            <w:tcW w:w="780" w:type="dxa"/>
            <w:vAlign w:val="bottom"/>
            <w:shd w:val="clear" w:color="auto" w:fill="ACACAC"/>
          </w:tcPr>
          <w:p>
            <w:pPr>
              <w:spacing w:after="0"/>
              <w:rPr>
                <w:sz w:val="14"/>
                <w:szCs w:val="14"/>
                <w:color w:val="auto"/>
              </w:rPr>
            </w:pPr>
          </w:p>
        </w:tc>
        <w:tc>
          <w:tcPr>
            <w:tcW w:w="138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Deduction</w:t>
            </w:r>
          </w:p>
        </w:tc>
        <w:tc>
          <w:tcPr>
            <w:tcW w:w="260" w:type="dxa"/>
            <w:vAlign w:val="bottom"/>
            <w:shd w:val="clear" w:color="auto" w:fill="ACACAC"/>
          </w:tcPr>
          <w:p>
            <w:pPr>
              <w:spacing w:after="0"/>
              <w:rPr>
                <w:sz w:val="14"/>
                <w:szCs w:val="14"/>
                <w:color w:val="auto"/>
              </w:rPr>
            </w:pPr>
          </w:p>
        </w:tc>
        <w:tc>
          <w:tcPr>
            <w:tcW w:w="1880" w:type="dxa"/>
            <w:vAlign w:val="bottom"/>
            <w:vMerge w:val="restart"/>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Balance at March 31, 2020</w:t>
            </w:r>
          </w:p>
        </w:tc>
        <w:tc>
          <w:tcPr>
            <w:tcW w:w="0" w:type="dxa"/>
            <w:vAlign w:val="bottom"/>
          </w:tcPr>
          <w:p>
            <w:pPr>
              <w:spacing w:after="0"/>
              <w:rPr>
                <w:sz w:val="1"/>
                <w:szCs w:val="1"/>
                <w:color w:val="auto"/>
              </w:rPr>
            </w:pPr>
          </w:p>
        </w:tc>
      </w:tr>
      <w:tr>
        <w:trPr>
          <w:trHeight w:val="198"/>
        </w:trPr>
        <w:tc>
          <w:tcPr>
            <w:tcW w:w="1820" w:type="dxa"/>
            <w:vAlign w:val="bottom"/>
            <w:vMerge w:val="continue"/>
            <w:shd w:val="clear" w:color="auto" w:fill="ACACAC"/>
          </w:tcPr>
          <w:p>
            <w:pPr>
              <w:spacing w:after="0"/>
              <w:rPr>
                <w:sz w:val="17"/>
                <w:szCs w:val="17"/>
                <w:color w:val="auto"/>
              </w:rPr>
            </w:pPr>
          </w:p>
        </w:tc>
        <w:tc>
          <w:tcPr>
            <w:tcW w:w="1340" w:type="dxa"/>
            <w:vAlign w:val="bottom"/>
            <w:shd w:val="clear" w:color="auto" w:fill="ACACAC"/>
          </w:tcPr>
          <w:p>
            <w:pPr>
              <w:spacing w:after="0"/>
              <w:rPr>
                <w:sz w:val="17"/>
                <w:szCs w:val="17"/>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 xml:space="preserve">beginning of year </w:t>
            </w:r>
            <w:r>
              <w:rPr>
                <w:rFonts w:ascii="Arial" w:cs="Arial" w:eastAsia="Arial" w:hAnsi="Arial"/>
                <w:sz w:val="11"/>
                <w:szCs w:val="11"/>
                <w:b w:val="1"/>
                <w:bCs w:val="1"/>
                <w:color w:val="FFFFFF"/>
              </w:rPr>
              <w:t>(1)</w:t>
            </w:r>
          </w:p>
        </w:tc>
        <w:tc>
          <w:tcPr>
            <w:tcW w:w="760" w:type="dxa"/>
            <w:vAlign w:val="bottom"/>
            <w:shd w:val="clear" w:color="auto" w:fill="ACACAC"/>
          </w:tcPr>
          <w:p>
            <w:pPr>
              <w:spacing w:after="0"/>
              <w:rPr>
                <w:sz w:val="17"/>
                <w:szCs w:val="17"/>
                <w:color w:val="auto"/>
              </w:rPr>
            </w:pPr>
          </w:p>
        </w:tc>
        <w:tc>
          <w:tcPr>
            <w:tcW w:w="138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adjustment</w:t>
            </w:r>
          </w:p>
        </w:tc>
        <w:tc>
          <w:tcPr>
            <w:tcW w:w="780" w:type="dxa"/>
            <w:vAlign w:val="bottom"/>
            <w:shd w:val="clear" w:color="auto" w:fill="ACACAC"/>
          </w:tcPr>
          <w:p>
            <w:pPr>
              <w:spacing w:after="0"/>
              <w:rPr>
                <w:sz w:val="17"/>
                <w:szCs w:val="17"/>
                <w:color w:val="auto"/>
              </w:rPr>
            </w:pPr>
          </w:p>
        </w:tc>
        <w:tc>
          <w:tcPr>
            <w:tcW w:w="1380" w:type="dxa"/>
            <w:vAlign w:val="bottom"/>
            <w:vMerge w:val="continue"/>
            <w:shd w:val="clear" w:color="auto" w:fill="ACACAC"/>
          </w:tcPr>
          <w:p>
            <w:pPr>
              <w:spacing w:after="0"/>
              <w:rPr>
                <w:sz w:val="17"/>
                <w:szCs w:val="17"/>
                <w:color w:val="auto"/>
              </w:rPr>
            </w:pPr>
          </w:p>
        </w:tc>
        <w:tc>
          <w:tcPr>
            <w:tcW w:w="260" w:type="dxa"/>
            <w:vAlign w:val="bottom"/>
            <w:shd w:val="clear" w:color="auto" w:fill="ACACAC"/>
          </w:tcPr>
          <w:p>
            <w:pPr>
              <w:spacing w:after="0"/>
              <w:rPr>
                <w:sz w:val="17"/>
                <w:szCs w:val="17"/>
                <w:color w:val="auto"/>
              </w:rPr>
            </w:pPr>
          </w:p>
        </w:tc>
        <w:tc>
          <w:tcPr>
            <w:tcW w:w="188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820" w:type="dxa"/>
            <w:vAlign w:val="bottom"/>
            <w:shd w:val="clear" w:color="auto" w:fill="F4F4F4"/>
          </w:tcPr>
          <w:p>
            <w:pPr>
              <w:ind w:left="40"/>
              <w:spacing w:after="0"/>
              <w:rPr>
                <w:sz w:val="20"/>
                <w:szCs w:val="20"/>
                <w:color w:val="auto"/>
              </w:rPr>
            </w:pPr>
            <w:r>
              <w:rPr>
                <w:rFonts w:ascii="Arial" w:cs="Arial" w:eastAsia="Arial" w:hAnsi="Arial"/>
                <w:sz w:val="18"/>
                <w:szCs w:val="18"/>
                <w:color w:val="auto"/>
              </w:rPr>
              <w:t>2020</w:t>
            </w:r>
          </w:p>
        </w:tc>
        <w:tc>
          <w:tcPr>
            <w:tcW w:w="134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16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1,518</w:t>
            </w:r>
          </w:p>
        </w:tc>
        <w:tc>
          <w:tcPr>
            <w:tcW w:w="760" w:type="dxa"/>
            <w:vAlign w:val="bottom"/>
            <w:shd w:val="clear" w:color="auto" w:fill="F4F4F4"/>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4F4F4"/>
          </w:tcPr>
          <w:p>
            <w:pPr>
              <w:jc w:val="right"/>
              <w:ind w:right="2"/>
              <w:spacing w:after="0"/>
              <w:rPr>
                <w:sz w:val="20"/>
                <w:szCs w:val="20"/>
                <w:color w:val="auto"/>
              </w:rPr>
            </w:pPr>
            <w:r>
              <w:rPr>
                <w:rFonts w:ascii="Arial" w:cs="Arial" w:eastAsia="Arial" w:hAnsi="Arial"/>
                <w:sz w:val="18"/>
                <w:szCs w:val="18"/>
                <w:color w:val="auto"/>
              </w:rPr>
              <w:t>1,895</w:t>
            </w:r>
          </w:p>
        </w:tc>
        <w:tc>
          <w:tcPr>
            <w:tcW w:w="780" w:type="dxa"/>
            <w:vAlign w:val="bottom"/>
            <w:shd w:val="clear" w:color="auto" w:fill="F4F4F4"/>
          </w:tcPr>
          <w:p>
            <w:pPr>
              <w:jc w:val="right"/>
              <w:ind w:right="5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(1,795)</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F4F4F4"/>
          </w:tcPr>
          <w:p>
            <w:pPr>
              <w:jc w:val="right"/>
              <w:ind w:right="19"/>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1820" w:type="dxa"/>
            <w:vAlign w:val="bottom"/>
            <w:shd w:val="clear" w:color="auto" w:fill="F4F4F4"/>
          </w:tcPr>
          <w:p>
            <w:pPr>
              <w:spacing w:after="0"/>
              <w:rPr>
                <w:sz w:val="2"/>
                <w:szCs w:val="2"/>
                <w:color w:val="auto"/>
              </w:rPr>
            </w:pPr>
          </w:p>
        </w:tc>
        <w:tc>
          <w:tcPr>
            <w:tcW w:w="1340" w:type="dxa"/>
            <w:vAlign w:val="bottom"/>
            <w:shd w:val="clear" w:color="auto" w:fill="F4F4F4"/>
          </w:tcPr>
          <w:p>
            <w:pPr>
              <w:spacing w:after="0"/>
              <w:rPr>
                <w:sz w:val="2"/>
                <w:szCs w:val="2"/>
                <w:color w:val="auto"/>
              </w:rPr>
            </w:pPr>
          </w:p>
        </w:tc>
        <w:tc>
          <w:tcPr>
            <w:tcW w:w="1640" w:type="dxa"/>
            <w:vAlign w:val="bottom"/>
            <w:shd w:val="clear" w:color="auto" w:fill="F4F4F4"/>
          </w:tcPr>
          <w:p>
            <w:pPr>
              <w:spacing w:after="0"/>
              <w:rPr>
                <w:sz w:val="2"/>
                <w:szCs w:val="2"/>
                <w:color w:val="auto"/>
              </w:rPr>
            </w:pPr>
          </w:p>
        </w:tc>
        <w:tc>
          <w:tcPr>
            <w:tcW w:w="760" w:type="dxa"/>
            <w:vAlign w:val="bottom"/>
            <w:shd w:val="clear" w:color="auto" w:fill="F4F4F4"/>
          </w:tcPr>
          <w:p>
            <w:pPr>
              <w:spacing w:after="0"/>
              <w:rPr>
                <w:sz w:val="2"/>
                <w:szCs w:val="2"/>
                <w:color w:val="auto"/>
              </w:rPr>
            </w:pPr>
          </w:p>
        </w:tc>
        <w:tc>
          <w:tcPr>
            <w:tcW w:w="1380" w:type="dxa"/>
            <w:vAlign w:val="bottom"/>
            <w:shd w:val="clear" w:color="auto" w:fill="F4F4F4"/>
          </w:tcPr>
          <w:p>
            <w:pPr>
              <w:spacing w:after="0"/>
              <w:rPr>
                <w:sz w:val="2"/>
                <w:szCs w:val="2"/>
                <w:color w:val="auto"/>
              </w:rPr>
            </w:pPr>
          </w:p>
        </w:tc>
        <w:tc>
          <w:tcPr>
            <w:tcW w:w="780" w:type="dxa"/>
            <w:vAlign w:val="bottom"/>
            <w:shd w:val="clear" w:color="auto" w:fill="F4F4F4"/>
          </w:tcPr>
          <w:p>
            <w:pPr>
              <w:spacing w:after="0"/>
              <w:rPr>
                <w:sz w:val="2"/>
                <w:szCs w:val="2"/>
                <w:color w:val="auto"/>
              </w:rPr>
            </w:pPr>
          </w:p>
        </w:tc>
        <w:tc>
          <w:tcPr>
            <w:tcW w:w="1380" w:type="dxa"/>
            <w:vAlign w:val="bottom"/>
            <w:shd w:val="clear" w:color="auto" w:fill="F4F4F4"/>
          </w:tcPr>
          <w:p>
            <w:pPr>
              <w:spacing w:after="0"/>
              <w:rPr>
                <w:sz w:val="2"/>
                <w:szCs w:val="2"/>
                <w:color w:val="auto"/>
              </w:rPr>
            </w:pPr>
          </w:p>
        </w:tc>
        <w:tc>
          <w:tcPr>
            <w:tcW w:w="260" w:type="dxa"/>
            <w:vAlign w:val="bottom"/>
            <w:shd w:val="clear" w:color="auto" w:fill="F4F4F4"/>
          </w:tcPr>
          <w:p>
            <w:pPr>
              <w:spacing w:after="0"/>
              <w:rPr>
                <w:sz w:val="2"/>
                <w:szCs w:val="2"/>
                <w:color w:val="auto"/>
              </w:rPr>
            </w:pPr>
          </w:p>
        </w:tc>
        <w:tc>
          <w:tcPr>
            <w:tcW w:w="188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line="26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 discussed above, we reclassified certain balances previously disclosed within the allowance for sales returns to the allowance for credit losses upon adoption of ASU 2016-13 at January 1, 2020.</w:t>
      </w:r>
    </w:p>
    <w:p>
      <w:pPr>
        <w:spacing w:after="0" w:line="359" w:lineRule="exact"/>
        <w:rPr>
          <w:rFonts w:ascii="Arial" w:cs="Arial" w:eastAsia="Arial" w:hAnsi="Arial"/>
          <w:sz w:val="14"/>
          <w:szCs w:val="14"/>
          <w:color w:val="auto"/>
        </w:rPr>
      </w:pPr>
    </w:p>
    <w:p>
      <w:pPr>
        <w:ind w:left="260" w:hanging="225"/>
        <w:spacing w:after="0"/>
        <w:tabs>
          <w:tab w:leader="none" w:pos="260" w:val="left"/>
        </w:tabs>
        <w:numPr>
          <w:ilvl w:val="1"/>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three months ended March 31, 2020, consisted of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7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shd w:val="clear" w:color="auto" w:fill="ACACAC"/>
          </w:tcPr>
          <w:p>
            <w:pPr>
              <w:spacing w:after="0"/>
              <w:rPr>
                <w:sz w:val="17"/>
                <w:szCs w:val="17"/>
                <w:color w:val="auto"/>
              </w:rPr>
            </w:pPr>
          </w:p>
        </w:tc>
        <w:tc>
          <w:tcPr>
            <w:tcW w:w="1120" w:type="dxa"/>
            <w:vAlign w:val="bottom"/>
            <w:shd w:val="clear" w:color="auto" w:fill="ACACAC"/>
          </w:tcPr>
          <w:p>
            <w:pPr>
              <w:jc w:val="right"/>
              <w:ind w:right="495"/>
              <w:spacing w:after="0"/>
              <w:rPr>
                <w:sz w:val="20"/>
                <w:szCs w:val="20"/>
                <w:color w:val="auto"/>
              </w:rPr>
            </w:pPr>
            <w:r>
              <w:rPr>
                <w:rFonts w:ascii="Arial" w:cs="Arial" w:eastAsia="Arial" w:hAnsi="Arial"/>
                <w:sz w:val="14"/>
                <w:szCs w:val="14"/>
                <w:b w:val="1"/>
                <w:bCs w:val="1"/>
                <w:color w:val="FFFFFF"/>
              </w:rPr>
              <w:t>Total</w:t>
            </w:r>
          </w:p>
        </w:tc>
      </w:tr>
      <w:tr>
        <w:trPr>
          <w:trHeight w:val="250"/>
        </w:trPr>
        <w:tc>
          <w:tcPr>
            <w:tcW w:w="97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Balance at December 31, 2019</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634,088</w:t>
            </w:r>
          </w:p>
        </w:tc>
      </w:tr>
      <w:tr>
        <w:trPr>
          <w:trHeight w:val="243"/>
        </w:trPr>
        <w:tc>
          <w:tcPr>
            <w:tcW w:w="9780" w:type="dxa"/>
            <w:vAlign w:val="bottom"/>
          </w:tcPr>
          <w:p>
            <w:pPr>
              <w:ind w:left="180"/>
              <w:spacing w:after="0"/>
              <w:rPr>
                <w:sz w:val="20"/>
                <w:szCs w:val="20"/>
                <w:color w:val="auto"/>
              </w:rPr>
            </w:pPr>
            <w:r>
              <w:rPr>
                <w:rFonts w:ascii="Arial" w:cs="Arial" w:eastAsia="Arial" w:hAnsi="Arial"/>
                <w:sz w:val="18"/>
                <w:szCs w:val="18"/>
                <w:color w:val="auto"/>
              </w:rPr>
              <w:t>Effect of foreign currency translation</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(3,055)</w:t>
            </w:r>
          </w:p>
        </w:tc>
      </w:tr>
      <w:tr>
        <w:trPr>
          <w:trHeight w:val="27"/>
        </w:trPr>
        <w:tc>
          <w:tcPr>
            <w:tcW w:w="978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Balance at March 31, 2020</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631,033</w:t>
            </w:r>
          </w:p>
        </w:tc>
      </w:tr>
      <w:tr>
        <w:trPr>
          <w:trHeight w:val="20"/>
        </w:trPr>
        <w:tc>
          <w:tcPr>
            <w:tcW w:w="978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4. Earnings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compute basic earnings (loss) per share by dividing net income available to common stockholders by the weighted average number of common shares outstanding during the period. Diluted earnings (loss) per share is computed by dividing net income available to common stockholders by the weighted average number of common shares and dilutive potential common shares outstanding during the period. Diluted earnings (loss)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months ended March 31, 2019 was the same as basic loss per share as there was a net loss in the period and inclusion of potentially dilutive securities was anti-dilutive.</w:t>
      </w:r>
    </w:p>
    <w:p>
      <w:pPr>
        <w:spacing w:after="0" w:line="339"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9</w:t>
      </w:r>
    </w:p>
    <w:p>
      <w:pPr>
        <w:sectPr>
          <w:pgSz w:w="11900" w:h="16838" w:orient="portrait"/>
          <w:cols w:equalWidth="0" w:num="1">
            <w:col w:w="11240"/>
          </w:cols>
          <w:pgMar w:left="320" w:top="118" w:right="3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54"/>
              <w:spacing w:after="0"/>
              <w:rPr>
                <w:sz w:val="20"/>
                <w:szCs w:val="20"/>
                <w:color w:val="auto"/>
              </w:rPr>
            </w:pPr>
            <w:r>
              <w:rPr>
                <w:rFonts w:ascii="Arial" w:cs="Arial" w:eastAsia="Arial" w:hAnsi="Arial"/>
                <w:sz w:val="14"/>
                <w:szCs w:val="14"/>
                <w:b w:val="1"/>
                <w:bCs w:val="1"/>
                <w:color w:val="FFFFFF"/>
                <w:highlight w:val="darkGray"/>
                <w:w w:val="90"/>
              </w:rPr>
              <w:t>Three months ended</w:t>
            </w:r>
          </w:p>
        </w:tc>
      </w:tr>
      <w:tr>
        <w:trPr>
          <w:trHeight w:val="171"/>
        </w:trPr>
        <w:tc>
          <w:tcPr>
            <w:tcW w:w="854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020" w:type="dxa"/>
            <w:vAlign w:val="bottom"/>
            <w:shd w:val="clear" w:color="auto" w:fill="ACACAC"/>
          </w:tcPr>
          <w:p>
            <w:pPr>
              <w:spacing w:after="0"/>
              <w:rPr>
                <w:sz w:val="14"/>
                <w:szCs w:val="14"/>
                <w:color w:val="auto"/>
              </w:rPr>
            </w:pPr>
          </w:p>
        </w:tc>
        <w:tc>
          <w:tcPr>
            <w:tcW w:w="32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highlight w:val="darkGray"/>
              </w:rPr>
              <w:t>March 31,</w:t>
            </w:r>
          </w:p>
        </w:tc>
      </w:tr>
      <w:tr>
        <w:trPr>
          <w:trHeight w:val="257"/>
        </w:trPr>
        <w:tc>
          <w:tcPr>
            <w:tcW w:w="8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80" w:type="dxa"/>
            <w:vAlign w:val="bottom"/>
            <w:shd w:val="clear" w:color="auto" w:fill="ACACAC"/>
          </w:tcPr>
          <w:p>
            <w:pPr>
              <w:spacing w:after="0"/>
              <w:rPr>
                <w:sz w:val="22"/>
                <w:szCs w:val="22"/>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20" w:type="dxa"/>
            <w:vAlign w:val="bottom"/>
            <w:shd w:val="clear" w:color="auto" w:fill="ACACAC"/>
          </w:tcPr>
          <w:p>
            <w:pPr>
              <w:spacing w:after="0"/>
              <w:rPr>
                <w:sz w:val="22"/>
                <w:szCs w:val="22"/>
                <w:color w:val="auto"/>
              </w:rPr>
            </w:pPr>
          </w:p>
        </w:tc>
        <w:tc>
          <w:tcPr>
            <w:tcW w:w="108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2019</w:t>
            </w:r>
          </w:p>
        </w:tc>
      </w:tr>
      <w:tr>
        <w:trPr>
          <w:trHeight w:val="250"/>
        </w:trPr>
        <w:tc>
          <w:tcPr>
            <w:tcW w:w="8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4,639</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(1,122)</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Weighted average common shares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48,036,300</w:t>
            </w: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47,516,912</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Add effect of dilutive securities:</w:t>
            </w:r>
          </w:p>
        </w:tc>
        <w:tc>
          <w:tcPr>
            <w:tcW w:w="280" w:type="dxa"/>
            <w:vAlign w:val="bottom"/>
            <w:tcBorders>
              <w:bottom w:val="single" w:sz="8" w:color="F4F4F4"/>
            </w:tcBorders>
            <w:shd w:val="clear" w:color="auto" w:fill="F4F4F4"/>
          </w:tcPr>
          <w:p>
            <w:pPr>
              <w:spacing w:after="0"/>
              <w:rPr>
                <w:sz w:val="21"/>
                <w:szCs w:val="21"/>
                <w:color w:val="auto"/>
              </w:rPr>
            </w:pPr>
          </w:p>
        </w:tc>
        <w:tc>
          <w:tcPr>
            <w:tcW w:w="1020" w:type="dxa"/>
            <w:vAlign w:val="bottom"/>
            <w:tcBorders>
              <w:bottom w:val="single" w:sz="8" w:color="F4F4F4"/>
            </w:tcBorders>
            <w:shd w:val="clear" w:color="auto" w:fill="F4F4F4"/>
          </w:tcPr>
          <w:p>
            <w:pPr>
              <w:spacing w:after="0"/>
              <w:rPr>
                <w:sz w:val="21"/>
                <w:szCs w:val="21"/>
                <w:color w:val="auto"/>
              </w:rPr>
            </w:pPr>
          </w:p>
        </w:tc>
        <w:tc>
          <w:tcPr>
            <w:tcW w:w="3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Stock-based awards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419,451</w:t>
            </w: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54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8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Weighted average common shares assuming dilution</w:t>
            </w:r>
          </w:p>
        </w:tc>
        <w:tc>
          <w:tcPr>
            <w:tcW w:w="280" w:type="dxa"/>
            <w:vAlign w:val="bottom"/>
            <w:tcBorders>
              <w:bottom w:val="single" w:sz="8" w:color="F4F4F4"/>
            </w:tcBorders>
            <w:shd w:val="clear" w:color="auto" w:fill="F4F4F4"/>
          </w:tcPr>
          <w:p>
            <w:pPr>
              <w:spacing w:after="0"/>
              <w:rPr>
                <w:sz w:val="22"/>
                <w:szCs w:val="22"/>
                <w:color w:val="auto"/>
              </w:rPr>
            </w:pP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48,455,751</w:t>
            </w:r>
          </w:p>
        </w:tc>
        <w:tc>
          <w:tcPr>
            <w:tcW w:w="3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47,516,912</w:t>
            </w:r>
          </w:p>
        </w:tc>
      </w:tr>
      <w:tr>
        <w:trPr>
          <w:trHeight w:val="223"/>
        </w:trPr>
        <w:tc>
          <w:tcPr>
            <w:tcW w:w="85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r>
      <w:tr>
        <w:trPr>
          <w:trHeight w:val="40"/>
        </w:trPr>
        <w:tc>
          <w:tcPr>
            <w:tcW w:w="8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0"/>
        </w:trPr>
        <w:tc>
          <w:tcPr>
            <w:tcW w:w="8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Borders>
              <w:bottom w:val="single" w:sz="8" w:color="F4F4F4"/>
            </w:tcBorders>
            <w:shd w:val="clear" w:color="auto" w:fill="F4F4F4"/>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(0.02)</w:t>
            </w:r>
          </w:p>
        </w:tc>
      </w:tr>
      <w:tr>
        <w:trPr>
          <w:trHeight w:val="243"/>
        </w:trPr>
        <w:tc>
          <w:tcPr>
            <w:tcW w:w="854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3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540" w:type="dxa"/>
            <w:vAlign w:val="bottom"/>
            <w:shd w:val="clear" w:color="auto" w:fill="F4F4F4"/>
          </w:tcPr>
          <w:p>
            <w:pPr>
              <w:spacing w:after="0"/>
              <w:rPr>
                <w:sz w:val="24"/>
                <w:szCs w:val="24"/>
                <w:color w:val="auto"/>
              </w:rPr>
            </w:pPr>
          </w:p>
        </w:tc>
        <w:tc>
          <w:tcPr>
            <w:tcW w:w="280" w:type="dxa"/>
            <w:vAlign w:val="bottom"/>
            <w:shd w:val="clear" w:color="auto" w:fill="F4F4F4"/>
          </w:tcPr>
          <w:p>
            <w:pPr>
              <w:spacing w:after="0"/>
              <w:rPr>
                <w:sz w:val="24"/>
                <w:szCs w:val="24"/>
                <w:color w:val="auto"/>
              </w:rPr>
            </w:pPr>
          </w:p>
        </w:tc>
        <w:tc>
          <w:tcPr>
            <w:tcW w:w="1020" w:type="dxa"/>
            <w:vAlign w:val="bottom"/>
            <w:shd w:val="clear" w:color="auto" w:fill="F4F4F4"/>
          </w:tcPr>
          <w:p>
            <w:pPr>
              <w:spacing w:after="0"/>
              <w:rPr>
                <w:sz w:val="24"/>
                <w:szCs w:val="24"/>
                <w:color w:val="auto"/>
              </w:rPr>
            </w:pPr>
          </w:p>
        </w:tc>
        <w:tc>
          <w:tcPr>
            <w:tcW w:w="3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Anti-dilutive shares excluded from calculations of diluted earnings (loss) per share</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1,170,289</w:t>
            </w:r>
          </w:p>
        </w:tc>
        <w:tc>
          <w:tcPr>
            <w:tcW w:w="3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740,119</w:t>
            </w:r>
          </w:p>
        </w:tc>
      </w:tr>
      <w:tr>
        <w:trPr>
          <w:trHeight w:val="27"/>
        </w:trPr>
        <w:tc>
          <w:tcPr>
            <w:tcW w:w="8540" w:type="dxa"/>
            <w:vAlign w:val="bottom"/>
            <w:tcBorders>
              <w:bottom w:val="single" w:sz="8" w:color="71BF43"/>
            </w:tcBorders>
          </w:tcPr>
          <w:p>
            <w:pPr>
              <w:spacing w:after="0"/>
              <w:rPr>
                <w:sz w:val="2"/>
                <w:szCs w:val="2"/>
                <w:color w:val="auto"/>
              </w:rPr>
            </w:pPr>
          </w:p>
        </w:tc>
        <w:tc>
          <w:tcPr>
            <w:tcW w:w="280" w:type="dxa"/>
            <w:vAlign w:val="bottom"/>
            <w:tcBorders>
              <w:bottom w:val="single" w:sz="8" w:color="71BF43"/>
            </w:tcBorders>
          </w:tcPr>
          <w:p>
            <w:pPr>
              <w:spacing w:after="0"/>
              <w:rPr>
                <w:sz w:val="2"/>
                <w:szCs w:val="2"/>
                <w:color w:val="auto"/>
              </w:rPr>
            </w:pPr>
          </w:p>
        </w:tc>
        <w:tc>
          <w:tcPr>
            <w:tcW w:w="1020" w:type="dxa"/>
            <w:vAlign w:val="bottom"/>
            <w:tcBorders>
              <w:bottom w:val="single" w:sz="8" w:color="71BF43"/>
            </w:tcBorders>
          </w:tcPr>
          <w:p>
            <w:pPr>
              <w:spacing w:after="0"/>
              <w:rPr>
                <w:sz w:val="2"/>
                <w:szCs w:val="2"/>
                <w:color w:val="auto"/>
              </w:rPr>
            </w:pPr>
          </w:p>
        </w:tc>
        <w:tc>
          <w:tcPr>
            <w:tcW w:w="3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-2262505</wp:posOffset>
            </wp:positionV>
            <wp:extent cx="1714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5.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17"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17" w:lineRule="exact"/>
        <w:rPr>
          <w:rFonts w:ascii="Arial" w:cs="Arial" w:eastAsia="Arial" w:hAnsi="Arial"/>
          <w:sz w:val="18"/>
          <w:szCs w:val="18"/>
          <w:color w:val="auto"/>
        </w:rPr>
      </w:pPr>
    </w:p>
    <w:p>
      <w:pPr>
        <w:ind w:left="740" w:hanging="327"/>
        <w:spacing w:after="0" w:line="308"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38" w:lineRule="exact"/>
        <w:rPr>
          <w:rFonts w:ascii="Arial" w:cs="Arial" w:eastAsia="Arial" w:hAnsi="Arial"/>
          <w:sz w:val="17"/>
          <w:szCs w:val="17"/>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600" w:type="dxa"/>
            <w:vAlign w:val="bottom"/>
            <w:shd w:val="clear" w:color="auto" w:fill="ACACAC"/>
          </w:tcPr>
          <w:p>
            <w:pPr>
              <w:spacing w:after="0"/>
              <w:rPr>
                <w:sz w:val="22"/>
                <w:szCs w:val="22"/>
                <w:color w:val="auto"/>
              </w:rPr>
            </w:pPr>
          </w:p>
        </w:tc>
        <w:tc>
          <w:tcPr>
            <w:tcW w:w="3480" w:type="dxa"/>
            <w:vAlign w:val="bottom"/>
            <w:shd w:val="clear" w:color="auto" w:fill="ACACAC"/>
          </w:tcPr>
          <w:p>
            <w:pPr>
              <w:spacing w:after="0"/>
              <w:rPr>
                <w:sz w:val="22"/>
                <w:szCs w:val="22"/>
                <w:color w:val="auto"/>
              </w:rPr>
            </w:pPr>
          </w:p>
        </w:tc>
        <w:tc>
          <w:tcPr>
            <w:tcW w:w="500" w:type="dxa"/>
            <w:vAlign w:val="bottom"/>
            <w:shd w:val="clear" w:color="auto" w:fill="ACACAC"/>
          </w:tcPr>
          <w:p>
            <w:pPr>
              <w:spacing w:after="0"/>
              <w:rPr>
                <w:sz w:val="22"/>
                <w:szCs w:val="22"/>
                <w:color w:val="auto"/>
              </w:rPr>
            </w:pPr>
          </w:p>
        </w:tc>
        <w:tc>
          <w:tcPr>
            <w:tcW w:w="860" w:type="dxa"/>
            <w:vAlign w:val="bottom"/>
            <w:shd w:val="clear" w:color="auto" w:fill="ACACAC"/>
          </w:tcPr>
          <w:p>
            <w:pPr>
              <w:spacing w:after="0"/>
              <w:rPr>
                <w:sz w:val="22"/>
                <w:szCs w:val="22"/>
                <w:color w:val="auto"/>
              </w:rPr>
            </w:pPr>
          </w:p>
        </w:tc>
        <w:tc>
          <w:tcPr>
            <w:tcW w:w="2280" w:type="dxa"/>
            <w:vAlign w:val="bottom"/>
            <w:gridSpan w:val="6"/>
            <w:shd w:val="clear" w:color="auto" w:fill="ACACAC"/>
          </w:tcPr>
          <w:p>
            <w:pPr>
              <w:jc w:val="right"/>
              <w:ind w:right="310"/>
              <w:spacing w:after="0"/>
              <w:rPr>
                <w:sz w:val="20"/>
                <w:szCs w:val="20"/>
                <w:color w:val="auto"/>
              </w:rPr>
            </w:pPr>
            <w:r>
              <w:rPr>
                <w:rFonts w:ascii="Arial" w:cs="Arial" w:eastAsia="Arial" w:hAnsi="Arial"/>
                <w:sz w:val="14"/>
                <w:szCs w:val="14"/>
                <w:b w:val="1"/>
                <w:bCs w:val="1"/>
                <w:color w:val="FFFFFF"/>
                <w:w w:val="92"/>
              </w:rPr>
              <w:t>Fair value measurement using</w:t>
            </w:r>
          </w:p>
        </w:tc>
        <w:tc>
          <w:tcPr>
            <w:tcW w:w="960" w:type="dxa"/>
            <w:vAlign w:val="bottom"/>
            <w:shd w:val="clear" w:color="auto" w:fill="ACACAC"/>
          </w:tcPr>
          <w:p>
            <w:pPr>
              <w:spacing w:after="0"/>
              <w:rPr>
                <w:sz w:val="22"/>
                <w:szCs w:val="22"/>
                <w:color w:val="auto"/>
              </w:rPr>
            </w:pPr>
          </w:p>
        </w:tc>
        <w:tc>
          <w:tcPr>
            <w:tcW w:w="100" w:type="dxa"/>
            <w:vAlign w:val="bottom"/>
            <w:shd w:val="clear" w:color="auto" w:fill="ACACAC"/>
          </w:tcPr>
          <w:p>
            <w:pPr>
              <w:spacing w:after="0"/>
              <w:rPr>
                <w:sz w:val="22"/>
                <w:szCs w:val="22"/>
                <w:color w:val="auto"/>
              </w:rPr>
            </w:pPr>
          </w:p>
        </w:tc>
        <w:tc>
          <w:tcPr>
            <w:tcW w:w="540" w:type="dxa"/>
            <w:vAlign w:val="bottom"/>
            <w:shd w:val="clear" w:color="auto" w:fill="ACACAC"/>
          </w:tcPr>
          <w:p>
            <w:pPr>
              <w:spacing w:after="0"/>
              <w:rPr>
                <w:sz w:val="22"/>
                <w:szCs w:val="22"/>
                <w:color w:val="auto"/>
              </w:rPr>
            </w:pPr>
          </w:p>
        </w:tc>
        <w:tc>
          <w:tcPr>
            <w:tcW w:w="920" w:type="dxa"/>
            <w:vAlign w:val="bottom"/>
            <w:shd w:val="clear" w:color="auto" w:fill="ACACAC"/>
          </w:tcPr>
          <w:p>
            <w:pPr>
              <w:spacing w:after="0"/>
              <w:rPr>
                <w:sz w:val="22"/>
                <w:szCs w:val="22"/>
                <w:color w:val="auto"/>
              </w:rPr>
            </w:pPr>
          </w:p>
        </w:tc>
      </w:tr>
      <w:tr>
        <w:trPr>
          <w:trHeight w:val="295"/>
        </w:trPr>
        <w:tc>
          <w:tcPr>
            <w:tcW w:w="16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80" w:type="dxa"/>
            <w:vAlign w:val="bottom"/>
            <w:shd w:val="clear" w:color="auto" w:fill="ACACAC"/>
          </w:tcPr>
          <w:p>
            <w:pPr>
              <w:spacing w:after="0"/>
              <w:rPr>
                <w:sz w:val="24"/>
                <w:szCs w:val="24"/>
                <w:color w:val="auto"/>
              </w:rPr>
            </w:pPr>
          </w:p>
        </w:tc>
        <w:tc>
          <w:tcPr>
            <w:tcW w:w="500" w:type="dxa"/>
            <w:vAlign w:val="bottom"/>
            <w:shd w:val="clear" w:color="auto" w:fill="ACACAC"/>
          </w:tcPr>
          <w:p>
            <w:pPr>
              <w:spacing w:after="0"/>
              <w:rPr>
                <w:sz w:val="24"/>
                <w:szCs w:val="24"/>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Level 1</w:t>
            </w:r>
          </w:p>
        </w:tc>
        <w:tc>
          <w:tcPr>
            <w:tcW w:w="100" w:type="dxa"/>
            <w:vAlign w:val="bottom"/>
            <w:shd w:val="clear" w:color="auto" w:fill="ACACAC"/>
          </w:tcPr>
          <w:p>
            <w:pPr>
              <w:spacing w:after="0"/>
              <w:rPr>
                <w:sz w:val="24"/>
                <w:szCs w:val="24"/>
                <w:color w:val="auto"/>
              </w:rPr>
            </w:pPr>
          </w:p>
        </w:tc>
        <w:tc>
          <w:tcPr>
            <w:tcW w:w="100" w:type="dxa"/>
            <w:vAlign w:val="bottom"/>
            <w:shd w:val="clear" w:color="auto" w:fill="ACACAC"/>
          </w:tcPr>
          <w:p>
            <w:pPr>
              <w:spacing w:after="0"/>
              <w:rPr>
                <w:sz w:val="24"/>
                <w:szCs w:val="24"/>
                <w:color w:val="auto"/>
              </w:rPr>
            </w:pPr>
          </w:p>
        </w:tc>
        <w:tc>
          <w:tcPr>
            <w:tcW w:w="520" w:type="dxa"/>
            <w:vAlign w:val="bottom"/>
            <w:shd w:val="clear" w:color="auto" w:fill="ACACAC"/>
          </w:tcPr>
          <w:p>
            <w:pPr>
              <w:spacing w:after="0"/>
              <w:rPr>
                <w:sz w:val="24"/>
                <w:szCs w:val="24"/>
                <w:color w:val="auto"/>
              </w:rPr>
            </w:pPr>
          </w:p>
        </w:tc>
        <w:tc>
          <w:tcPr>
            <w:tcW w:w="10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Level 2</w:t>
            </w:r>
          </w:p>
        </w:tc>
        <w:tc>
          <w:tcPr>
            <w:tcW w:w="500" w:type="dxa"/>
            <w:vAlign w:val="bottom"/>
            <w:shd w:val="clear" w:color="auto" w:fill="ACACAC"/>
          </w:tcPr>
          <w:p>
            <w:pPr>
              <w:spacing w:after="0"/>
              <w:rPr>
                <w:sz w:val="24"/>
                <w:szCs w:val="24"/>
                <w:color w:val="auto"/>
              </w:rPr>
            </w:pPr>
          </w:p>
        </w:tc>
        <w:tc>
          <w:tcPr>
            <w:tcW w:w="10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Level 3</w:t>
            </w:r>
          </w:p>
        </w:tc>
        <w:tc>
          <w:tcPr>
            <w:tcW w:w="540" w:type="dxa"/>
            <w:vAlign w:val="bottom"/>
            <w:shd w:val="clear" w:color="auto" w:fill="ACACAC"/>
          </w:tcPr>
          <w:p>
            <w:pPr>
              <w:spacing w:after="0"/>
              <w:rPr>
                <w:sz w:val="24"/>
                <w:szCs w:val="24"/>
                <w:color w:val="auto"/>
              </w:rPr>
            </w:pPr>
          </w:p>
        </w:tc>
        <w:tc>
          <w:tcPr>
            <w:tcW w:w="92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Total</w:t>
            </w:r>
          </w:p>
        </w:tc>
      </w:tr>
      <w:tr>
        <w:trPr>
          <w:trHeight w:val="250"/>
        </w:trPr>
        <w:tc>
          <w:tcPr>
            <w:tcW w:w="5080" w:type="dxa"/>
            <w:vAlign w:val="bottom"/>
            <w:tcBorders>
              <w:bottom w:val="single" w:sz="8" w:color="F4F4F4"/>
            </w:tcBorders>
            <w:gridSpan w:val="2"/>
            <w:shd w:val="clear" w:color="auto" w:fill="F4F4F4"/>
          </w:tcPr>
          <w:p>
            <w:pPr>
              <w:ind w:left="40"/>
              <w:spacing w:after="0"/>
              <w:rPr>
                <w:sz w:val="20"/>
                <w:szCs w:val="20"/>
                <w:color w:val="auto"/>
              </w:rPr>
            </w:pPr>
            <w:r>
              <w:rPr>
                <w:rFonts w:ascii="Arial" w:cs="Arial" w:eastAsia="Arial" w:hAnsi="Arial"/>
                <w:sz w:val="18"/>
                <w:szCs w:val="18"/>
                <w:b w:val="1"/>
                <w:bCs w:val="1"/>
                <w:color w:val="auto"/>
              </w:rPr>
              <w:t>Fair value as of March 31, 2020</w:t>
            </w:r>
          </w:p>
        </w:tc>
        <w:tc>
          <w:tcPr>
            <w:tcW w:w="50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Financial liabilities:</w:t>
            </w:r>
          </w:p>
        </w:tc>
        <w:tc>
          <w:tcPr>
            <w:tcW w:w="34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080" w:type="dxa"/>
            <w:vAlign w:val="bottom"/>
            <w:tcBorders>
              <w:bottom w:val="single" w:sz="8" w:color="F4F4F4"/>
            </w:tcBorders>
            <w:gridSpan w:val="2"/>
            <w:shd w:val="clear" w:color="auto" w:fill="F4F4F4"/>
          </w:tcPr>
          <w:p>
            <w:pPr>
              <w:ind w:left="180"/>
              <w:spacing w:after="0"/>
              <w:rPr>
                <w:sz w:val="20"/>
                <w:szCs w:val="20"/>
                <w:color w:val="auto"/>
              </w:rPr>
            </w:pPr>
            <w:r>
              <w:rPr>
                <w:rFonts w:ascii="Arial" w:cs="Arial" w:eastAsia="Arial" w:hAnsi="Arial"/>
                <w:sz w:val="18"/>
                <w:szCs w:val="18"/>
                <w:color w:val="auto"/>
              </w:rPr>
              <w:t>Derivative instruments</w:t>
            </w:r>
          </w:p>
        </w:tc>
        <w:tc>
          <w:tcPr>
            <w:tcW w:w="50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F4F4F4"/>
            </w:tcBorders>
            <w:gridSpan w:val="3"/>
            <w:shd w:val="clear" w:color="auto" w:fill="F4F4F4"/>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5,979</w:t>
            </w:r>
          </w:p>
        </w:tc>
        <w:tc>
          <w:tcPr>
            <w:tcW w:w="120" w:type="dxa"/>
            <w:vAlign w:val="bottom"/>
            <w:tcBorders>
              <w:bottom w:val="single" w:sz="8" w:color="F4F4F4"/>
            </w:tcBorders>
            <w:shd w:val="clear" w:color="auto" w:fill="F4F4F4"/>
          </w:tcPr>
          <w:p>
            <w:pPr>
              <w:spacing w:after="0"/>
              <w:rPr>
                <w:sz w:val="23"/>
                <w:szCs w:val="23"/>
                <w:color w:val="auto"/>
              </w:rPr>
            </w:pP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5,979</w:t>
            </w:r>
          </w:p>
        </w:tc>
      </w:tr>
      <w:tr>
        <w:trPr>
          <w:trHeight w:val="237"/>
        </w:trPr>
        <w:tc>
          <w:tcPr>
            <w:tcW w:w="5080" w:type="dxa"/>
            <w:vAlign w:val="bottom"/>
            <w:gridSpan w:val="2"/>
          </w:tcPr>
          <w:p>
            <w:pPr>
              <w:ind w:left="280"/>
              <w:spacing w:after="0"/>
              <w:rPr>
                <w:sz w:val="20"/>
                <w:szCs w:val="20"/>
                <w:color w:val="auto"/>
              </w:rPr>
            </w:pPr>
            <w:r>
              <w:rPr>
                <w:rFonts w:ascii="Arial" w:cs="Arial" w:eastAsia="Arial" w:hAnsi="Arial"/>
                <w:sz w:val="18"/>
                <w:szCs w:val="18"/>
                <w:color w:val="auto"/>
              </w:rPr>
              <w:t>Total financial liabilities</w:t>
            </w:r>
          </w:p>
        </w:tc>
        <w:tc>
          <w:tcPr>
            <w:tcW w:w="5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5,979</w:t>
            </w:r>
          </w:p>
        </w:tc>
        <w:tc>
          <w:tcPr>
            <w:tcW w:w="12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5,979</w:t>
            </w:r>
          </w:p>
        </w:tc>
      </w:tr>
      <w:tr>
        <w:trPr>
          <w:trHeight w:val="27"/>
        </w:trPr>
        <w:tc>
          <w:tcPr>
            <w:tcW w:w="50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324"/>
        </w:trPr>
        <w:tc>
          <w:tcPr>
            <w:tcW w:w="5080" w:type="dxa"/>
            <w:vAlign w:val="bottom"/>
            <w:gridSpan w:val="2"/>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86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520" w:type="dxa"/>
            <w:vAlign w:val="bottom"/>
            <w:shd w:val="clear" w:color="auto" w:fill="F4F4F4"/>
          </w:tcPr>
          <w:p>
            <w:pPr>
              <w:spacing w:after="0"/>
              <w:rPr>
                <w:sz w:val="24"/>
                <w:szCs w:val="24"/>
                <w:color w:val="auto"/>
              </w:rPr>
            </w:pPr>
          </w:p>
        </w:tc>
        <w:tc>
          <w:tcPr>
            <w:tcW w:w="940" w:type="dxa"/>
            <w:vAlign w:val="bottom"/>
            <w:shd w:val="clear" w:color="auto" w:fill="F4F4F4"/>
          </w:tcPr>
          <w:p>
            <w:pPr>
              <w:spacing w:after="0"/>
              <w:rPr>
                <w:sz w:val="24"/>
                <w:szCs w:val="24"/>
                <w:color w:val="auto"/>
              </w:rPr>
            </w:pPr>
          </w:p>
        </w:tc>
        <w:tc>
          <w:tcPr>
            <w:tcW w:w="120" w:type="dxa"/>
            <w:vAlign w:val="bottom"/>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960" w:type="dxa"/>
            <w:vAlign w:val="bottom"/>
            <w:shd w:val="clear" w:color="auto" w:fill="F4F4F4"/>
          </w:tcPr>
          <w:p>
            <w:pPr>
              <w:spacing w:after="0"/>
              <w:rPr>
                <w:sz w:val="24"/>
                <w:szCs w:val="24"/>
                <w:color w:val="auto"/>
              </w:rPr>
            </w:pPr>
          </w:p>
        </w:tc>
        <w:tc>
          <w:tcPr>
            <w:tcW w:w="100" w:type="dxa"/>
            <w:vAlign w:val="bottom"/>
            <w:shd w:val="clear" w:color="auto" w:fill="F4F4F4"/>
          </w:tcPr>
          <w:p>
            <w:pPr>
              <w:spacing w:after="0"/>
              <w:rPr>
                <w:sz w:val="24"/>
                <w:szCs w:val="24"/>
                <w:color w:val="auto"/>
              </w:rPr>
            </w:pPr>
          </w:p>
        </w:tc>
        <w:tc>
          <w:tcPr>
            <w:tcW w:w="54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r>
      <w:tr>
        <w:trPr>
          <w:trHeight w:val="243"/>
        </w:trPr>
        <w:tc>
          <w:tcPr>
            <w:tcW w:w="50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 as of December 31, 2019</w:t>
            </w: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16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Financial liabilities:</w:t>
            </w:r>
          </w:p>
        </w:tc>
        <w:tc>
          <w:tcPr>
            <w:tcW w:w="34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2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Derivative instruments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1,757</w:t>
            </w:r>
          </w:p>
        </w:tc>
      </w:tr>
      <w:tr>
        <w:trPr>
          <w:trHeight w:val="27"/>
        </w:trPr>
        <w:tc>
          <w:tcPr>
            <w:tcW w:w="5080" w:type="dxa"/>
            <w:vAlign w:val="bottom"/>
            <w:tcBorders>
              <w:bottom w:val="single" w:sz="8" w:color="F4F4F4"/>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080" w:type="dxa"/>
            <w:vAlign w:val="bottom"/>
            <w:tcBorders>
              <w:bottom w:val="single" w:sz="8" w:color="F4F4F4"/>
            </w:tcBorders>
            <w:gridSpan w:val="2"/>
            <w:shd w:val="clear" w:color="auto" w:fill="F4F4F4"/>
          </w:tcPr>
          <w:p>
            <w:pPr>
              <w:ind w:left="280"/>
              <w:spacing w:after="0"/>
              <w:rPr>
                <w:sz w:val="20"/>
                <w:szCs w:val="20"/>
                <w:color w:val="auto"/>
              </w:rPr>
            </w:pPr>
            <w:r>
              <w:rPr>
                <w:rFonts w:ascii="Arial" w:cs="Arial" w:eastAsia="Arial" w:hAnsi="Arial"/>
                <w:sz w:val="18"/>
                <w:szCs w:val="18"/>
                <w:color w:val="auto"/>
              </w:rPr>
              <w:t>Total financial liabilities</w:t>
            </w:r>
          </w:p>
        </w:tc>
        <w:tc>
          <w:tcPr>
            <w:tcW w:w="50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F4F4F4"/>
            </w:tcBorders>
            <w:gridSpan w:val="3"/>
            <w:shd w:val="clear" w:color="auto" w:fill="F4F4F4"/>
          </w:tcPr>
          <w:p>
            <w:pPr>
              <w:jc w:val="right"/>
              <w:ind w:right="3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1,757</w:t>
            </w:r>
          </w:p>
        </w:tc>
        <w:tc>
          <w:tcPr>
            <w:tcW w:w="120" w:type="dxa"/>
            <w:vAlign w:val="bottom"/>
            <w:tcBorders>
              <w:bottom w:val="single" w:sz="8" w:color="F4F4F4"/>
            </w:tcBorders>
            <w:shd w:val="clear" w:color="auto" w:fill="F4F4F4"/>
          </w:tcPr>
          <w:p>
            <w:pPr>
              <w:spacing w:after="0"/>
              <w:rPr>
                <w:sz w:val="22"/>
                <w:szCs w:val="22"/>
                <w:color w:val="auto"/>
              </w:rPr>
            </w:pP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1,757</w:t>
            </w:r>
          </w:p>
        </w:tc>
      </w:tr>
      <w:tr>
        <w:trPr>
          <w:trHeight w:val="764"/>
        </w:trPr>
        <w:tc>
          <w:tcPr>
            <w:tcW w:w="1600" w:type="dxa"/>
            <w:vAlign w:val="bottom"/>
            <w:tcBorders>
              <w:top w:val="single" w:sz="8" w:color="71BF43"/>
            </w:tcBorders>
          </w:tcPr>
          <w:p>
            <w:pPr>
              <w:ind w:left="300"/>
              <w:spacing w:after="0"/>
              <w:rPr>
                <w:sz w:val="20"/>
                <w:szCs w:val="20"/>
                <w:color w:val="auto"/>
              </w:rPr>
            </w:pPr>
            <w:r>
              <w:rPr>
                <w:rFonts w:ascii="Arial" w:cs="Arial" w:eastAsia="Arial" w:hAnsi="Arial"/>
                <w:sz w:val="14"/>
                <w:szCs w:val="14"/>
                <w:color w:val="auto"/>
              </w:rPr>
              <w:t>10</w:t>
            </w:r>
          </w:p>
        </w:tc>
        <w:tc>
          <w:tcPr>
            <w:tcW w:w="3480" w:type="dxa"/>
            <w:vAlign w:val="bottom"/>
            <w:tcBorders>
              <w:top w:val="single" w:sz="8" w:color="71BF43"/>
            </w:tcBorders>
          </w:tcPr>
          <w:p>
            <w:pPr>
              <w:ind w:left="120"/>
              <w:spacing w:after="0"/>
              <w:rPr>
                <w:sz w:val="20"/>
                <w:szCs w:val="20"/>
                <w:color w:val="auto"/>
              </w:rPr>
            </w:pPr>
            <w:r>
              <w:rPr>
                <w:rFonts w:ascii="Arial" w:cs="Arial" w:eastAsia="Arial" w:hAnsi="Arial"/>
                <w:sz w:val="14"/>
                <w:szCs w:val="14"/>
                <w:color w:val="auto"/>
              </w:rPr>
              <w:t>First Quarter 2020 Form 10-Q</w:t>
            </w:r>
          </w:p>
        </w:tc>
        <w:tc>
          <w:tcPr>
            <w:tcW w:w="500" w:type="dxa"/>
            <w:vAlign w:val="bottom"/>
            <w:tcBorders>
              <w:top w:val="single" w:sz="8" w:color="71BF43"/>
            </w:tcBorders>
          </w:tcPr>
          <w:p>
            <w:pPr>
              <w:spacing w:after="0"/>
              <w:rPr>
                <w:sz w:val="24"/>
                <w:szCs w:val="24"/>
                <w:color w:val="auto"/>
              </w:rPr>
            </w:pPr>
          </w:p>
        </w:tc>
        <w:tc>
          <w:tcPr>
            <w:tcW w:w="86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52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120" w:type="dxa"/>
            <w:vAlign w:val="bottom"/>
            <w:tcBorders>
              <w:top w:val="single" w:sz="8" w:color="71BF43"/>
            </w:tcBorders>
          </w:tcPr>
          <w:p>
            <w:pPr>
              <w:spacing w:after="0"/>
              <w:rPr>
                <w:sz w:val="24"/>
                <w:szCs w:val="24"/>
                <w:color w:val="auto"/>
              </w:rPr>
            </w:pPr>
          </w:p>
        </w:tc>
        <w:tc>
          <w:tcPr>
            <w:tcW w:w="500" w:type="dxa"/>
            <w:vAlign w:val="bottom"/>
            <w:tcBorders>
              <w:top w:val="single" w:sz="8" w:color="71BF43"/>
            </w:tcBorders>
          </w:tcPr>
          <w:p>
            <w:pPr>
              <w:spacing w:after="0"/>
              <w:rPr>
                <w:sz w:val="24"/>
                <w:szCs w:val="24"/>
                <w:color w:val="auto"/>
              </w:rPr>
            </w:pPr>
          </w:p>
        </w:tc>
        <w:tc>
          <w:tcPr>
            <w:tcW w:w="96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540" w:type="dxa"/>
            <w:vAlign w:val="bottom"/>
            <w:tcBorders>
              <w:top w:val="single" w:sz="8" w:color="71BF43"/>
            </w:tcBorders>
          </w:tcPr>
          <w:p>
            <w:pPr>
              <w:spacing w:after="0"/>
              <w:rPr>
                <w:sz w:val="24"/>
                <w:szCs w:val="24"/>
                <w:color w:val="auto"/>
              </w:rPr>
            </w:pPr>
          </w:p>
        </w:tc>
        <w:tc>
          <w:tcPr>
            <w:tcW w:w="920" w:type="dxa"/>
            <w:vAlign w:val="bottom"/>
            <w:tcBorders>
              <w:top w:val="single" w:sz="8" w:color="71BF4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-2272030</wp:posOffset>
            </wp:positionV>
            <wp:extent cx="29229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2290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w:t>
      </w:r>
    </w:p>
    <w:p>
      <w:pPr>
        <w:spacing w:after="0" w:line="1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the carrying amounts of our cash and cash equivalents, restricted cash due to customers, accounts receivable, trade accounts payable, accrued expenses and other current liabilities and due to customers approximate their fair values at March 31, 2020 and December 31, 2019, due to the immediate or short-term maturity of these instruments.</w:t>
      </w:r>
    </w:p>
    <w:p>
      <w:pPr>
        <w:spacing w:after="0" w:line="13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 carrying amount of our debt approximates its fair value at March 31, 2020 and December 31, 2019, as the debt bears interest rates that approximate market value. As LIBOR rates are observable at commonly quoted intervals, our debt is classified within Level 2 of the fair value hierarchy.</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did not transfer any assets or liabilities among the levels within the fair value hierarchy during the three months ended March 31, 2020. Additionally, we did not hold any Level 3 assets or liabilities during the three months ended March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Assets and liabilities that are measured at fair value on a non-recurring basis include intangible assets, goodwill and operating lease right-of-use ("ROU") assets, which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non-recurring fair value adjustments to our long-lived assets, intangible assets, operating lease ROU assets and goodwill during the three months ended March 31, 2020.</w:t>
      </w:r>
    </w:p>
    <w:p>
      <w:pPr>
        <w:spacing w:after="0" w:line="332"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11</w:t>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6.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March 31,</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53"/>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70"/>
        </w:trPr>
        <w:tc>
          <w:tcPr>
            <w:tcW w:w="8100" w:type="dxa"/>
            <w:vAlign w:val="bottom"/>
            <w:shd w:val="clear" w:color="auto" w:fill="F4F4F4"/>
          </w:tcPr>
          <w:p>
            <w:pPr>
              <w:ind w:left="40"/>
              <w:spacing w:after="0" w:line="270" w:lineRule="exact"/>
              <w:rPr>
                <w:sz w:val="20"/>
                <w:szCs w:val="20"/>
                <w:color w:val="auto"/>
              </w:rPr>
            </w:pPr>
            <w:r>
              <w:rPr>
                <w:rFonts w:ascii="Arial" w:cs="Arial" w:eastAsia="Arial" w:hAnsi="Arial"/>
                <w:sz w:val="18"/>
                <w:szCs w:val="18"/>
                <w:color w:val="auto"/>
              </w:rPr>
              <w:t>Costs of obtaining contracts</w:t>
            </w:r>
            <w:r>
              <w:rPr>
                <w:rFonts w:ascii="Arial" w:cs="Arial" w:eastAsia="Arial" w:hAnsi="Arial"/>
                <w:sz w:val="29"/>
                <w:szCs w:val="29"/>
                <w:color w:val="auto"/>
                <w:vertAlign w:val="superscript"/>
              </w:rPr>
              <w:t>(1)(2)</w:t>
            </w:r>
          </w:p>
        </w:tc>
        <w:tc>
          <w:tcPr>
            <w:tcW w:w="460" w:type="dxa"/>
            <w:vAlign w:val="bottom"/>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86,867</w:t>
            </w:r>
          </w:p>
        </w:tc>
        <w:tc>
          <w:tcPr>
            <w:tcW w:w="380" w:type="dxa"/>
            <w:vAlign w:val="bottom"/>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90,764</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line="270" w:lineRule="exact"/>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9"/>
                <w:szCs w:val="29"/>
                <w:color w:val="auto"/>
                <w:vertAlign w:val="superscript"/>
              </w:rPr>
              <w:t>(3)</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30,097</w:t>
            </w:r>
          </w:p>
        </w:tc>
        <w:tc>
          <w:tcPr>
            <w:tcW w:w="380" w:type="dxa"/>
            <w:vAlign w:val="bottom"/>
          </w:tcPr>
          <w:p>
            <w:pPr>
              <w:spacing w:after="0"/>
              <w:rPr>
                <w:sz w:val="23"/>
                <w:szCs w:val="23"/>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17,384</w:t>
            </w:r>
          </w:p>
        </w:tc>
        <w:tc>
          <w:tcPr>
            <w:tcW w:w="0" w:type="dxa"/>
            <w:vAlign w:val="bottom"/>
          </w:tcPr>
          <w:p>
            <w:pPr>
              <w:spacing w:after="0"/>
              <w:rPr>
                <w:sz w:val="1"/>
                <w:szCs w:val="1"/>
                <w:color w:val="auto"/>
              </w:rPr>
            </w:pPr>
          </w:p>
        </w:tc>
      </w:tr>
      <w:tr>
        <w:trPr>
          <w:trHeight w:val="270"/>
        </w:trPr>
        <w:tc>
          <w:tcPr>
            <w:tcW w:w="8100" w:type="dxa"/>
            <w:vAlign w:val="bottom"/>
            <w:shd w:val="clear" w:color="auto" w:fill="F4F4F4"/>
          </w:tcPr>
          <w:p>
            <w:pPr>
              <w:ind w:left="40"/>
              <w:spacing w:after="0" w:line="270" w:lineRule="exact"/>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9"/>
                <w:szCs w:val="29"/>
                <w:color w:val="auto"/>
                <w:vertAlign w:val="superscript"/>
              </w:rPr>
              <w:t>(4)(5)</w:t>
            </w:r>
          </w:p>
        </w:tc>
        <w:tc>
          <w:tcPr>
            <w:tcW w:w="460" w:type="dxa"/>
            <w:vAlign w:val="bottom"/>
            <w:shd w:val="clear" w:color="auto" w:fill="F4F4F4"/>
          </w:tcPr>
          <w:p>
            <w:pPr>
              <w:spacing w:after="0"/>
              <w:rPr>
                <w:sz w:val="23"/>
                <w:szCs w:val="23"/>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8,881</w:t>
            </w:r>
          </w:p>
        </w:tc>
        <w:tc>
          <w:tcPr>
            <w:tcW w:w="380" w:type="dxa"/>
            <w:vAlign w:val="bottom"/>
            <w:shd w:val="clear" w:color="auto" w:fill="F4F4F4"/>
          </w:tcPr>
          <w:p>
            <w:pPr>
              <w:spacing w:after="0"/>
              <w:rPr>
                <w:sz w:val="23"/>
                <w:szCs w:val="23"/>
                <w:color w:val="auto"/>
              </w:rPr>
            </w:pPr>
          </w:p>
        </w:tc>
        <w:tc>
          <w:tcPr>
            <w:tcW w:w="122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Unbilled accounts receivable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8,145</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6,233</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Prepaid insurance</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2,994</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Taxes, prepaid and receivable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843</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Security deposits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864</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8,659</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prepaid expenses and other assets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147,350</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133,045</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66,346</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65,193</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81,004</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67,852</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$9.5 million and $9.6 million for the three months ended March 31, 2020 and 2019, respectively.</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March 31, 2020 and December 31, 2019 was $31.9 million and $33.0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March 31, 2020 and December 31, 2019 was $24.7 million and $16.1 million, respectively.</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These costs, which were previously included in prepaid software maintenance and subscriptions, primarily relate to the multi-year implementations of our new global enterprise resource planning and customer relationship management systems.</w:t>
      </w:r>
    </w:p>
    <w:p>
      <w:pPr>
        <w:ind w:left="340" w:hanging="332"/>
        <w:spacing w:after="0" w:line="255"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months ended March 31, 2020 and 2019, respectively. Accumulated amortization for these costs was insignificant as of March 31, 2020 and December 31, 2019.</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March 31,</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52"/>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8100" w:type="dxa"/>
            <w:vAlign w:val="bottom"/>
            <w:vMerge w:val="continue"/>
            <w:shd w:val="clear" w:color="auto" w:fill="ACACAC"/>
          </w:tcPr>
          <w:p>
            <w:pPr>
              <w:spacing w:after="0"/>
              <w:rPr>
                <w:sz w:val="17"/>
                <w:szCs w:val="17"/>
                <w:color w:val="auto"/>
              </w:rPr>
            </w:pPr>
          </w:p>
        </w:tc>
        <w:tc>
          <w:tcPr>
            <w:tcW w:w="460" w:type="dxa"/>
            <w:vAlign w:val="bottom"/>
            <w:shd w:val="clear" w:color="auto" w:fill="ACACAC"/>
          </w:tcPr>
          <w:p>
            <w:pPr>
              <w:spacing w:after="0"/>
              <w:rPr>
                <w:sz w:val="17"/>
                <w:szCs w:val="17"/>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Operating lease liabilities, current portion</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19,672</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19,784</w:t>
            </w:r>
          </w:p>
        </w:tc>
        <w:tc>
          <w:tcPr>
            <w:tcW w:w="0" w:type="dxa"/>
            <w:vAlign w:val="bottom"/>
          </w:tcPr>
          <w:p>
            <w:pPr>
              <w:spacing w:after="0"/>
              <w:rPr>
                <w:sz w:val="1"/>
                <w:szCs w:val="1"/>
                <w:color w:val="auto"/>
              </w:rPr>
            </w:pPr>
          </w:p>
        </w:tc>
      </w:tr>
      <w:tr>
        <w:trPr>
          <w:trHeight w:val="270"/>
        </w:trPr>
        <w:tc>
          <w:tcPr>
            <w:tcW w:w="8100" w:type="dxa"/>
            <w:vAlign w:val="bottom"/>
          </w:tcPr>
          <w:p>
            <w:pPr>
              <w:ind w:left="40"/>
              <w:spacing w:after="0" w:line="270" w:lineRule="exact"/>
              <w:rPr>
                <w:sz w:val="20"/>
                <w:szCs w:val="20"/>
                <w:color w:val="auto"/>
              </w:rPr>
            </w:pPr>
            <w:r>
              <w:rPr>
                <w:rFonts w:ascii="Arial" w:cs="Arial" w:eastAsia="Arial" w:hAnsi="Arial"/>
                <w:sz w:val="18"/>
                <w:szCs w:val="18"/>
                <w:color w:val="auto"/>
              </w:rPr>
              <w:t>Accrued bonuses</w:t>
            </w:r>
            <w:r>
              <w:rPr>
                <w:rFonts w:ascii="Arial" w:cs="Arial" w:eastAsia="Arial" w:hAnsi="Arial"/>
                <w:sz w:val="29"/>
                <w:szCs w:val="29"/>
                <w:color w:val="auto"/>
                <w:vertAlign w:val="superscript"/>
              </w:rPr>
              <w:t>(1)</w:t>
            </w:r>
          </w:p>
        </w:tc>
        <w:tc>
          <w:tcPr>
            <w:tcW w:w="4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2,116</w:t>
            </w:r>
          </w:p>
        </w:tc>
        <w:tc>
          <w:tcPr>
            <w:tcW w:w="38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24,617</w:t>
            </w:r>
          </w:p>
        </w:tc>
        <w:tc>
          <w:tcPr>
            <w:tcW w:w="0" w:type="dxa"/>
            <w:vAlign w:val="bottom"/>
          </w:tcPr>
          <w:p>
            <w:pPr>
              <w:spacing w:after="0"/>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commissions and salaries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3,945</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6,980</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Taxes payable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4,659</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6,835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Derivative instruments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5,979</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Customer credit balances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4,359</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4,505</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Unrecognized tax benefit</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3,821</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Accrued vacation costs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2,145</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7"/>
        </w:trPr>
        <w:tc>
          <w:tcPr>
            <w:tcW w:w="8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health care costs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2,416</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2,399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7,606</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6,192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accrued expenses and other liabilities</w:t>
            </w:r>
          </w:p>
        </w:tc>
        <w:tc>
          <w:tcPr>
            <w:tcW w:w="46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56,718</w:t>
            </w:r>
          </w:p>
        </w:tc>
        <w:tc>
          <w:tcPr>
            <w:tcW w:w="380" w:type="dxa"/>
            <w:vAlign w:val="bottom"/>
            <w:tcBorders>
              <w:bottom w:val="single" w:sz="8" w:color="F4F4F4"/>
            </w:tcBorders>
            <w:shd w:val="clear" w:color="auto" w:fill="F4F4F4"/>
          </w:tcPr>
          <w:p>
            <w:pPr>
              <w:spacing w:after="0"/>
              <w:rPr>
                <w:sz w:val="21"/>
                <w:szCs w:val="21"/>
                <w:color w:val="auto"/>
              </w:rPr>
            </w:pP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79,059</w:t>
            </w:r>
          </w:p>
        </w:tc>
        <w:tc>
          <w:tcPr>
            <w:tcW w:w="0" w:type="dxa"/>
            <w:vAlign w:val="bottom"/>
          </w:tcPr>
          <w:p>
            <w:pPr>
              <w:spacing w:after="0"/>
              <w:rPr>
                <w:sz w:val="1"/>
                <w:szCs w:val="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10,937</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7"/>
        </w:trPr>
        <w:tc>
          <w:tcPr>
            <w:tcW w:w="8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45,781</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73,317</w:t>
            </w:r>
          </w:p>
        </w:tc>
        <w:tc>
          <w:tcPr>
            <w:tcW w:w="0" w:type="dxa"/>
            <w:vAlign w:val="bottom"/>
          </w:tcPr>
          <w:p>
            <w:pPr>
              <w:spacing w:after="0"/>
              <w:rPr>
                <w:sz w:val="1"/>
                <w:szCs w:val="1"/>
                <w:color w:val="auto"/>
              </w:rPr>
            </w:pPr>
          </w:p>
        </w:tc>
      </w:tr>
      <w:tr>
        <w:trPr>
          <w:trHeight w:val="20"/>
        </w:trPr>
        <w:tc>
          <w:tcPr>
            <w:tcW w:w="8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40" w:hanging="332"/>
        <w:spacing w:after="0" w:line="273"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 March 2020, we reduced our accrued bonuses due to the payment of bonuses from the prior year and, in response to the global COVID-19 pandemic, determined to replace our 2020 cash bonus plans with performance-based equity awards (See Note 15 to these financial statements).</w:t>
      </w:r>
    </w:p>
    <w:p>
      <w:pPr>
        <w:spacing w:after="0" w:line="200" w:lineRule="exact"/>
        <w:rPr>
          <w:sz w:val="20"/>
          <w:szCs w:val="20"/>
          <w:color w:val="auto"/>
        </w:rPr>
      </w:pPr>
    </w:p>
    <w:p>
      <w:pPr>
        <w:spacing w:after="0" w:line="356"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12  </w:t>
      </w:r>
      <w:r>
        <w:rPr>
          <w:sz w:val="1"/>
          <w:szCs w:val="1"/>
          <w:color w:val="auto"/>
        </w:rPr>
        <w:drawing>
          <wp:inline distT="0" distB="0" distL="0" distR="0">
            <wp:extent cx="668655" cy="10287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00" w:type="dxa"/>
            <w:vAlign w:val="bottom"/>
            <w:shd w:val="clear" w:color="auto" w:fill="ACACAC"/>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40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highlight w:val="darkGray"/>
                <w:w w:val="90"/>
              </w:rPr>
              <w:t>Three months ended</w:t>
            </w:r>
          </w:p>
        </w:tc>
      </w:tr>
      <w:tr>
        <w:trPr>
          <w:trHeight w:val="171"/>
        </w:trPr>
        <w:tc>
          <w:tcPr>
            <w:tcW w:w="8100" w:type="dxa"/>
            <w:vAlign w:val="bottom"/>
            <w:shd w:val="clear" w:color="auto" w:fill="ACACAC"/>
          </w:tcPr>
          <w:p>
            <w:pPr>
              <w:spacing w:after="0"/>
              <w:rPr>
                <w:sz w:val="14"/>
                <w:szCs w:val="14"/>
                <w:color w:val="auto"/>
              </w:rPr>
            </w:pPr>
          </w:p>
        </w:tc>
        <w:tc>
          <w:tcPr>
            <w:tcW w:w="600" w:type="dxa"/>
            <w:vAlign w:val="bottom"/>
            <w:shd w:val="clear" w:color="auto" w:fill="ACACAC"/>
          </w:tcPr>
          <w:p>
            <w:pPr>
              <w:spacing w:after="0"/>
              <w:rPr>
                <w:sz w:val="14"/>
                <w:szCs w:val="14"/>
                <w:color w:val="auto"/>
              </w:rPr>
            </w:pPr>
          </w:p>
        </w:tc>
        <w:tc>
          <w:tcPr>
            <w:tcW w:w="940" w:type="dxa"/>
            <w:vAlign w:val="bottom"/>
            <w:shd w:val="clear" w:color="auto" w:fill="ACACAC"/>
          </w:tcPr>
          <w:p>
            <w:pPr>
              <w:spacing w:after="0"/>
              <w:rPr>
                <w:sz w:val="14"/>
                <w:szCs w:val="14"/>
                <w:color w:val="auto"/>
              </w:rPr>
            </w:pPr>
          </w:p>
        </w:tc>
        <w:tc>
          <w:tcPr>
            <w:tcW w:w="200" w:type="dxa"/>
            <w:vAlign w:val="bottom"/>
            <w:shd w:val="clear" w:color="auto" w:fill="ACACAC"/>
          </w:tcPr>
          <w:p>
            <w:pPr>
              <w:spacing w:after="0"/>
              <w:rPr>
                <w:sz w:val="14"/>
                <w:szCs w:val="14"/>
                <w:color w:val="auto"/>
              </w:rPr>
            </w:pPr>
          </w:p>
        </w:tc>
        <w:tc>
          <w:tcPr>
            <w:tcW w:w="140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highlight w:val="darkGray"/>
              </w:rPr>
              <w:t>March 31,</w:t>
            </w:r>
          </w:p>
        </w:tc>
      </w:tr>
      <w:tr>
        <w:trPr>
          <w:trHeight w:val="257"/>
        </w:trPr>
        <w:tc>
          <w:tcPr>
            <w:tcW w:w="810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00" w:type="dxa"/>
            <w:vAlign w:val="bottom"/>
            <w:shd w:val="clear" w:color="auto" w:fill="ACACAC"/>
          </w:tcPr>
          <w:p>
            <w:pPr>
              <w:spacing w:after="0"/>
              <w:rPr>
                <w:sz w:val="22"/>
                <w:szCs w:val="22"/>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00" w:type="dxa"/>
            <w:vAlign w:val="bottom"/>
            <w:shd w:val="clear" w:color="auto" w:fill="ACACAC"/>
          </w:tcPr>
          <w:p>
            <w:pPr>
              <w:spacing w:after="0"/>
              <w:rPr>
                <w:sz w:val="22"/>
                <w:szCs w:val="22"/>
                <w:color w:val="auto"/>
              </w:rPr>
            </w:pPr>
          </w:p>
        </w:tc>
        <w:tc>
          <w:tcPr>
            <w:tcW w:w="140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2019</w:t>
            </w:r>
          </w:p>
        </w:tc>
      </w:tr>
      <w:tr>
        <w:trPr>
          <w:trHeight w:val="250"/>
        </w:trPr>
        <w:tc>
          <w:tcPr>
            <w:tcW w:w="81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income</w:t>
            </w:r>
          </w:p>
        </w:tc>
        <w:tc>
          <w:tcPr>
            <w:tcW w:w="600" w:type="dxa"/>
            <w:vAlign w:val="bottom"/>
            <w:tcBorders>
              <w:bottom w:val="single" w:sz="8" w:color="F4F4F4"/>
            </w:tcBorders>
            <w:shd w:val="clear" w:color="auto" w:fill="F4F4F4"/>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522</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654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6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548</w:t>
            </w: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(472)</w:t>
            </w:r>
          </w:p>
        </w:tc>
      </w:tr>
      <w:tr>
        <w:trPr>
          <w:trHeight w:val="27"/>
        </w:trPr>
        <w:tc>
          <w:tcPr>
            <w:tcW w:w="8100" w:type="dxa"/>
            <w:vAlign w:val="bottom"/>
            <w:tcBorders>
              <w:bottom w:val="single" w:sz="8" w:color="F4F4F4"/>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3"/>
        </w:trPr>
        <w:tc>
          <w:tcPr>
            <w:tcW w:w="810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Other income, net</w:t>
            </w:r>
          </w:p>
        </w:tc>
        <w:tc>
          <w:tcPr>
            <w:tcW w:w="600" w:type="dxa"/>
            <w:vAlign w:val="bottom"/>
            <w:tcBorders>
              <w:bottom w:val="single" w:sz="8" w:color="F4F4F4"/>
            </w:tcBorders>
            <w:shd w:val="clear" w:color="auto" w:fill="F4F4F4"/>
          </w:tcPr>
          <w:p>
            <w:pPr>
              <w:jc w:val="right"/>
              <w:ind w:right="3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1,070</w:t>
            </w:r>
          </w:p>
        </w:tc>
        <w:tc>
          <w:tcPr>
            <w:tcW w:w="2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182</w:t>
            </w:r>
          </w:p>
        </w:tc>
      </w:tr>
      <w:tr>
        <w:trPr>
          <w:trHeight w:val="20"/>
        </w:trPr>
        <w:tc>
          <w:tcPr>
            <w:tcW w:w="8100" w:type="dxa"/>
            <w:vAlign w:val="bottom"/>
            <w:shd w:val="clear" w:color="auto" w:fill="71BF43"/>
          </w:tcPr>
          <w:p>
            <w:pPr>
              <w:spacing w:after="0" w:line="20" w:lineRule="exact"/>
              <w:rPr>
                <w:sz w:val="1"/>
                <w:szCs w:val="1"/>
                <w:color w:val="auto"/>
              </w:rPr>
            </w:pPr>
          </w:p>
        </w:tc>
        <w:tc>
          <w:tcPr>
            <w:tcW w:w="60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200" w:type="dxa"/>
            <w:vAlign w:val="bottom"/>
            <w:shd w:val="clear" w:color="auto" w:fill="71BF43"/>
          </w:tcPr>
          <w:p>
            <w:pPr>
              <w:spacing w:after="0" w:line="20" w:lineRule="exact"/>
              <w:rPr>
                <w:sz w:val="1"/>
                <w:szCs w:val="1"/>
                <w:color w:val="auto"/>
              </w:rPr>
            </w:pPr>
          </w:p>
        </w:tc>
        <w:tc>
          <w:tcPr>
            <w:tcW w:w="140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-676275</wp:posOffset>
            </wp:positionV>
            <wp:extent cx="19888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7.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1060" w:type="dxa"/>
            <w:vAlign w:val="bottom"/>
            <w:shd w:val="clear" w:color="auto" w:fill="ACACAC"/>
          </w:tcPr>
          <w:p>
            <w:pPr>
              <w:spacing w:after="0"/>
              <w:rPr>
                <w:sz w:val="14"/>
                <w:szCs w:val="14"/>
                <w:color w:val="auto"/>
              </w:rPr>
            </w:pPr>
          </w:p>
        </w:tc>
        <w:tc>
          <w:tcPr>
            <w:tcW w:w="360" w:type="dxa"/>
            <w:vAlign w:val="bottom"/>
            <w:shd w:val="clear" w:color="auto" w:fill="ACACAC"/>
          </w:tcPr>
          <w:p>
            <w:pPr>
              <w:spacing w:after="0"/>
              <w:rPr>
                <w:sz w:val="14"/>
                <w:szCs w:val="14"/>
                <w:color w:val="auto"/>
              </w:rPr>
            </w:pPr>
          </w:p>
        </w:tc>
        <w:tc>
          <w:tcPr>
            <w:tcW w:w="1260" w:type="dxa"/>
            <w:vAlign w:val="bottom"/>
            <w:vMerge w:val="restart"/>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4"/>
                <w:szCs w:val="14"/>
                <w:color w:val="auto"/>
              </w:rPr>
            </w:pPr>
          </w:p>
        </w:tc>
        <w:tc>
          <w:tcPr>
            <w:tcW w:w="1620" w:type="dxa"/>
            <w:vAlign w:val="bottom"/>
            <w:shd w:val="clear" w:color="auto" w:fill="ACACAC"/>
          </w:tcPr>
          <w:p>
            <w:pPr>
              <w:spacing w:after="0"/>
              <w:rPr>
                <w:sz w:val="14"/>
                <w:szCs w:val="14"/>
                <w:color w:val="auto"/>
              </w:rPr>
            </w:pP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rPr>
              <w:t>Weighted average</w:t>
            </w:r>
          </w:p>
        </w:tc>
        <w:tc>
          <w:tcPr>
            <w:tcW w:w="0" w:type="dxa"/>
            <w:vAlign w:val="bottom"/>
          </w:tcPr>
          <w:p>
            <w:pPr>
              <w:spacing w:after="0"/>
              <w:rPr>
                <w:sz w:val="1"/>
                <w:szCs w:val="1"/>
                <w:color w:val="auto"/>
              </w:rPr>
            </w:pPr>
          </w:p>
        </w:tc>
      </w:tr>
      <w:tr>
        <w:trPr>
          <w:trHeight w:val="186"/>
        </w:trPr>
        <w:tc>
          <w:tcPr>
            <w:tcW w:w="474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1260" w:type="dxa"/>
            <w:vAlign w:val="bottom"/>
            <w:vMerge w:val="continue"/>
            <w:shd w:val="clear" w:color="auto" w:fill="ACACAC"/>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shd w:val="clear" w:color="auto" w:fill="ACACAC"/>
          </w:tcPr>
          <w:p>
            <w:pPr>
              <w:spacing w:after="0"/>
              <w:rPr>
                <w:sz w:val="16"/>
                <w:szCs w:val="16"/>
                <w:color w:val="auto"/>
              </w:rPr>
            </w:pP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w w:val="92"/>
              </w:rPr>
              <w:t>effective interest rate at</w:t>
            </w:r>
          </w:p>
        </w:tc>
        <w:tc>
          <w:tcPr>
            <w:tcW w:w="0" w:type="dxa"/>
            <w:vAlign w:val="bottom"/>
          </w:tcPr>
          <w:p>
            <w:pPr>
              <w:spacing w:after="0"/>
              <w:rPr>
                <w:sz w:val="1"/>
                <w:szCs w:val="1"/>
                <w:color w:val="auto"/>
              </w:rPr>
            </w:pPr>
          </w:p>
        </w:tc>
      </w:tr>
      <w:tr>
        <w:trPr>
          <w:trHeight w:val="178"/>
        </w:trPr>
        <w:tc>
          <w:tcPr>
            <w:tcW w:w="47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shd w:val="clear" w:color="auto" w:fill="ACACAC"/>
          </w:tcPr>
          <w:p>
            <w:pPr>
              <w:spacing w:after="0"/>
              <w:rPr>
                <w:sz w:val="15"/>
                <w:szCs w:val="15"/>
                <w:color w:val="auto"/>
              </w:rPr>
            </w:pPr>
          </w:p>
        </w:tc>
        <w:tc>
          <w:tcPr>
            <w:tcW w:w="106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March 31,</w:t>
            </w:r>
          </w:p>
        </w:tc>
        <w:tc>
          <w:tcPr>
            <w:tcW w:w="360" w:type="dxa"/>
            <w:vAlign w:val="bottom"/>
            <w:shd w:val="clear" w:color="auto" w:fill="ACACAC"/>
          </w:tcPr>
          <w:p>
            <w:pPr>
              <w:spacing w:after="0"/>
              <w:rPr>
                <w:sz w:val="15"/>
                <w:szCs w:val="15"/>
                <w:color w:val="auto"/>
              </w:rPr>
            </w:pPr>
          </w:p>
        </w:tc>
        <w:tc>
          <w:tcPr>
            <w:tcW w:w="1260" w:type="dxa"/>
            <w:vAlign w:val="bottom"/>
            <w:shd w:val="clear" w:color="auto" w:fill="ACACAC"/>
          </w:tcPr>
          <w:p>
            <w:pPr>
              <w:jc w:val="right"/>
              <w:ind w:right="75"/>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5"/>
                <w:szCs w:val="15"/>
                <w:color w:val="auto"/>
              </w:rPr>
            </w:pPr>
          </w:p>
        </w:tc>
        <w:tc>
          <w:tcPr>
            <w:tcW w:w="1620" w:type="dxa"/>
            <w:vAlign w:val="bottom"/>
            <w:shd w:val="clear" w:color="auto" w:fill="ACACAC"/>
          </w:tcPr>
          <w:p>
            <w:pPr>
              <w:jc w:val="right"/>
              <w:ind w:right="142"/>
              <w:spacing w:after="0"/>
              <w:rPr>
                <w:sz w:val="20"/>
                <w:szCs w:val="20"/>
                <w:color w:val="auto"/>
              </w:rPr>
            </w:pPr>
            <w:r>
              <w:rPr>
                <w:rFonts w:ascii="Arial" w:cs="Arial" w:eastAsia="Arial" w:hAnsi="Arial"/>
                <w:sz w:val="14"/>
                <w:szCs w:val="14"/>
                <w:b w:val="1"/>
                <w:bCs w:val="1"/>
                <w:color w:val="FFFFFF"/>
              </w:rPr>
              <w:t>March 31,</w:t>
            </w:r>
          </w:p>
        </w:tc>
        <w:tc>
          <w:tcPr>
            <w:tcW w:w="1660" w:type="dxa"/>
            <w:vAlign w:val="bottom"/>
            <w:shd w:val="clear" w:color="auto" w:fill="ACACAC"/>
          </w:tcPr>
          <w:p>
            <w:pPr>
              <w:jc w:val="right"/>
              <w:ind w:right="137"/>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4740" w:type="dxa"/>
            <w:vAlign w:val="bottom"/>
            <w:vMerge w:val="continue"/>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60" w:type="dxa"/>
            <w:vAlign w:val="bottom"/>
            <w:shd w:val="clear" w:color="auto" w:fill="ACACAC"/>
          </w:tcPr>
          <w:p>
            <w:pPr>
              <w:spacing w:after="0"/>
              <w:rPr>
                <w:sz w:val="17"/>
                <w:szCs w:val="17"/>
                <w:color w:val="auto"/>
              </w:rPr>
            </w:pPr>
          </w:p>
        </w:tc>
        <w:tc>
          <w:tcPr>
            <w:tcW w:w="126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2019</w:t>
            </w:r>
          </w:p>
        </w:tc>
        <w:tc>
          <w:tcPr>
            <w:tcW w:w="100" w:type="dxa"/>
            <w:vAlign w:val="bottom"/>
          </w:tcPr>
          <w:p>
            <w:pPr>
              <w:spacing w:after="0"/>
              <w:rPr>
                <w:sz w:val="17"/>
                <w:szCs w:val="17"/>
                <w:color w:val="auto"/>
              </w:rPr>
            </w:pPr>
          </w:p>
        </w:tc>
        <w:tc>
          <w:tcPr>
            <w:tcW w:w="1620" w:type="dxa"/>
            <w:vAlign w:val="bottom"/>
            <w:shd w:val="clear" w:color="auto" w:fill="ACACAC"/>
          </w:tcPr>
          <w:p>
            <w:pPr>
              <w:jc w:val="right"/>
              <w:ind w:right="102"/>
              <w:spacing w:after="0"/>
              <w:rPr>
                <w:sz w:val="20"/>
                <w:szCs w:val="20"/>
                <w:color w:val="auto"/>
              </w:rPr>
            </w:pPr>
            <w:r>
              <w:rPr>
                <w:rFonts w:ascii="Arial" w:cs="Arial" w:eastAsia="Arial" w:hAnsi="Arial"/>
                <w:sz w:val="14"/>
                <w:szCs w:val="14"/>
                <w:b w:val="1"/>
                <w:bCs w:val="1"/>
                <w:color w:val="FFFFFF"/>
              </w:rPr>
              <w:t>2020</w:t>
            </w:r>
          </w:p>
        </w:tc>
        <w:tc>
          <w:tcPr>
            <w:tcW w:w="1660" w:type="dxa"/>
            <w:vAlign w:val="bottom"/>
            <w:shd w:val="clear" w:color="auto" w:fill="ACACAC"/>
          </w:tcPr>
          <w:p>
            <w:pPr>
              <w:jc w:val="right"/>
              <w:ind w:right="97"/>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Credit facility:</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6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220"/>
              <w:spacing w:after="0"/>
              <w:rPr>
                <w:sz w:val="20"/>
                <w:szCs w:val="20"/>
                <w:color w:val="auto"/>
              </w:rPr>
            </w:pPr>
            <w:r>
              <w:rPr>
                <w:rFonts w:ascii="Arial" w:cs="Arial" w:eastAsia="Arial" w:hAnsi="Arial"/>
                <w:sz w:val="18"/>
                <w:szCs w:val="18"/>
                <w:color w:val="auto"/>
              </w:rPr>
              <w:t>Revolving credit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247,500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187,000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2.51%</w:t>
            </w:r>
          </w:p>
        </w:tc>
        <w:tc>
          <w:tcPr>
            <w:tcW w:w="166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Term loans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279,375</w:t>
            </w: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281,250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2.99%</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Other debt</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5,083</w:t>
            </w:r>
          </w:p>
        </w:tc>
        <w:tc>
          <w:tcPr>
            <w:tcW w:w="3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40" w:type="dxa"/>
            <w:vAlign w:val="bottom"/>
            <w:tcBorders>
              <w:bottom w:val="single" w:sz="8" w:color="F4F4F4"/>
            </w:tcBorders>
            <w:shd w:val="clear" w:color="auto" w:fill="F4F4F4"/>
          </w:tcPr>
          <w:p>
            <w:pPr>
              <w:ind w:left="400"/>
              <w:spacing w:after="0"/>
              <w:rPr>
                <w:sz w:val="20"/>
                <w:szCs w:val="20"/>
                <w:color w:val="auto"/>
              </w:rPr>
            </w:pPr>
            <w:r>
              <w:rPr>
                <w:rFonts w:ascii="Arial" w:cs="Arial" w:eastAsia="Arial" w:hAnsi="Arial"/>
                <w:sz w:val="18"/>
                <w:szCs w:val="18"/>
                <w:color w:val="auto"/>
              </w:rPr>
              <w:t>Total debt</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531,958</w:t>
            </w:r>
          </w:p>
        </w:tc>
        <w:tc>
          <w:tcPr>
            <w:tcW w:w="3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468,250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2.79%</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Less: Unamortized discount and debt issuance costs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1,031</w:t>
            </w:r>
          </w:p>
        </w:tc>
        <w:tc>
          <w:tcPr>
            <w:tcW w:w="36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Less: Debt, current portion</w:t>
            </w:r>
          </w:p>
        </w:tc>
        <w:tc>
          <w:tcPr>
            <w:tcW w:w="440" w:type="dxa"/>
            <w:vAlign w:val="bottom"/>
            <w:tcBorders>
              <w:bottom w:val="single" w:sz="8" w:color="F4F4F4"/>
            </w:tcBorders>
            <w:shd w:val="clear" w:color="auto" w:fill="F4F4F4"/>
          </w:tcPr>
          <w:p>
            <w:pPr>
              <w:spacing w:after="0"/>
              <w:rPr>
                <w:sz w:val="23"/>
                <w:szCs w:val="23"/>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10,351</w:t>
            </w:r>
          </w:p>
        </w:tc>
        <w:tc>
          <w:tcPr>
            <w:tcW w:w="36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tcBorders>
            <w:shd w:val="clear" w:color="auto" w:fill="F4F4F4"/>
          </w:tcPr>
          <w:p>
            <w:pPr>
              <w:jc w:val="right"/>
              <w:ind w:right="35"/>
              <w:spacing w:after="0"/>
              <w:rPr>
                <w:sz w:val="20"/>
                <w:szCs w:val="20"/>
                <w:color w:val="auto"/>
              </w:rPr>
            </w:pPr>
            <w:r>
              <w:rPr>
                <w:rFonts w:ascii="Arial" w:cs="Arial" w:eastAsia="Arial" w:hAnsi="Arial"/>
                <w:sz w:val="18"/>
                <w:szCs w:val="18"/>
                <w:color w:val="auto"/>
              </w:rPr>
              <w:t>7,500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3.00%</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color w:val="auto"/>
              </w:rPr>
              <w:t>Debt, net of current portion</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520,576</w:t>
            </w:r>
          </w:p>
        </w:tc>
        <w:tc>
          <w:tcPr>
            <w:tcW w:w="36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459,600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1260" w:type="dxa"/>
            <w:vAlign w:val="bottom"/>
            <w:tcBorders>
              <w:bottom w:val="single" w:sz="8" w:color="71BF43"/>
            </w:tcBorders>
          </w:tcPr>
          <w:p>
            <w:pPr>
              <w:spacing w:after="0"/>
              <w:rPr>
                <w:sz w:val="2"/>
                <w:szCs w:val="2"/>
                <w:color w:val="auto"/>
              </w:rPr>
            </w:pPr>
          </w:p>
        </w:tc>
        <w:tc>
          <w:tcPr>
            <w:tcW w:w="100" w:type="dxa"/>
            <w:vAlign w:val="bottom"/>
            <w:tcBorders>
              <w:bottom w:val="single" w:sz="8" w:color="71BF43"/>
            </w:tcBorders>
          </w:tcPr>
          <w:p>
            <w:pPr>
              <w:spacing w:after="0"/>
              <w:rPr>
                <w:sz w:val="2"/>
                <w:szCs w:val="2"/>
                <w:color w:val="auto"/>
              </w:rPr>
            </w:pPr>
          </w:p>
        </w:tc>
        <w:tc>
          <w:tcPr>
            <w:tcW w:w="1620" w:type="dxa"/>
            <w:vAlign w:val="bottom"/>
            <w:tcBorders>
              <w:bottom w:val="single" w:sz="8" w:color="71BF43"/>
            </w:tcBorders>
          </w:tcPr>
          <w:p>
            <w:pPr>
              <w:spacing w:after="0"/>
              <w:rPr>
                <w:sz w:val="2"/>
                <w:szCs w:val="2"/>
                <w:color w:val="auto"/>
              </w:rPr>
            </w:pPr>
          </w:p>
        </w:tc>
        <w:tc>
          <w:tcPr>
            <w:tcW w:w="1660" w:type="dxa"/>
            <w:vAlign w:val="bottom"/>
            <w:tcBorders>
              <w:bottom w:val="single" w:sz="8" w:color="71BF43"/>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-1628140</wp:posOffset>
            </wp:positionV>
            <wp:extent cx="41319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319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credit facility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June 2017, we entered into a five-year $700.0 million senior credit facility (the "2017 Credit Facility"). At March 31, 2020, we were in compliance with our debt covenants under the 2017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December 2019, we entered into a 51-month $2.2 million agreement to finance our purchase of software and related services for our internal use. The agreement is a non-interest-bearing note requiring four equal annual payments, where the first payment was due in January 2020. Interest associated with the note will be imputed at the rate we would incur for amounts borrowed under the 2017 Credit Facility.</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January 2020, we entered into an additional 39-month $3.5 million agreement to finance our purchase of software and related services for our internal use. The agreement is a non-interest-bearing note requiring three equal annual payments, where the first payment was due in March 2020. Interest associated with the note will be imputed at the rate we would incur for amounts borrowed under the 2017 Credit Facility.</w:t>
      </w:r>
    </w:p>
    <w:p>
      <w:pPr>
        <w:spacing w:after="0" w:line="34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13</w:t>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93"/>
              <w:spacing w:after="0"/>
              <w:rPr>
                <w:sz w:val="20"/>
                <w:szCs w:val="20"/>
                <w:color w:val="auto"/>
              </w:rPr>
            </w:pPr>
            <w:r>
              <w:rPr>
                <w:rFonts w:ascii="Arial" w:cs="Arial" w:eastAsia="Arial" w:hAnsi="Arial"/>
                <w:sz w:val="18"/>
                <w:szCs w:val="18"/>
                <w:b w:val="1"/>
                <w:bCs w:val="1"/>
                <w:color w:val="auto"/>
                <w:w w:val="92"/>
              </w:rPr>
              <w:t>Blackbaud, Inc.</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3"/>
              <w:spacing w:after="0"/>
              <w:rPr>
                <w:sz w:val="20"/>
                <w:szCs w:val="20"/>
                <w:color w:val="auto"/>
              </w:rPr>
            </w:pPr>
            <w:r>
              <w:rPr>
                <w:rFonts w:ascii="Arial" w:cs="Arial" w:eastAsia="Arial" w:hAnsi="Arial"/>
                <w:sz w:val="18"/>
                <w:szCs w:val="18"/>
                <w:b w:val="1"/>
                <w:bCs w:val="1"/>
                <w:color w:val="auto"/>
                <w:w w:val="89"/>
              </w:rPr>
              <w:t>Notes to Consolidated Financial Statements (Continued)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3"/>
              <w:spacing w:after="0"/>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9680" w:type="dxa"/>
            <w:vAlign w:val="bottom"/>
          </w:tcPr>
          <w:p>
            <w:pPr>
              <w:spacing w:after="0"/>
              <w:rPr>
                <w:sz w:val="20"/>
                <w:szCs w:val="20"/>
                <w:color w:val="auto"/>
              </w:rPr>
            </w:pPr>
            <w:r>
              <w:rPr>
                <w:rFonts w:ascii="Arial" w:cs="Arial" w:eastAsia="Arial" w:hAnsi="Arial"/>
                <w:sz w:val="18"/>
                <w:szCs w:val="18"/>
                <w:color w:val="auto"/>
              </w:rPr>
              <w:t>As of March 31, 2020, the required annual maturities related to the 2017 Credit Facility and other debt were as follows: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9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9680" w:type="dxa"/>
            <w:vAlign w:val="bottom"/>
            <w:shd w:val="clear" w:color="auto" w:fill="ACACAC"/>
          </w:tcPr>
          <w:p>
            <w:pPr>
              <w:ind w:left="40"/>
              <w:spacing w:after="0" w:line="153" w:lineRule="exact"/>
              <w:rPr>
                <w:sz w:val="20"/>
                <w:szCs w:val="20"/>
                <w:color w:val="auto"/>
              </w:rPr>
            </w:pPr>
            <w:r>
              <w:rPr>
                <w:rFonts w:ascii="Arial" w:cs="Arial" w:eastAsia="Arial" w:hAnsi="Arial"/>
                <w:sz w:val="14"/>
                <w:szCs w:val="14"/>
                <w:b w:val="1"/>
                <w:bCs w:val="1"/>
                <w:color w:val="FFFFFF"/>
              </w:rPr>
              <w:t>Years ending December 31,</w:t>
            </w:r>
          </w:p>
        </w:tc>
        <w:tc>
          <w:tcPr>
            <w:tcW w:w="220" w:type="dxa"/>
            <w:vAlign w:val="bottom"/>
            <w:shd w:val="clear" w:color="auto" w:fill="ACACAC"/>
          </w:tcPr>
          <w:p>
            <w:pPr>
              <w:spacing w:after="0"/>
              <w:rPr>
                <w:sz w:val="13"/>
                <w:szCs w:val="13"/>
                <w:color w:val="auto"/>
              </w:rPr>
            </w:pPr>
          </w:p>
        </w:tc>
        <w:tc>
          <w:tcPr>
            <w:tcW w:w="1340" w:type="dxa"/>
            <w:vAlign w:val="bottom"/>
            <w:vMerge w:val="restart"/>
            <w:shd w:val="clear" w:color="auto" w:fill="ACACAC"/>
          </w:tcPr>
          <w:p>
            <w:pPr>
              <w:jc w:val="right"/>
              <w:ind w:right="12"/>
              <w:spacing w:after="0"/>
              <w:rPr>
                <w:sz w:val="20"/>
                <w:szCs w:val="20"/>
                <w:color w:val="auto"/>
              </w:rPr>
            </w:pPr>
            <w:r>
              <w:rPr>
                <w:rFonts w:ascii="Arial" w:cs="Arial" w:eastAsia="Arial" w:hAnsi="Arial"/>
                <w:sz w:val="14"/>
                <w:szCs w:val="14"/>
                <w:b w:val="1"/>
                <w:bCs w:val="1"/>
                <w:color w:val="FFFFFF"/>
              </w:rPr>
              <w:t>Annual maturities</w:t>
            </w:r>
          </w:p>
        </w:tc>
        <w:tc>
          <w:tcPr>
            <w:tcW w:w="0" w:type="dxa"/>
            <w:vAlign w:val="bottom"/>
          </w:tcPr>
          <w:p>
            <w:pPr>
              <w:spacing w:after="0"/>
              <w:rPr>
                <w:sz w:val="1"/>
                <w:szCs w:val="1"/>
                <w:color w:val="auto"/>
              </w:rPr>
            </w:pPr>
          </w:p>
        </w:tc>
      </w:tr>
      <w:tr>
        <w:trPr>
          <w:trHeight w:val="198"/>
        </w:trPr>
        <w:tc>
          <w:tcPr>
            <w:tcW w:w="96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20" w:type="dxa"/>
            <w:vAlign w:val="bottom"/>
            <w:shd w:val="clear" w:color="auto" w:fill="ACACAC"/>
          </w:tcPr>
          <w:p>
            <w:pPr>
              <w:spacing w:after="0"/>
              <w:rPr>
                <w:sz w:val="17"/>
                <w:szCs w:val="17"/>
                <w:color w:val="auto"/>
              </w:rPr>
            </w:pPr>
          </w:p>
        </w:tc>
        <w:tc>
          <w:tcPr>
            <w:tcW w:w="134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2020 - remaining</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9,194</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515,444</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7"/>
        </w:trPr>
        <w:tc>
          <w:tcPr>
            <w:tcW w:w="9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2024</w:t>
            </w:r>
          </w:p>
        </w:tc>
        <w:tc>
          <w:tcPr>
            <w:tcW w:w="22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68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968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required maturities</w:t>
            </w:r>
          </w:p>
        </w:tc>
        <w:tc>
          <w:tcPr>
            <w:tcW w:w="220" w:type="dxa"/>
            <w:vAlign w:val="bottom"/>
            <w:tcBorders>
              <w:bottom w:val="single" w:sz="8" w:color="F4F4F4"/>
            </w:tcBorders>
            <w:shd w:val="clear" w:color="auto" w:fill="F4F4F4"/>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F4F4F4"/>
            </w:tcBorders>
            <w:shd w:val="clear" w:color="auto" w:fill="F4F4F4"/>
          </w:tcPr>
          <w:p>
            <w:pPr>
              <w:jc w:val="right"/>
              <w:ind w:right="12"/>
              <w:spacing w:after="0"/>
              <w:rPr>
                <w:sz w:val="20"/>
                <w:szCs w:val="20"/>
                <w:color w:val="auto"/>
              </w:rPr>
            </w:pPr>
            <w:r>
              <w:rPr>
                <w:rFonts w:ascii="Arial" w:cs="Arial" w:eastAsia="Arial" w:hAnsi="Arial"/>
                <w:sz w:val="18"/>
                <w:szCs w:val="18"/>
                <w:color w:val="auto"/>
              </w:rPr>
              <w:t>531,958</w:t>
            </w:r>
          </w:p>
        </w:tc>
        <w:tc>
          <w:tcPr>
            <w:tcW w:w="0" w:type="dxa"/>
            <w:vAlign w:val="bottom"/>
          </w:tcPr>
          <w:p>
            <w:pPr>
              <w:spacing w:after="0"/>
              <w:rPr>
                <w:sz w:val="1"/>
                <w:szCs w:val="1"/>
                <w:color w:val="auto"/>
              </w:rPr>
            </w:pPr>
          </w:p>
        </w:tc>
      </w:tr>
      <w:tr>
        <w:trPr>
          <w:trHeight w:val="20"/>
        </w:trPr>
        <w:tc>
          <w:tcPr>
            <w:tcW w:w="968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134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8.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2017 Credit Facility to a fixed rate for the term of the swap agreements. We designated each of the interest rate swap agreements as a cash flow hedge at the inception of the contracts.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March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240" w:type="dxa"/>
            <w:vAlign w:val="bottom"/>
            <w:shd w:val="clear" w:color="auto" w:fill="ACACAC"/>
          </w:tcPr>
          <w:p>
            <w:pPr>
              <w:spacing w:after="0"/>
              <w:rPr>
                <w:sz w:val="18"/>
                <w:szCs w:val="18"/>
                <w:color w:val="auto"/>
              </w:rPr>
            </w:pPr>
          </w:p>
        </w:tc>
        <w:tc>
          <w:tcPr>
            <w:tcW w:w="112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Notional Value</w:t>
            </w:r>
          </w:p>
        </w:tc>
      </w:tr>
      <w:tr>
        <w:trPr>
          <w:trHeight w:val="243"/>
        </w:trPr>
        <w:tc>
          <w:tcPr>
            <w:tcW w:w="6240" w:type="dxa"/>
            <w:vAlign w:val="bottom"/>
          </w:tcPr>
          <w:p>
            <w:pPr>
              <w:ind w:left="4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7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24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Interest rate swap</w:t>
            </w:r>
          </w:p>
        </w:tc>
        <w:tc>
          <w:tcPr>
            <w:tcW w:w="364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July 2017 - July 2021</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150,000</w:t>
            </w:r>
          </w:p>
        </w:tc>
      </w:tr>
      <w:tr>
        <w:trPr>
          <w:trHeight w:val="243"/>
        </w:trPr>
        <w:tc>
          <w:tcPr>
            <w:tcW w:w="6240" w:type="dxa"/>
            <w:vAlign w:val="bottom"/>
          </w:tcPr>
          <w:p>
            <w:pPr>
              <w:ind w:left="180"/>
              <w:spacing w:after="0"/>
              <w:rPr>
                <w:sz w:val="20"/>
                <w:szCs w:val="20"/>
                <w:color w:val="auto"/>
              </w:rPr>
            </w:pPr>
            <w:r>
              <w:rPr>
                <w:rFonts w:ascii="Arial" w:cs="Arial" w:eastAsia="Arial" w:hAnsi="Arial"/>
                <w:sz w:val="18"/>
                <w:szCs w:val="18"/>
                <w:color w:val="auto"/>
              </w:rPr>
              <w:t>Interest rate swap</w:t>
            </w:r>
          </w:p>
        </w:tc>
        <w:tc>
          <w:tcPr>
            <w:tcW w:w="2760" w:type="dxa"/>
            <w:vAlign w:val="bottom"/>
          </w:tcPr>
          <w:p>
            <w:pPr>
              <w:jc w:val="right"/>
              <w:spacing w:after="0"/>
              <w:rPr>
                <w:sz w:val="20"/>
                <w:szCs w:val="20"/>
                <w:color w:val="auto"/>
              </w:rPr>
            </w:pPr>
            <w:r>
              <w:rPr>
                <w:rFonts w:ascii="Arial" w:cs="Arial" w:eastAsia="Arial" w:hAnsi="Arial"/>
                <w:sz w:val="18"/>
                <w:szCs w:val="18"/>
                <w:color w:val="auto"/>
              </w:rPr>
              <w:t>February 2018</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 June 2021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50,000</w:t>
            </w:r>
          </w:p>
        </w:tc>
      </w:tr>
      <w:tr>
        <w:trPr>
          <w:trHeight w:val="27"/>
        </w:trPr>
        <w:tc>
          <w:tcPr>
            <w:tcW w:w="62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2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Interest rate swap</w:t>
            </w:r>
          </w:p>
        </w:tc>
        <w:tc>
          <w:tcPr>
            <w:tcW w:w="27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June 2019</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88"/>
              </w:rPr>
              <w:t>- June 2021</w:t>
            </w:r>
          </w:p>
        </w:tc>
        <w:tc>
          <w:tcPr>
            <w:tcW w:w="240" w:type="dxa"/>
            <w:vAlign w:val="bottom"/>
            <w:tcBorders>
              <w:bottom w:val="single" w:sz="8" w:color="F4F4F4"/>
            </w:tcBorders>
            <w:shd w:val="clear" w:color="auto" w:fill="F4F4F4"/>
          </w:tcPr>
          <w:p>
            <w:pPr>
              <w:spacing w:after="0"/>
              <w:rPr>
                <w:sz w:val="23"/>
                <w:szCs w:val="23"/>
                <w:color w:val="auto"/>
              </w:rPr>
            </w:pPr>
          </w:p>
        </w:tc>
        <w:tc>
          <w:tcPr>
            <w:tcW w:w="112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75,000</w:t>
            </w:r>
          </w:p>
        </w:tc>
      </w:tr>
      <w:tr>
        <w:trPr>
          <w:trHeight w:val="237"/>
        </w:trPr>
        <w:tc>
          <w:tcPr>
            <w:tcW w:w="62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275,000</w:t>
            </w:r>
          </w:p>
        </w:tc>
      </w:tr>
      <w:tr>
        <w:trPr>
          <w:trHeight w:val="27"/>
        </w:trPr>
        <w:tc>
          <w:tcPr>
            <w:tcW w:w="6240" w:type="dxa"/>
            <w:vAlign w:val="bottom"/>
            <w:tcBorders>
              <w:bottom w:val="single" w:sz="8" w:color="71BF43"/>
            </w:tcBorders>
          </w:tcPr>
          <w:p>
            <w:pPr>
              <w:spacing w:after="0"/>
              <w:rPr>
                <w:sz w:val="2"/>
                <w:szCs w:val="2"/>
                <w:color w:val="auto"/>
              </w:rPr>
            </w:pPr>
          </w:p>
        </w:tc>
        <w:tc>
          <w:tcPr>
            <w:tcW w:w="2760" w:type="dxa"/>
            <w:vAlign w:val="bottom"/>
            <w:tcBorders>
              <w:bottom w:val="single" w:sz="8" w:color="71BF43"/>
            </w:tcBorders>
          </w:tcPr>
          <w:p>
            <w:pPr>
              <w:spacing w:after="0"/>
              <w:rPr>
                <w:sz w:val="2"/>
                <w:szCs w:val="2"/>
                <w:color w:val="auto"/>
              </w:rPr>
            </w:pPr>
          </w:p>
        </w:tc>
        <w:tc>
          <w:tcPr>
            <w:tcW w:w="88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c>
          <w:tcPr>
            <w:tcW w:w="1120" w:type="dxa"/>
            <w:vAlign w:val="bottom"/>
            <w:tcBorders>
              <w:bottom w:val="single" w:sz="8" w:color="71BF43"/>
            </w:tcBorders>
          </w:tcPr>
          <w:p>
            <w:pPr>
              <w:spacing w:after="0"/>
              <w:rPr>
                <w:sz w:val="2"/>
                <w:szCs w:val="2"/>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4032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210"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FFFFFF"/>
        </w:rPr>
        <w:t>Liability Derivatives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vMerge w:val="restart"/>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580" w:type="dxa"/>
            <w:vAlign w:val="bottom"/>
            <w:gridSpan w:val="2"/>
            <w:vMerge w:val="restart"/>
            <w:shd w:val="clear" w:color="auto" w:fill="ACACAC"/>
          </w:tcPr>
          <w:p>
            <w:pPr>
              <w:jc w:val="right"/>
              <w:ind w:right="360"/>
              <w:spacing w:after="0"/>
              <w:rPr>
                <w:sz w:val="20"/>
                <w:szCs w:val="20"/>
                <w:color w:val="auto"/>
              </w:rPr>
            </w:pPr>
            <w:r>
              <w:rPr>
                <w:rFonts w:ascii="Arial" w:cs="Arial" w:eastAsia="Arial" w:hAnsi="Arial"/>
                <w:sz w:val="14"/>
                <w:szCs w:val="14"/>
                <w:b w:val="1"/>
                <w:bCs w:val="1"/>
                <w:color w:val="FFFFFF"/>
              </w:rPr>
              <w:t>Balance sheet location</w:t>
            </w:r>
          </w:p>
        </w:tc>
        <w:tc>
          <w:tcPr>
            <w:tcW w:w="96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March 31,</w:t>
            </w:r>
          </w:p>
        </w:tc>
        <w:tc>
          <w:tcPr>
            <w:tcW w:w="30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59"/>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6300" w:type="dxa"/>
            <w:vAlign w:val="bottom"/>
            <w:vMerge w:val="continue"/>
          </w:tcPr>
          <w:p>
            <w:pPr>
              <w:spacing w:after="0"/>
              <w:rPr>
                <w:sz w:val="17"/>
                <w:szCs w:val="17"/>
                <w:color w:val="auto"/>
              </w:rPr>
            </w:pPr>
          </w:p>
        </w:tc>
        <w:tc>
          <w:tcPr>
            <w:tcW w:w="2580" w:type="dxa"/>
            <w:vAlign w:val="bottom"/>
            <w:gridSpan w:val="2"/>
            <w:vMerge w:val="continue"/>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30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19"/>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63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240" w:type="dxa"/>
            <w:vAlign w:val="bottom"/>
            <w:tcBorders>
              <w:bottom w:val="single" w:sz="8" w:color="F4F4F4"/>
            </w:tcBorders>
            <w:shd w:val="clear" w:color="auto" w:fill="F4F4F4"/>
          </w:tcPr>
          <w:p>
            <w:pPr>
              <w:spacing w:after="0"/>
              <w:rPr>
                <w:sz w:val="21"/>
                <w:szCs w:val="21"/>
                <w:color w:val="auto"/>
              </w:rPr>
            </w:pPr>
          </w:p>
        </w:tc>
        <w:tc>
          <w:tcPr>
            <w:tcW w:w="34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30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Interest rate swaps, long-term portion</w:t>
            </w:r>
          </w:p>
        </w:tc>
        <w:tc>
          <w:tcPr>
            <w:tcW w:w="2580" w:type="dxa"/>
            <w:vAlign w:val="bottom"/>
            <w:gridSpan w:val="2"/>
          </w:tcPr>
          <w:p>
            <w:pPr>
              <w:jc w:val="right"/>
              <w:ind w:right="220"/>
              <w:spacing w:after="0"/>
              <w:rPr>
                <w:sz w:val="20"/>
                <w:szCs w:val="20"/>
                <w:color w:val="auto"/>
              </w:rPr>
            </w:pPr>
            <w:r>
              <w:rPr>
                <w:rFonts w:ascii="Arial" w:cs="Arial" w:eastAsia="Arial" w:hAnsi="Arial"/>
                <w:sz w:val="18"/>
                <w:szCs w:val="18"/>
                <w:color w:val="auto"/>
              </w:rPr>
              <w:t>Other liabilities $</w:t>
            </w:r>
          </w:p>
        </w:tc>
        <w:tc>
          <w:tcPr>
            <w:tcW w:w="960" w:type="dxa"/>
            <w:vAlign w:val="bottom"/>
          </w:tcPr>
          <w:p>
            <w:pPr>
              <w:jc w:val="right"/>
              <w:spacing w:after="0"/>
              <w:rPr>
                <w:sz w:val="20"/>
                <w:szCs w:val="20"/>
                <w:color w:val="auto"/>
              </w:rPr>
            </w:pPr>
            <w:r>
              <w:rPr>
                <w:rFonts w:ascii="Arial" w:cs="Arial" w:eastAsia="Arial" w:hAnsi="Arial"/>
                <w:sz w:val="18"/>
                <w:szCs w:val="18"/>
                <w:color w:val="auto"/>
              </w:rPr>
              <w:t>5,979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7"/>
        </w:trPr>
        <w:tc>
          <w:tcPr>
            <w:tcW w:w="6300" w:type="dxa"/>
            <w:vAlign w:val="bottom"/>
            <w:tcBorders>
              <w:bottom w:val="single" w:sz="8" w:color="F4F4F4"/>
            </w:tcBorders>
          </w:tcPr>
          <w:p>
            <w:pPr>
              <w:spacing w:after="0"/>
              <w:rPr>
                <w:sz w:val="2"/>
                <w:szCs w:val="2"/>
                <w:color w:val="auto"/>
              </w:rPr>
            </w:pPr>
          </w:p>
        </w:tc>
        <w:tc>
          <w:tcPr>
            <w:tcW w:w="2240" w:type="dxa"/>
            <w:vAlign w:val="bottom"/>
            <w:tcBorders>
              <w:bottom w:val="single" w:sz="8" w:color="F4F4F4"/>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258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5,979</w:t>
            </w:r>
          </w:p>
        </w:tc>
        <w:tc>
          <w:tcPr>
            <w:tcW w:w="30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ind w:right="19"/>
              <w:spacing w:after="0"/>
              <w:rPr>
                <w:sz w:val="20"/>
                <w:szCs w:val="20"/>
                <w:color w:val="auto"/>
              </w:rPr>
            </w:pPr>
            <w:r>
              <w:rPr>
                <w:rFonts w:ascii="Arial" w:cs="Arial" w:eastAsia="Arial" w:hAnsi="Arial"/>
                <w:sz w:val="18"/>
                <w:szCs w:val="18"/>
                <w:color w:val="auto"/>
              </w:rPr>
              <w:t>1,757</w:t>
            </w:r>
          </w:p>
        </w:tc>
        <w:tc>
          <w:tcPr>
            <w:tcW w:w="0" w:type="dxa"/>
            <w:vAlign w:val="bottom"/>
          </w:tcPr>
          <w:p>
            <w:pPr>
              <w:spacing w:after="0"/>
              <w:rPr>
                <w:sz w:val="1"/>
                <w:szCs w:val="1"/>
                <w:color w:val="auto"/>
              </w:rPr>
            </w:pPr>
          </w:p>
        </w:tc>
      </w:tr>
      <w:tr>
        <w:trPr>
          <w:trHeight w:val="20"/>
        </w:trPr>
        <w:tc>
          <w:tcPr>
            <w:tcW w:w="6300" w:type="dxa"/>
            <w:vAlign w:val="bottom"/>
            <w:shd w:val="clear" w:color="auto" w:fill="71BF43"/>
          </w:tcPr>
          <w:p>
            <w:pPr>
              <w:spacing w:after="0" w:line="20" w:lineRule="exact"/>
              <w:rPr>
                <w:sz w:val="1"/>
                <w:szCs w:val="1"/>
                <w:color w:val="auto"/>
              </w:rPr>
            </w:pPr>
          </w:p>
        </w:tc>
        <w:tc>
          <w:tcPr>
            <w:tcW w:w="224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0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ACACAC"/>
          </w:tcPr>
          <w:p>
            <w:pPr>
              <w:spacing w:after="0"/>
              <w:rPr>
                <w:sz w:val="14"/>
                <w:szCs w:val="14"/>
                <w:color w:val="auto"/>
              </w:rPr>
            </w:pPr>
          </w:p>
        </w:tc>
        <w:tc>
          <w:tcPr>
            <w:tcW w:w="2400" w:type="dxa"/>
            <w:vAlign w:val="bottom"/>
            <w:shd w:val="clear" w:color="auto" w:fill="ACACAC"/>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680" w:type="dxa"/>
            <w:vAlign w:val="bottom"/>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Gain (loss) recognized</w:t>
            </w:r>
          </w:p>
        </w:tc>
        <w:tc>
          <w:tcPr>
            <w:tcW w:w="18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480" w:type="dxa"/>
            <w:vAlign w:val="bottom"/>
            <w:shd w:val="clear" w:color="auto" w:fill="ACACAC"/>
          </w:tcPr>
          <w:p>
            <w:pPr>
              <w:spacing w:after="0"/>
              <w:rPr>
                <w:sz w:val="14"/>
                <w:szCs w:val="14"/>
                <w:color w:val="auto"/>
              </w:rPr>
            </w:pPr>
          </w:p>
        </w:tc>
        <w:tc>
          <w:tcPr>
            <w:tcW w:w="290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1540" w:type="dxa"/>
            <w:vAlign w:val="bottom"/>
            <w:shd w:val="clear" w:color="auto" w:fill="ACACAC"/>
          </w:tcPr>
          <w:p>
            <w:pPr>
              <w:spacing w:after="0"/>
              <w:rPr>
                <w:sz w:val="5"/>
                <w:szCs w:val="5"/>
                <w:color w:val="auto"/>
              </w:rPr>
            </w:pPr>
          </w:p>
        </w:tc>
        <w:tc>
          <w:tcPr>
            <w:tcW w:w="240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680" w:type="dxa"/>
            <w:vAlign w:val="bottom"/>
            <w:vMerge w:val="restart"/>
            <w:shd w:val="clear" w:color="auto" w:fill="ACACAC"/>
          </w:tcPr>
          <w:p>
            <w:pPr>
              <w:jc w:val="right"/>
              <w:ind w:right="24"/>
              <w:spacing w:after="0" w:line="149" w:lineRule="exact"/>
              <w:rPr>
                <w:sz w:val="20"/>
                <w:szCs w:val="20"/>
                <w:color w:val="auto"/>
              </w:rPr>
            </w:pPr>
            <w:r>
              <w:rPr>
                <w:rFonts w:ascii="Arial" w:cs="Arial" w:eastAsia="Arial" w:hAnsi="Arial"/>
                <w:sz w:val="14"/>
                <w:szCs w:val="14"/>
                <w:b w:val="1"/>
                <w:bCs w:val="1"/>
                <w:color w:val="FFFFFF"/>
              </w:rPr>
              <w:t>in accumulated other</w:t>
            </w:r>
          </w:p>
        </w:tc>
        <w:tc>
          <w:tcPr>
            <w:tcW w:w="1800" w:type="dxa"/>
            <w:vAlign w:val="bottom"/>
            <w:vMerge w:val="continue"/>
            <w:shd w:val="clear" w:color="auto" w:fill="ACACAC"/>
          </w:tcPr>
          <w:p>
            <w:pPr>
              <w:spacing w:after="0"/>
              <w:rPr>
                <w:sz w:val="5"/>
                <w:szCs w:val="5"/>
                <w:color w:val="auto"/>
              </w:rPr>
            </w:pPr>
          </w:p>
        </w:tc>
        <w:tc>
          <w:tcPr>
            <w:tcW w:w="480" w:type="dxa"/>
            <w:vAlign w:val="bottom"/>
            <w:shd w:val="clear" w:color="auto" w:fill="ACACAC"/>
          </w:tcPr>
          <w:p>
            <w:pPr>
              <w:spacing w:after="0"/>
              <w:rPr>
                <w:sz w:val="5"/>
                <w:szCs w:val="5"/>
                <w:color w:val="auto"/>
              </w:rPr>
            </w:pPr>
          </w:p>
        </w:tc>
        <w:tc>
          <w:tcPr>
            <w:tcW w:w="2900" w:type="dxa"/>
            <w:vAlign w:val="bottom"/>
            <w:shd w:val="clear" w:color="auto" w:fill="ACACAC"/>
          </w:tcPr>
          <w:p>
            <w:pPr>
              <w:spacing w:after="0"/>
              <w:rPr>
                <w:sz w:val="5"/>
                <w:szCs w:val="5"/>
                <w:color w:val="auto"/>
              </w:rPr>
            </w:pPr>
          </w:p>
        </w:tc>
        <w:tc>
          <w:tcPr>
            <w:tcW w:w="10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ACACAC"/>
          </w:tcPr>
          <w:p>
            <w:pPr>
              <w:spacing w:after="0"/>
              <w:rPr>
                <w:sz w:val="7"/>
                <w:szCs w:val="7"/>
                <w:color w:val="auto"/>
              </w:rPr>
            </w:pPr>
          </w:p>
        </w:tc>
        <w:tc>
          <w:tcPr>
            <w:tcW w:w="2400" w:type="dxa"/>
            <w:vAlign w:val="bottom"/>
            <w:shd w:val="clear" w:color="auto" w:fill="ACACAC"/>
          </w:tcPr>
          <w:p>
            <w:pPr>
              <w:spacing w:after="0"/>
              <w:rPr>
                <w:sz w:val="7"/>
                <w:szCs w:val="7"/>
                <w:color w:val="auto"/>
              </w:rPr>
            </w:pPr>
          </w:p>
        </w:tc>
        <w:tc>
          <w:tcPr>
            <w:tcW w:w="340" w:type="dxa"/>
            <w:vAlign w:val="bottom"/>
            <w:shd w:val="clear" w:color="auto" w:fill="ACACAC"/>
          </w:tcPr>
          <w:p>
            <w:pPr>
              <w:spacing w:after="0"/>
              <w:rPr>
                <w:sz w:val="7"/>
                <w:szCs w:val="7"/>
                <w:color w:val="auto"/>
              </w:rPr>
            </w:pPr>
          </w:p>
        </w:tc>
        <w:tc>
          <w:tcPr>
            <w:tcW w:w="1680" w:type="dxa"/>
            <w:vAlign w:val="bottom"/>
            <w:vMerge w:val="continue"/>
            <w:shd w:val="clear" w:color="auto" w:fill="ACACAC"/>
          </w:tcPr>
          <w:p>
            <w:pPr>
              <w:spacing w:after="0"/>
              <w:rPr>
                <w:sz w:val="7"/>
                <w:szCs w:val="7"/>
                <w:color w:val="auto"/>
              </w:rPr>
            </w:pPr>
          </w:p>
        </w:tc>
        <w:tc>
          <w:tcPr>
            <w:tcW w:w="180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of gain (loss)</w:t>
            </w:r>
          </w:p>
        </w:tc>
        <w:tc>
          <w:tcPr>
            <w:tcW w:w="480" w:type="dxa"/>
            <w:vAlign w:val="bottom"/>
            <w:shd w:val="clear" w:color="auto" w:fill="ACACAC"/>
          </w:tcPr>
          <w:p>
            <w:pPr>
              <w:spacing w:after="0"/>
              <w:rPr>
                <w:sz w:val="7"/>
                <w:szCs w:val="7"/>
                <w:color w:val="auto"/>
              </w:rPr>
            </w:pPr>
          </w:p>
        </w:tc>
        <w:tc>
          <w:tcPr>
            <w:tcW w:w="2900" w:type="dxa"/>
            <w:vAlign w:val="bottom"/>
            <w:shd w:val="clear" w:color="auto" w:fill="ACACAC"/>
          </w:tcPr>
          <w:p>
            <w:pPr>
              <w:spacing w:after="0"/>
              <w:rPr>
                <w:sz w:val="7"/>
                <w:szCs w:val="7"/>
                <w:color w:val="auto"/>
              </w:rPr>
            </w:pPr>
          </w:p>
        </w:tc>
        <w:tc>
          <w:tcPr>
            <w:tcW w:w="1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ACACAC"/>
          </w:tcPr>
          <w:p>
            <w:pPr>
              <w:spacing w:after="0"/>
              <w:rPr>
                <w:sz w:val="5"/>
                <w:szCs w:val="5"/>
                <w:color w:val="auto"/>
              </w:rPr>
            </w:pPr>
          </w:p>
        </w:tc>
        <w:tc>
          <w:tcPr>
            <w:tcW w:w="240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680" w:type="dxa"/>
            <w:vAlign w:val="bottom"/>
            <w:vMerge w:val="restart"/>
            <w:shd w:val="clear" w:color="auto" w:fill="ACACAC"/>
          </w:tcPr>
          <w:p>
            <w:pPr>
              <w:jc w:val="right"/>
              <w:ind w:right="24"/>
              <w:spacing w:after="0" w:line="149" w:lineRule="exact"/>
              <w:rPr>
                <w:sz w:val="20"/>
                <w:szCs w:val="20"/>
                <w:color w:val="auto"/>
              </w:rPr>
            </w:pPr>
            <w:r>
              <w:rPr>
                <w:rFonts w:ascii="Arial" w:cs="Arial" w:eastAsia="Arial" w:hAnsi="Arial"/>
                <w:sz w:val="14"/>
                <w:szCs w:val="14"/>
                <w:b w:val="1"/>
                <w:bCs w:val="1"/>
                <w:color w:val="FFFFFF"/>
              </w:rPr>
              <w:t>comprehensive</w:t>
            </w:r>
          </w:p>
        </w:tc>
        <w:tc>
          <w:tcPr>
            <w:tcW w:w="1800" w:type="dxa"/>
            <w:vAlign w:val="bottom"/>
            <w:vMerge w:val="continue"/>
            <w:shd w:val="clear" w:color="auto" w:fill="ACACAC"/>
          </w:tcPr>
          <w:p>
            <w:pPr>
              <w:spacing w:after="0"/>
              <w:rPr>
                <w:sz w:val="5"/>
                <w:szCs w:val="5"/>
                <w:color w:val="auto"/>
              </w:rPr>
            </w:pPr>
          </w:p>
        </w:tc>
        <w:tc>
          <w:tcPr>
            <w:tcW w:w="480" w:type="dxa"/>
            <w:vAlign w:val="bottom"/>
            <w:shd w:val="clear" w:color="auto" w:fill="ACACAC"/>
          </w:tcPr>
          <w:p>
            <w:pPr>
              <w:spacing w:after="0"/>
              <w:rPr>
                <w:sz w:val="5"/>
                <w:szCs w:val="5"/>
                <w:color w:val="auto"/>
              </w:rPr>
            </w:pPr>
          </w:p>
        </w:tc>
        <w:tc>
          <w:tcPr>
            <w:tcW w:w="290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Gain (loss) reclassified from accumulated</w:t>
            </w:r>
          </w:p>
        </w:tc>
        <w:tc>
          <w:tcPr>
            <w:tcW w:w="10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shd w:val="clear" w:color="auto" w:fill="ACACAC"/>
          </w:tcPr>
          <w:p>
            <w:pPr>
              <w:spacing w:after="0"/>
              <w:rPr>
                <w:sz w:val="7"/>
                <w:szCs w:val="7"/>
                <w:color w:val="auto"/>
              </w:rPr>
            </w:pPr>
          </w:p>
        </w:tc>
        <w:tc>
          <w:tcPr>
            <w:tcW w:w="2400" w:type="dxa"/>
            <w:vAlign w:val="bottom"/>
            <w:shd w:val="clear" w:color="auto" w:fill="ACACAC"/>
          </w:tcPr>
          <w:p>
            <w:pPr>
              <w:spacing w:after="0"/>
              <w:rPr>
                <w:sz w:val="7"/>
                <w:szCs w:val="7"/>
                <w:color w:val="auto"/>
              </w:rPr>
            </w:pPr>
          </w:p>
        </w:tc>
        <w:tc>
          <w:tcPr>
            <w:tcW w:w="340" w:type="dxa"/>
            <w:vAlign w:val="bottom"/>
            <w:shd w:val="clear" w:color="auto" w:fill="ACACAC"/>
          </w:tcPr>
          <w:p>
            <w:pPr>
              <w:spacing w:after="0"/>
              <w:rPr>
                <w:sz w:val="7"/>
                <w:szCs w:val="7"/>
                <w:color w:val="auto"/>
              </w:rPr>
            </w:pPr>
          </w:p>
        </w:tc>
        <w:tc>
          <w:tcPr>
            <w:tcW w:w="1680" w:type="dxa"/>
            <w:vAlign w:val="bottom"/>
            <w:vMerge w:val="continue"/>
            <w:shd w:val="clear" w:color="auto" w:fill="ACACAC"/>
          </w:tcPr>
          <w:p>
            <w:pPr>
              <w:spacing w:after="0"/>
              <w:rPr>
                <w:sz w:val="7"/>
                <w:szCs w:val="7"/>
                <w:color w:val="auto"/>
              </w:rPr>
            </w:pPr>
          </w:p>
        </w:tc>
        <w:tc>
          <w:tcPr>
            <w:tcW w:w="180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reclassified from</w:t>
            </w:r>
          </w:p>
        </w:tc>
        <w:tc>
          <w:tcPr>
            <w:tcW w:w="480" w:type="dxa"/>
            <w:vAlign w:val="bottom"/>
            <w:shd w:val="clear" w:color="auto" w:fill="ACACAC"/>
          </w:tcPr>
          <w:p>
            <w:pPr>
              <w:spacing w:after="0"/>
              <w:rPr>
                <w:sz w:val="7"/>
                <w:szCs w:val="7"/>
                <w:color w:val="auto"/>
              </w:rPr>
            </w:pPr>
          </w:p>
        </w:tc>
        <w:tc>
          <w:tcPr>
            <w:tcW w:w="2900" w:type="dxa"/>
            <w:vAlign w:val="bottom"/>
            <w:vMerge w:val="continue"/>
            <w:shd w:val="clear" w:color="auto" w:fill="ACACAC"/>
          </w:tcPr>
          <w:p>
            <w:pPr>
              <w:spacing w:after="0"/>
              <w:rPr>
                <w:sz w:val="7"/>
                <w:szCs w:val="7"/>
                <w:color w:val="auto"/>
              </w:rPr>
            </w:pPr>
          </w:p>
        </w:tc>
        <w:tc>
          <w:tcPr>
            <w:tcW w:w="100" w:type="dxa"/>
            <w:vAlign w:val="bottom"/>
            <w:shd w:val="clear" w:color="auto" w:fill="ACACAC"/>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shd w:val="clear" w:color="auto" w:fill="ACACAC"/>
          </w:tcPr>
          <w:p>
            <w:pPr>
              <w:spacing w:after="0"/>
              <w:rPr>
                <w:sz w:val="5"/>
                <w:szCs w:val="5"/>
                <w:color w:val="auto"/>
              </w:rPr>
            </w:pPr>
          </w:p>
        </w:tc>
        <w:tc>
          <w:tcPr>
            <w:tcW w:w="2400" w:type="dxa"/>
            <w:vAlign w:val="bottom"/>
            <w:shd w:val="clear" w:color="auto" w:fill="ACACAC"/>
          </w:tcPr>
          <w:p>
            <w:pPr>
              <w:spacing w:after="0"/>
              <w:rPr>
                <w:sz w:val="5"/>
                <w:szCs w:val="5"/>
                <w:color w:val="auto"/>
              </w:rPr>
            </w:pPr>
          </w:p>
        </w:tc>
        <w:tc>
          <w:tcPr>
            <w:tcW w:w="340" w:type="dxa"/>
            <w:vAlign w:val="bottom"/>
            <w:shd w:val="clear" w:color="auto" w:fill="ACACAC"/>
          </w:tcPr>
          <w:p>
            <w:pPr>
              <w:spacing w:after="0"/>
              <w:rPr>
                <w:sz w:val="5"/>
                <w:szCs w:val="5"/>
                <w:color w:val="auto"/>
              </w:rPr>
            </w:pPr>
          </w:p>
        </w:tc>
        <w:tc>
          <w:tcPr>
            <w:tcW w:w="1680" w:type="dxa"/>
            <w:vAlign w:val="bottom"/>
            <w:vMerge w:val="restart"/>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loss as of</w:t>
            </w:r>
          </w:p>
        </w:tc>
        <w:tc>
          <w:tcPr>
            <w:tcW w:w="1800" w:type="dxa"/>
            <w:vAlign w:val="bottom"/>
            <w:vMerge w:val="continue"/>
            <w:shd w:val="clear" w:color="auto" w:fill="ACACAC"/>
          </w:tcPr>
          <w:p>
            <w:pPr>
              <w:spacing w:after="0"/>
              <w:rPr>
                <w:sz w:val="5"/>
                <w:szCs w:val="5"/>
                <w:color w:val="auto"/>
              </w:rPr>
            </w:pPr>
          </w:p>
        </w:tc>
        <w:tc>
          <w:tcPr>
            <w:tcW w:w="480" w:type="dxa"/>
            <w:vAlign w:val="bottom"/>
            <w:shd w:val="clear" w:color="auto" w:fill="ACACAC"/>
          </w:tcPr>
          <w:p>
            <w:pPr>
              <w:spacing w:after="0"/>
              <w:rPr>
                <w:sz w:val="5"/>
                <w:szCs w:val="5"/>
                <w:color w:val="auto"/>
              </w:rPr>
            </w:pPr>
          </w:p>
        </w:tc>
        <w:tc>
          <w:tcPr>
            <w:tcW w:w="2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loss into income</w:t>
            </w:r>
          </w:p>
        </w:tc>
        <w:tc>
          <w:tcPr>
            <w:tcW w:w="10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540" w:type="dxa"/>
            <w:vAlign w:val="bottom"/>
            <w:shd w:val="clear" w:color="auto" w:fill="ACACAC"/>
          </w:tcPr>
          <w:p>
            <w:pPr>
              <w:spacing w:after="0"/>
              <w:rPr>
                <w:sz w:val="10"/>
                <w:szCs w:val="10"/>
                <w:color w:val="auto"/>
              </w:rPr>
            </w:pPr>
          </w:p>
        </w:tc>
        <w:tc>
          <w:tcPr>
            <w:tcW w:w="2400" w:type="dxa"/>
            <w:vAlign w:val="bottom"/>
            <w:shd w:val="clear" w:color="auto" w:fill="ACACAC"/>
          </w:tcPr>
          <w:p>
            <w:pPr>
              <w:spacing w:after="0"/>
              <w:rPr>
                <w:sz w:val="10"/>
                <w:szCs w:val="10"/>
                <w:color w:val="auto"/>
              </w:rPr>
            </w:pPr>
          </w:p>
        </w:tc>
        <w:tc>
          <w:tcPr>
            <w:tcW w:w="340" w:type="dxa"/>
            <w:vAlign w:val="bottom"/>
            <w:shd w:val="clear" w:color="auto" w:fill="ACACAC"/>
          </w:tcPr>
          <w:p>
            <w:pPr>
              <w:spacing w:after="0"/>
              <w:rPr>
                <w:sz w:val="10"/>
                <w:szCs w:val="10"/>
                <w:color w:val="auto"/>
              </w:rPr>
            </w:pPr>
          </w:p>
        </w:tc>
        <w:tc>
          <w:tcPr>
            <w:tcW w:w="1680" w:type="dxa"/>
            <w:vAlign w:val="bottom"/>
            <w:vMerge w:val="continue"/>
            <w:shd w:val="clear" w:color="auto" w:fill="ACACAC"/>
          </w:tcPr>
          <w:p>
            <w:pPr>
              <w:spacing w:after="0"/>
              <w:rPr>
                <w:sz w:val="10"/>
                <w:szCs w:val="10"/>
                <w:color w:val="auto"/>
              </w:rPr>
            </w:pPr>
          </w:p>
        </w:tc>
        <w:tc>
          <w:tcPr>
            <w:tcW w:w="1800" w:type="dxa"/>
            <w:vAlign w:val="bottom"/>
            <w:vMerge w:val="restart"/>
            <w:shd w:val="clear" w:color="auto" w:fill="ACACAC"/>
          </w:tcPr>
          <w:p>
            <w:pPr>
              <w:jc w:val="right"/>
              <w:spacing w:after="0" w:line="149" w:lineRule="exact"/>
              <w:rPr>
                <w:sz w:val="20"/>
                <w:szCs w:val="20"/>
                <w:color w:val="auto"/>
              </w:rPr>
            </w:pPr>
            <w:r>
              <w:rPr>
                <w:rFonts w:ascii="Arial" w:cs="Arial" w:eastAsia="Arial" w:hAnsi="Arial"/>
                <w:sz w:val="14"/>
                <w:szCs w:val="14"/>
                <w:b w:val="1"/>
                <w:bCs w:val="1"/>
                <w:color w:val="FFFFFF"/>
              </w:rPr>
              <w:t>accumulated other</w:t>
            </w:r>
          </w:p>
        </w:tc>
        <w:tc>
          <w:tcPr>
            <w:tcW w:w="480" w:type="dxa"/>
            <w:vAlign w:val="bottom"/>
            <w:shd w:val="clear" w:color="auto" w:fill="ACACAC"/>
          </w:tcPr>
          <w:p>
            <w:pPr>
              <w:spacing w:after="0"/>
              <w:rPr>
                <w:sz w:val="10"/>
                <w:szCs w:val="10"/>
                <w:color w:val="auto"/>
              </w:rPr>
            </w:pPr>
          </w:p>
        </w:tc>
        <w:tc>
          <w:tcPr>
            <w:tcW w:w="2900" w:type="dxa"/>
            <w:vAlign w:val="bottom"/>
            <w:vMerge w:val="continue"/>
            <w:shd w:val="clear" w:color="auto" w:fill="ACACAC"/>
          </w:tcPr>
          <w:p>
            <w:pPr>
              <w:spacing w:after="0"/>
              <w:rPr>
                <w:sz w:val="10"/>
                <w:szCs w:val="10"/>
                <w:color w:val="auto"/>
              </w:rPr>
            </w:pPr>
          </w:p>
        </w:tc>
        <w:tc>
          <w:tcPr>
            <w:tcW w:w="10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540" w:type="dxa"/>
            <w:vAlign w:val="bottom"/>
            <w:shd w:val="clear" w:color="auto" w:fill="ACACAC"/>
          </w:tcPr>
          <w:p>
            <w:pPr>
              <w:spacing w:after="0"/>
              <w:rPr>
                <w:sz w:val="2"/>
                <w:szCs w:val="2"/>
                <w:color w:val="auto"/>
              </w:rPr>
            </w:pPr>
          </w:p>
        </w:tc>
        <w:tc>
          <w:tcPr>
            <w:tcW w:w="2400" w:type="dxa"/>
            <w:vAlign w:val="bottom"/>
            <w:shd w:val="clear" w:color="auto" w:fill="ACACAC"/>
          </w:tcPr>
          <w:p>
            <w:pPr>
              <w:spacing w:after="0"/>
              <w:rPr>
                <w:sz w:val="2"/>
                <w:szCs w:val="2"/>
                <w:color w:val="auto"/>
              </w:rPr>
            </w:pPr>
          </w:p>
        </w:tc>
        <w:tc>
          <w:tcPr>
            <w:tcW w:w="340" w:type="dxa"/>
            <w:vAlign w:val="bottom"/>
            <w:shd w:val="clear" w:color="auto" w:fill="ACACAC"/>
          </w:tcPr>
          <w:p>
            <w:pPr>
              <w:spacing w:after="0"/>
              <w:rPr>
                <w:sz w:val="2"/>
                <w:szCs w:val="2"/>
                <w:color w:val="auto"/>
              </w:rPr>
            </w:pPr>
          </w:p>
        </w:tc>
        <w:tc>
          <w:tcPr>
            <w:tcW w:w="1680" w:type="dxa"/>
            <w:vAlign w:val="bottom"/>
            <w:vMerge w:val="restart"/>
            <w:shd w:val="clear" w:color="auto" w:fill="ACACAC"/>
          </w:tcPr>
          <w:p>
            <w:pPr>
              <w:jc w:val="right"/>
              <w:ind w:right="64"/>
              <w:spacing w:after="0"/>
              <w:rPr>
                <w:sz w:val="20"/>
                <w:szCs w:val="20"/>
                <w:color w:val="auto"/>
              </w:rPr>
            </w:pPr>
            <w:r>
              <w:rPr>
                <w:rFonts w:ascii="Arial" w:cs="Arial" w:eastAsia="Arial" w:hAnsi="Arial"/>
                <w:sz w:val="14"/>
                <w:szCs w:val="14"/>
                <w:b w:val="1"/>
                <w:bCs w:val="1"/>
                <w:color w:val="FFFFFF"/>
              </w:rPr>
              <w:t>March 31,</w:t>
            </w:r>
          </w:p>
        </w:tc>
        <w:tc>
          <w:tcPr>
            <w:tcW w:w="1800" w:type="dxa"/>
            <w:vAlign w:val="bottom"/>
            <w:vMerge w:val="continue"/>
            <w:shd w:val="clear" w:color="auto" w:fill="ACACAC"/>
          </w:tcPr>
          <w:p>
            <w:pPr>
              <w:spacing w:after="0"/>
              <w:rPr>
                <w:sz w:val="2"/>
                <w:szCs w:val="2"/>
                <w:color w:val="auto"/>
              </w:rPr>
            </w:pPr>
          </w:p>
        </w:tc>
        <w:tc>
          <w:tcPr>
            <w:tcW w:w="480" w:type="dxa"/>
            <w:vAlign w:val="bottom"/>
            <w:shd w:val="clear" w:color="auto" w:fill="ACACAC"/>
          </w:tcPr>
          <w:p>
            <w:pPr>
              <w:spacing w:after="0"/>
              <w:rPr>
                <w:sz w:val="2"/>
                <w:szCs w:val="2"/>
                <w:color w:val="auto"/>
              </w:rPr>
            </w:pPr>
          </w:p>
        </w:tc>
        <w:tc>
          <w:tcPr>
            <w:tcW w:w="290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100" w:type="dxa"/>
            <w:vAlign w:val="bottom"/>
            <w:shd w:val="clear" w:color="auto" w:fill="ACACA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5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400" w:type="dxa"/>
            <w:vAlign w:val="bottom"/>
            <w:shd w:val="clear" w:color="auto" w:fill="ACACAC"/>
          </w:tcPr>
          <w:p>
            <w:pPr>
              <w:spacing w:after="0"/>
              <w:rPr>
                <w:sz w:val="12"/>
                <w:szCs w:val="12"/>
                <w:color w:val="auto"/>
              </w:rPr>
            </w:pPr>
          </w:p>
        </w:tc>
        <w:tc>
          <w:tcPr>
            <w:tcW w:w="340" w:type="dxa"/>
            <w:vAlign w:val="bottom"/>
            <w:shd w:val="clear" w:color="auto" w:fill="ACACAC"/>
          </w:tcPr>
          <w:p>
            <w:pPr>
              <w:spacing w:after="0"/>
              <w:rPr>
                <w:sz w:val="12"/>
                <w:szCs w:val="12"/>
                <w:color w:val="auto"/>
              </w:rPr>
            </w:pPr>
          </w:p>
        </w:tc>
        <w:tc>
          <w:tcPr>
            <w:tcW w:w="1680" w:type="dxa"/>
            <w:vAlign w:val="bottom"/>
            <w:vMerge w:val="continue"/>
            <w:shd w:val="clear" w:color="auto" w:fill="ACACAC"/>
          </w:tcPr>
          <w:p>
            <w:pPr>
              <w:spacing w:after="0"/>
              <w:rPr>
                <w:sz w:val="12"/>
                <w:szCs w:val="12"/>
                <w:color w:val="auto"/>
              </w:rPr>
            </w:pPr>
          </w:p>
        </w:tc>
        <w:tc>
          <w:tcPr>
            <w:tcW w:w="2280" w:type="dxa"/>
            <w:vAlign w:val="bottom"/>
            <w:gridSpan w:val="2"/>
            <w:shd w:val="clear" w:color="auto" w:fill="ACACAC"/>
          </w:tcPr>
          <w:p>
            <w:pPr>
              <w:jc w:val="right"/>
              <w:ind w:right="500"/>
              <w:spacing w:after="0" w:line="149" w:lineRule="exact"/>
              <w:rPr>
                <w:sz w:val="20"/>
                <w:szCs w:val="20"/>
                <w:color w:val="auto"/>
              </w:rPr>
            </w:pPr>
            <w:r>
              <w:rPr>
                <w:rFonts w:ascii="Arial" w:cs="Arial" w:eastAsia="Arial" w:hAnsi="Arial"/>
                <w:sz w:val="14"/>
                <w:szCs w:val="14"/>
                <w:b w:val="1"/>
                <w:bCs w:val="1"/>
                <w:color w:val="FFFFFF"/>
              </w:rPr>
              <w:t>comprehensive</w:t>
            </w:r>
          </w:p>
        </w:tc>
        <w:tc>
          <w:tcPr>
            <w:tcW w:w="2900" w:type="dxa"/>
            <w:vAlign w:val="bottom"/>
            <w:vMerge w:val="continue"/>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540" w:type="dxa"/>
            <w:vAlign w:val="bottom"/>
            <w:vMerge w:val="continue"/>
            <w:shd w:val="clear" w:color="auto" w:fill="ACACAC"/>
          </w:tcPr>
          <w:p>
            <w:pPr>
              <w:spacing w:after="0"/>
              <w:rPr>
                <w:sz w:val="17"/>
                <w:szCs w:val="17"/>
                <w:color w:val="auto"/>
              </w:rPr>
            </w:pPr>
          </w:p>
        </w:tc>
        <w:tc>
          <w:tcPr>
            <w:tcW w:w="2400" w:type="dxa"/>
            <w:vAlign w:val="bottom"/>
            <w:shd w:val="clear" w:color="auto" w:fill="ACACAC"/>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680" w:type="dxa"/>
            <w:vAlign w:val="bottom"/>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2020</w:t>
            </w:r>
          </w:p>
        </w:tc>
        <w:tc>
          <w:tcPr>
            <w:tcW w:w="2280" w:type="dxa"/>
            <w:vAlign w:val="bottom"/>
            <w:gridSpan w:val="2"/>
            <w:shd w:val="clear" w:color="auto" w:fill="ACACAC"/>
          </w:tcPr>
          <w:p>
            <w:pPr>
              <w:jc w:val="right"/>
              <w:ind w:right="500"/>
              <w:spacing w:after="0"/>
              <w:rPr>
                <w:sz w:val="20"/>
                <w:szCs w:val="20"/>
                <w:color w:val="auto"/>
              </w:rPr>
            </w:pPr>
            <w:r>
              <w:rPr>
                <w:rFonts w:ascii="Arial" w:cs="Arial" w:eastAsia="Arial" w:hAnsi="Arial"/>
                <w:sz w:val="14"/>
                <w:szCs w:val="14"/>
                <w:b w:val="1"/>
                <w:bCs w:val="1"/>
                <w:color w:val="FFFFFF"/>
              </w:rPr>
              <w:t>loss into income</w:t>
            </w:r>
          </w:p>
        </w:tc>
        <w:tc>
          <w:tcPr>
            <w:tcW w:w="2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 2020</w:t>
            </w:r>
          </w:p>
        </w:tc>
        <w:tc>
          <w:tcPr>
            <w:tcW w:w="100" w:type="dxa"/>
            <w:vAlign w:val="bottom"/>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w w:val="97"/>
              </w:rPr>
              <w:t>Interest rate swaps</w:t>
            </w:r>
          </w:p>
        </w:tc>
        <w:tc>
          <w:tcPr>
            <w:tcW w:w="274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(5,979)</w:t>
            </w:r>
          </w:p>
        </w:tc>
        <w:tc>
          <w:tcPr>
            <w:tcW w:w="2280" w:type="dxa"/>
            <w:vAlign w:val="bottom"/>
            <w:tcBorders>
              <w:bottom w:val="single" w:sz="8" w:color="F4F4F4"/>
            </w:tcBorders>
            <w:gridSpan w:val="2"/>
            <w:shd w:val="clear" w:color="auto" w:fill="F4F4F4"/>
          </w:tcPr>
          <w:p>
            <w:pPr>
              <w:ind w:left="600"/>
              <w:spacing w:after="0"/>
              <w:rPr>
                <w:sz w:val="20"/>
                <w:szCs w:val="20"/>
                <w:color w:val="auto"/>
              </w:rPr>
            </w:pPr>
            <w:r>
              <w:rPr>
                <w:rFonts w:ascii="Arial" w:cs="Arial" w:eastAsia="Arial" w:hAnsi="Arial"/>
                <w:sz w:val="18"/>
                <w:szCs w:val="18"/>
                <w:color w:val="auto"/>
              </w:rPr>
              <w:t>Interest expense $</w:t>
            </w:r>
          </w:p>
        </w:tc>
        <w:tc>
          <w:tcPr>
            <w:tcW w:w="3000" w:type="dxa"/>
            <w:vAlign w:val="bottom"/>
            <w:tcBorders>
              <w:bottom w:val="single" w:sz="8" w:color="F4F4F4"/>
            </w:tcBorders>
            <w:gridSpan w:val="2"/>
            <w:shd w:val="clear" w:color="auto" w:fill="F4F4F4"/>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21"/>
        </w:trPr>
        <w:tc>
          <w:tcPr>
            <w:tcW w:w="15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5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40" w:type="dxa"/>
            <w:vAlign w:val="bottom"/>
            <w:shd w:val="clear" w:color="auto" w:fill="ACACAC"/>
          </w:tcPr>
          <w:p>
            <w:pPr>
              <w:spacing w:after="0"/>
              <w:rPr>
                <w:sz w:val="14"/>
                <w:szCs w:val="14"/>
                <w:color w:val="auto"/>
              </w:rPr>
            </w:pPr>
          </w:p>
        </w:tc>
        <w:tc>
          <w:tcPr>
            <w:tcW w:w="1680" w:type="dxa"/>
            <w:vAlign w:val="bottom"/>
            <w:shd w:val="clear" w:color="auto" w:fill="ACACAC"/>
          </w:tcPr>
          <w:p>
            <w:pPr>
              <w:jc w:val="right"/>
              <w:ind w:right="64"/>
              <w:spacing w:after="0"/>
              <w:rPr>
                <w:sz w:val="20"/>
                <w:szCs w:val="20"/>
                <w:color w:val="auto"/>
              </w:rPr>
            </w:pPr>
            <w:r>
              <w:rPr>
                <w:rFonts w:ascii="Arial" w:cs="Arial" w:eastAsia="Arial" w:hAnsi="Arial"/>
                <w:sz w:val="14"/>
                <w:szCs w:val="14"/>
                <w:b w:val="1"/>
                <w:bCs w:val="1"/>
                <w:color w:val="FFFFFF"/>
              </w:rPr>
              <w:t>March 31,</w:t>
            </w:r>
          </w:p>
        </w:tc>
        <w:tc>
          <w:tcPr>
            <w:tcW w:w="1800" w:type="dxa"/>
            <w:vAlign w:val="bottom"/>
          </w:tcPr>
          <w:p>
            <w:pPr>
              <w:spacing w:after="0"/>
              <w:rPr>
                <w:sz w:val="14"/>
                <w:szCs w:val="14"/>
                <w:color w:val="auto"/>
              </w:rPr>
            </w:pPr>
          </w:p>
        </w:tc>
        <w:tc>
          <w:tcPr>
            <w:tcW w:w="480" w:type="dxa"/>
            <w:vAlign w:val="bottom"/>
            <w:shd w:val="clear" w:color="auto" w:fill="ACACAC"/>
          </w:tcPr>
          <w:p>
            <w:pPr>
              <w:spacing w:after="0"/>
              <w:rPr>
                <w:sz w:val="14"/>
                <w:szCs w:val="14"/>
                <w:color w:val="auto"/>
              </w:rPr>
            </w:pPr>
          </w:p>
        </w:tc>
        <w:tc>
          <w:tcPr>
            <w:tcW w:w="3000" w:type="dxa"/>
            <w:vAlign w:val="bottom"/>
            <w:gridSpan w:val="2"/>
            <w:shd w:val="clear" w:color="auto" w:fill="ACACAC"/>
          </w:tcPr>
          <w:p>
            <w:pPr>
              <w:jc w:val="right"/>
              <w:ind w:right="140"/>
              <w:spacing w:after="0"/>
              <w:rPr>
                <w:sz w:val="20"/>
                <w:szCs w:val="20"/>
                <w:color w:val="auto"/>
              </w:rPr>
            </w:pPr>
            <w:r>
              <w:rPr>
                <w:rFonts w:ascii="Arial" w:cs="Arial" w:eastAsia="Arial" w:hAnsi="Arial"/>
                <w:sz w:val="14"/>
                <w:szCs w:val="14"/>
                <w:b w:val="1"/>
                <w:bCs w:val="1"/>
                <w:color w:val="FFFFFF"/>
              </w:rPr>
              <w:t>Three months ended</w:t>
            </w:r>
          </w:p>
        </w:tc>
        <w:tc>
          <w:tcPr>
            <w:tcW w:w="0" w:type="dxa"/>
            <w:vAlign w:val="bottom"/>
          </w:tcPr>
          <w:p>
            <w:pPr>
              <w:spacing w:after="0"/>
              <w:rPr>
                <w:sz w:val="1"/>
                <w:szCs w:val="1"/>
                <w:color w:val="auto"/>
              </w:rPr>
            </w:pPr>
          </w:p>
        </w:tc>
      </w:tr>
      <w:tr>
        <w:trPr>
          <w:trHeight w:val="198"/>
        </w:trPr>
        <w:tc>
          <w:tcPr>
            <w:tcW w:w="15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40" w:type="dxa"/>
            <w:vAlign w:val="bottom"/>
            <w:shd w:val="clear" w:color="auto" w:fill="ACACAC"/>
          </w:tcPr>
          <w:p>
            <w:pPr>
              <w:spacing w:after="0"/>
              <w:rPr>
                <w:sz w:val="17"/>
                <w:szCs w:val="17"/>
                <w:color w:val="auto"/>
              </w:rPr>
            </w:pPr>
          </w:p>
        </w:tc>
        <w:tc>
          <w:tcPr>
            <w:tcW w:w="1680" w:type="dxa"/>
            <w:vAlign w:val="bottom"/>
            <w:shd w:val="clear" w:color="auto" w:fill="ACACAC"/>
          </w:tcPr>
          <w:p>
            <w:pPr>
              <w:jc w:val="right"/>
              <w:ind w:right="24"/>
              <w:spacing w:after="0"/>
              <w:rPr>
                <w:sz w:val="20"/>
                <w:szCs w:val="20"/>
                <w:color w:val="auto"/>
              </w:rPr>
            </w:pPr>
            <w:r>
              <w:rPr>
                <w:rFonts w:ascii="Arial" w:cs="Arial" w:eastAsia="Arial" w:hAnsi="Arial"/>
                <w:sz w:val="14"/>
                <w:szCs w:val="14"/>
                <w:b w:val="1"/>
                <w:bCs w:val="1"/>
                <w:color w:val="FFFFFF"/>
              </w:rPr>
              <w:t>2019</w:t>
            </w:r>
          </w:p>
        </w:tc>
        <w:tc>
          <w:tcPr>
            <w:tcW w:w="1800" w:type="dxa"/>
            <w:vAlign w:val="bottom"/>
          </w:tcPr>
          <w:p>
            <w:pPr>
              <w:spacing w:after="0"/>
              <w:rPr>
                <w:sz w:val="17"/>
                <w:szCs w:val="17"/>
                <w:color w:val="auto"/>
              </w:rPr>
            </w:pPr>
          </w:p>
        </w:tc>
        <w:tc>
          <w:tcPr>
            <w:tcW w:w="480" w:type="dxa"/>
            <w:vAlign w:val="bottom"/>
            <w:shd w:val="clear" w:color="auto" w:fill="ACACAC"/>
          </w:tcPr>
          <w:p>
            <w:pPr>
              <w:spacing w:after="0"/>
              <w:rPr>
                <w:sz w:val="17"/>
                <w:szCs w:val="17"/>
                <w:color w:val="auto"/>
              </w:rPr>
            </w:pPr>
          </w:p>
        </w:tc>
        <w:tc>
          <w:tcPr>
            <w:tcW w:w="3000" w:type="dxa"/>
            <w:vAlign w:val="bottom"/>
            <w:gridSpan w:val="2"/>
            <w:shd w:val="clear" w:color="auto" w:fill="ACACAC"/>
          </w:tcPr>
          <w:p>
            <w:pPr>
              <w:jc w:val="right"/>
              <w:ind w:right="100"/>
              <w:spacing w:after="0"/>
              <w:rPr>
                <w:sz w:val="20"/>
                <w:szCs w:val="20"/>
                <w:color w:val="auto"/>
              </w:rPr>
            </w:pPr>
            <w:r>
              <w:rPr>
                <w:rFonts w:ascii="Arial" w:cs="Arial" w:eastAsia="Arial" w:hAnsi="Arial"/>
                <w:sz w:val="14"/>
                <w:szCs w:val="14"/>
                <w:b w:val="1"/>
                <w:bCs w:val="1"/>
                <w:color w:val="FFFFFF"/>
              </w:rPr>
              <w:t>March 31, 2019</w:t>
            </w:r>
          </w:p>
        </w:tc>
        <w:tc>
          <w:tcPr>
            <w:tcW w:w="0" w:type="dxa"/>
            <w:vAlign w:val="bottom"/>
          </w:tcPr>
          <w:p>
            <w:pPr>
              <w:spacing w:after="0"/>
              <w:rPr>
                <w:sz w:val="1"/>
                <w:szCs w:val="1"/>
                <w:color w:val="auto"/>
              </w:rPr>
            </w:pPr>
          </w:p>
        </w:tc>
      </w:tr>
      <w:tr>
        <w:trPr>
          <w:trHeight w:val="275"/>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w w:val="97"/>
              </w:rPr>
              <w:t>Interest rate swaps</w:t>
            </w:r>
          </w:p>
        </w:tc>
        <w:tc>
          <w:tcPr>
            <w:tcW w:w="2740" w:type="dxa"/>
            <w:vAlign w:val="bottom"/>
            <w:tcBorders>
              <w:bottom w:val="single" w:sz="8" w:color="F4F4F4"/>
            </w:tcBorders>
            <w:gridSpan w:val="2"/>
            <w:shd w:val="clear" w:color="auto" w:fill="F4F4F4"/>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F4F4F4"/>
            </w:tcBorders>
            <w:shd w:val="clear" w:color="auto" w:fill="F4F4F4"/>
          </w:tcPr>
          <w:p>
            <w:pPr>
              <w:jc w:val="right"/>
              <w:ind w:right="24"/>
              <w:spacing w:after="0"/>
              <w:rPr>
                <w:sz w:val="20"/>
                <w:szCs w:val="20"/>
                <w:color w:val="auto"/>
              </w:rPr>
            </w:pPr>
            <w:r>
              <w:rPr>
                <w:rFonts w:ascii="Arial" w:cs="Arial" w:eastAsia="Arial" w:hAnsi="Arial"/>
                <w:sz w:val="18"/>
                <w:szCs w:val="18"/>
                <w:color w:val="auto"/>
              </w:rPr>
              <w:t>806</w:t>
            </w:r>
          </w:p>
        </w:tc>
        <w:tc>
          <w:tcPr>
            <w:tcW w:w="2280" w:type="dxa"/>
            <w:vAlign w:val="bottom"/>
            <w:tcBorders>
              <w:bottom w:val="single" w:sz="8" w:color="F4F4F4"/>
            </w:tcBorders>
            <w:gridSpan w:val="2"/>
            <w:shd w:val="clear" w:color="auto" w:fill="F4F4F4"/>
          </w:tcPr>
          <w:p>
            <w:pPr>
              <w:ind w:left="600"/>
              <w:spacing w:after="0"/>
              <w:rPr>
                <w:sz w:val="20"/>
                <w:szCs w:val="20"/>
                <w:color w:val="auto"/>
              </w:rPr>
            </w:pPr>
            <w:r>
              <w:rPr>
                <w:rFonts w:ascii="Arial" w:cs="Arial" w:eastAsia="Arial" w:hAnsi="Arial"/>
                <w:sz w:val="18"/>
                <w:szCs w:val="18"/>
                <w:color w:val="auto"/>
              </w:rPr>
              <w:t>Interest expense $</w:t>
            </w:r>
          </w:p>
        </w:tc>
        <w:tc>
          <w:tcPr>
            <w:tcW w:w="3000" w:type="dxa"/>
            <w:vAlign w:val="bottom"/>
            <w:tcBorders>
              <w:bottom w:val="single" w:sz="8" w:color="F4F4F4"/>
            </w:tcBorders>
            <w:gridSpan w:val="2"/>
            <w:shd w:val="clear" w:color="auto" w:fill="F4F4F4"/>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764"/>
        </w:trPr>
        <w:tc>
          <w:tcPr>
            <w:tcW w:w="1540" w:type="dxa"/>
            <w:vAlign w:val="bottom"/>
            <w:tcBorders>
              <w:top w:val="single" w:sz="8" w:color="71BF43"/>
            </w:tcBorders>
          </w:tcPr>
          <w:p>
            <w:pPr>
              <w:jc w:val="right"/>
              <w:ind w:right="1019"/>
              <w:spacing w:after="0"/>
              <w:rPr>
                <w:sz w:val="20"/>
                <w:szCs w:val="20"/>
                <w:color w:val="auto"/>
              </w:rPr>
            </w:pPr>
            <w:r>
              <w:rPr>
                <w:rFonts w:ascii="Arial" w:cs="Arial" w:eastAsia="Arial" w:hAnsi="Arial"/>
                <w:sz w:val="14"/>
                <w:szCs w:val="14"/>
                <w:color w:val="auto"/>
              </w:rPr>
              <w:t>14</w:t>
            </w:r>
          </w:p>
        </w:tc>
        <w:tc>
          <w:tcPr>
            <w:tcW w:w="2740" w:type="dxa"/>
            <w:vAlign w:val="bottom"/>
            <w:tcBorders>
              <w:top w:val="single" w:sz="8" w:color="71BF43"/>
            </w:tcBorders>
            <w:gridSpan w:val="2"/>
          </w:tcPr>
          <w:p>
            <w:pPr>
              <w:jc w:val="right"/>
              <w:ind w:right="820"/>
              <w:spacing w:after="0"/>
              <w:rPr>
                <w:sz w:val="20"/>
                <w:szCs w:val="20"/>
                <w:color w:val="auto"/>
              </w:rPr>
            </w:pPr>
            <w:r>
              <w:rPr>
                <w:rFonts w:ascii="Arial" w:cs="Arial" w:eastAsia="Arial" w:hAnsi="Arial"/>
                <w:sz w:val="14"/>
                <w:szCs w:val="14"/>
                <w:color w:val="auto"/>
              </w:rPr>
              <w:t>First Quarter 2020 Form 10-Q</w:t>
            </w:r>
          </w:p>
        </w:tc>
        <w:tc>
          <w:tcPr>
            <w:tcW w:w="1680" w:type="dxa"/>
            <w:vAlign w:val="bottom"/>
            <w:tcBorders>
              <w:top w:val="single" w:sz="8" w:color="71BF43"/>
            </w:tcBorders>
          </w:tcPr>
          <w:p>
            <w:pPr>
              <w:spacing w:after="0"/>
              <w:rPr>
                <w:sz w:val="24"/>
                <w:szCs w:val="24"/>
                <w:color w:val="auto"/>
              </w:rPr>
            </w:pPr>
          </w:p>
        </w:tc>
        <w:tc>
          <w:tcPr>
            <w:tcW w:w="1800" w:type="dxa"/>
            <w:vAlign w:val="bottom"/>
            <w:tcBorders>
              <w:top w:val="single" w:sz="8" w:color="71BF43"/>
            </w:tcBorders>
          </w:tcPr>
          <w:p>
            <w:pPr>
              <w:spacing w:after="0"/>
              <w:rPr>
                <w:sz w:val="24"/>
                <w:szCs w:val="24"/>
                <w:color w:val="auto"/>
              </w:rPr>
            </w:pPr>
          </w:p>
        </w:tc>
        <w:tc>
          <w:tcPr>
            <w:tcW w:w="480" w:type="dxa"/>
            <w:vAlign w:val="bottom"/>
            <w:tcBorders>
              <w:top w:val="single" w:sz="8" w:color="71BF43"/>
            </w:tcBorders>
          </w:tcPr>
          <w:p>
            <w:pPr>
              <w:spacing w:after="0"/>
              <w:rPr>
                <w:sz w:val="24"/>
                <w:szCs w:val="24"/>
                <w:color w:val="auto"/>
              </w:rPr>
            </w:pPr>
          </w:p>
        </w:tc>
        <w:tc>
          <w:tcPr>
            <w:tcW w:w="290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-900430</wp:posOffset>
            </wp:positionV>
            <wp:extent cx="22117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11705" cy="8890"/>
                    </a:xfrm>
                    <a:prstGeom prst="rect">
                      <a:avLst/>
                    </a:prstGeom>
                    <a:noFill/>
                  </pic:spPr>
                </pic:pic>
              </a:graphicData>
            </a:graphic>
          </wp:anchor>
        </w:drawing>
        <w:drawing>
          <wp:anchor simplePos="0" relativeHeight="251657728" behindDoc="1" locked="0" layoutInCell="0" allowOverlap="1">
            <wp:simplePos x="0" y="0"/>
            <wp:positionH relativeFrom="column">
              <wp:posOffset>2499360</wp:posOffset>
            </wp:positionH>
            <wp:positionV relativeFrom="paragraph">
              <wp:posOffset>-1380490</wp:posOffset>
            </wp:positionV>
            <wp:extent cx="46374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63740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loss as of March 31, 2020 that is expected to be reclassified into earnings within the next twelve months is $4.6 million. There were no ineffective portions of our interest rate swap derivatives during the three months ended March 31, 2020 and 2019. See Note 12 to these consolidated financial statements for a summary of the changes in accumulated other comprehensive income (loss) by component.</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9.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March 31, 2020, we had operating leases for equipment that had not yet commenced with future rent payments of $2.9 million. These operating leases are expected to commence during 2020 with lease terms of 3 to 5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shd w:val="clear" w:color="auto" w:fill="ACACAC"/>
          </w:tcPr>
          <w:p>
            <w:pPr>
              <w:spacing w:after="0"/>
              <w:rPr>
                <w:sz w:val="14"/>
                <w:szCs w:val="14"/>
                <w:color w:val="auto"/>
              </w:rPr>
            </w:pPr>
          </w:p>
        </w:tc>
        <w:tc>
          <w:tcPr>
            <w:tcW w:w="760" w:type="dxa"/>
            <w:vAlign w:val="bottom"/>
            <w:shd w:val="clear" w:color="auto" w:fill="ACACAC"/>
          </w:tcPr>
          <w:p>
            <w:pPr>
              <w:spacing w:after="0"/>
              <w:rPr>
                <w:sz w:val="14"/>
                <w:szCs w:val="14"/>
                <w:color w:val="auto"/>
              </w:rPr>
            </w:pPr>
          </w:p>
        </w:tc>
        <w:tc>
          <w:tcPr>
            <w:tcW w:w="1140" w:type="dxa"/>
            <w:vAlign w:val="bottom"/>
            <w:shd w:val="clear" w:color="auto" w:fill="ACACAC"/>
          </w:tcPr>
          <w:p>
            <w:pPr>
              <w:spacing w:after="0"/>
              <w:rPr>
                <w:sz w:val="14"/>
                <w:szCs w:val="14"/>
                <w:color w:val="auto"/>
              </w:rPr>
            </w:pPr>
          </w:p>
        </w:tc>
        <w:tc>
          <w:tcPr>
            <w:tcW w:w="260" w:type="dxa"/>
            <w:vAlign w:val="bottom"/>
            <w:shd w:val="clear" w:color="auto" w:fill="ACACAC"/>
          </w:tcPr>
          <w:p>
            <w:pPr>
              <w:spacing w:after="0"/>
              <w:rPr>
                <w:sz w:val="14"/>
                <w:szCs w:val="14"/>
                <w:color w:val="auto"/>
              </w:rPr>
            </w:pPr>
          </w:p>
        </w:tc>
        <w:tc>
          <w:tcPr>
            <w:tcW w:w="1540" w:type="dxa"/>
            <w:vAlign w:val="bottom"/>
            <w:shd w:val="clear" w:color="auto" w:fill="ACACAC"/>
          </w:tcPr>
          <w:p>
            <w:pPr>
              <w:jc w:val="right"/>
              <w:ind w:right="58"/>
              <w:spacing w:after="0"/>
              <w:rPr>
                <w:sz w:val="20"/>
                <w:szCs w:val="20"/>
                <w:color w:val="auto"/>
              </w:rPr>
            </w:pPr>
            <w:r>
              <w:rPr>
                <w:rFonts w:ascii="Arial" w:cs="Arial" w:eastAsia="Arial" w:hAnsi="Arial"/>
                <w:sz w:val="14"/>
                <w:szCs w:val="14"/>
                <w:b w:val="1"/>
                <w:bCs w:val="1"/>
                <w:color w:val="FFFFFF"/>
              </w:rPr>
              <w:t>Three months ended</w:t>
            </w:r>
          </w:p>
        </w:tc>
      </w:tr>
      <w:tr>
        <w:trPr>
          <w:trHeight w:val="186"/>
        </w:trPr>
        <w:tc>
          <w:tcPr>
            <w:tcW w:w="7540" w:type="dxa"/>
            <w:vAlign w:val="bottom"/>
            <w:shd w:val="clear" w:color="auto" w:fill="ACACAC"/>
          </w:tcPr>
          <w:p>
            <w:pPr>
              <w:spacing w:after="0"/>
              <w:rPr>
                <w:sz w:val="16"/>
                <w:szCs w:val="16"/>
                <w:color w:val="auto"/>
              </w:rPr>
            </w:pPr>
          </w:p>
        </w:tc>
        <w:tc>
          <w:tcPr>
            <w:tcW w:w="76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54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rPr>
              <w:t>March 31,</w:t>
            </w:r>
          </w:p>
        </w:tc>
      </w:tr>
      <w:tr>
        <w:trPr>
          <w:trHeight w:val="242"/>
        </w:trPr>
        <w:tc>
          <w:tcPr>
            <w:tcW w:w="7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60" w:type="dxa"/>
            <w:vAlign w:val="bottom"/>
            <w:shd w:val="clear" w:color="auto" w:fill="ACACAC"/>
          </w:tcPr>
          <w:p>
            <w:pPr>
              <w:spacing w:after="0"/>
              <w:rPr>
                <w:sz w:val="21"/>
                <w:szCs w:val="21"/>
                <w:color w:val="auto"/>
              </w:rPr>
            </w:pPr>
          </w:p>
        </w:tc>
        <w:tc>
          <w:tcPr>
            <w:tcW w:w="114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2020</w:t>
            </w:r>
          </w:p>
        </w:tc>
        <w:tc>
          <w:tcPr>
            <w:tcW w:w="260" w:type="dxa"/>
            <w:vAlign w:val="bottom"/>
            <w:shd w:val="clear" w:color="auto" w:fill="ACACAC"/>
          </w:tcPr>
          <w:p>
            <w:pPr>
              <w:spacing w:after="0"/>
              <w:rPr>
                <w:sz w:val="21"/>
                <w:szCs w:val="21"/>
                <w:color w:val="auto"/>
              </w:rPr>
            </w:pPr>
          </w:p>
        </w:tc>
        <w:tc>
          <w:tcPr>
            <w:tcW w:w="1540" w:type="dxa"/>
            <w:vAlign w:val="bottom"/>
            <w:shd w:val="clear" w:color="auto" w:fill="ACACAC"/>
          </w:tcPr>
          <w:p>
            <w:pPr>
              <w:jc w:val="right"/>
              <w:ind w:right="18"/>
              <w:spacing w:after="0"/>
              <w:rPr>
                <w:sz w:val="20"/>
                <w:szCs w:val="20"/>
                <w:color w:val="auto"/>
              </w:rPr>
            </w:pPr>
            <w:r>
              <w:rPr>
                <w:rFonts w:ascii="Arial" w:cs="Arial" w:eastAsia="Arial" w:hAnsi="Arial"/>
                <w:sz w:val="14"/>
                <w:szCs w:val="14"/>
                <w:b w:val="1"/>
                <w:bCs w:val="1"/>
                <w:color w:val="FFFFFF"/>
              </w:rPr>
              <w:t>2019</w:t>
            </w:r>
          </w:p>
        </w:tc>
      </w:tr>
      <w:tr>
        <w:trPr>
          <w:trHeight w:val="270"/>
        </w:trPr>
        <w:tc>
          <w:tcPr>
            <w:tcW w:w="7540" w:type="dxa"/>
            <w:vAlign w:val="bottom"/>
          </w:tcPr>
          <w:p>
            <w:pPr>
              <w:ind w:left="40"/>
              <w:spacing w:after="0" w:line="270"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9"/>
                <w:szCs w:val="29"/>
                <w:color w:val="auto"/>
                <w:vertAlign w:val="superscript"/>
              </w:rPr>
              <w:t>(1)</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6,311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8"/>
              <w:spacing w:after="0"/>
              <w:rPr>
                <w:sz w:val="20"/>
                <w:szCs w:val="20"/>
                <w:color w:val="auto"/>
              </w:rPr>
            </w:pPr>
            <w:r>
              <w:rPr>
                <w:rFonts w:ascii="Arial" w:cs="Arial" w:eastAsia="Arial" w:hAnsi="Arial"/>
                <w:sz w:val="18"/>
                <w:szCs w:val="18"/>
                <w:color w:val="auto"/>
              </w:rPr>
              <w:t>6,001</w:t>
            </w:r>
          </w:p>
        </w:tc>
      </w:tr>
      <w:tr>
        <w:trPr>
          <w:trHeight w:val="250"/>
        </w:trPr>
        <w:tc>
          <w:tcPr>
            <w:tcW w:w="7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Variable lease cost</w:t>
            </w:r>
          </w:p>
        </w:tc>
        <w:tc>
          <w:tcPr>
            <w:tcW w:w="76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1,258</w:t>
            </w:r>
          </w:p>
        </w:tc>
        <w:tc>
          <w:tcPr>
            <w:tcW w:w="260" w:type="dxa"/>
            <w:vAlign w:val="bottom"/>
            <w:tcBorders>
              <w:bottom w:val="single" w:sz="8" w:color="F4F4F4"/>
            </w:tcBorders>
            <w:shd w:val="clear" w:color="auto" w:fill="F4F4F4"/>
          </w:tcPr>
          <w:p>
            <w:pPr>
              <w:spacing w:after="0"/>
              <w:rPr>
                <w:sz w:val="21"/>
                <w:szCs w:val="21"/>
                <w:color w:val="auto"/>
              </w:rPr>
            </w:pPr>
          </w:p>
        </w:tc>
        <w:tc>
          <w:tcPr>
            <w:tcW w:w="1540" w:type="dxa"/>
            <w:vAlign w:val="bottom"/>
            <w:tcBorders>
              <w:bottom w:val="single" w:sz="8" w:color="F4F4F4"/>
            </w:tcBorders>
            <w:shd w:val="clear" w:color="auto" w:fill="F4F4F4"/>
          </w:tcPr>
          <w:p>
            <w:pPr>
              <w:jc w:val="right"/>
              <w:ind w:right="18"/>
              <w:spacing w:after="0"/>
              <w:rPr>
                <w:sz w:val="20"/>
                <w:szCs w:val="20"/>
                <w:color w:val="auto"/>
              </w:rPr>
            </w:pPr>
            <w:r>
              <w:rPr>
                <w:rFonts w:ascii="Arial" w:cs="Arial" w:eastAsia="Arial" w:hAnsi="Arial"/>
                <w:sz w:val="18"/>
                <w:szCs w:val="18"/>
                <w:color w:val="auto"/>
              </w:rPr>
              <w:t>991</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Sublease income</w:t>
            </w:r>
          </w:p>
        </w:tc>
        <w:tc>
          <w:tcPr>
            <w:tcW w:w="7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(913)</w:t>
            </w:r>
          </w:p>
        </w:tc>
        <w:tc>
          <w:tcPr>
            <w:tcW w:w="26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7"/>
        </w:trPr>
        <w:tc>
          <w:tcPr>
            <w:tcW w:w="7540" w:type="dxa"/>
            <w:vAlign w:val="bottom"/>
            <w:tcBorders>
              <w:bottom w:val="single" w:sz="8" w:color="F4F4F4"/>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540" w:type="dxa"/>
            <w:vAlign w:val="bottom"/>
            <w:shd w:val="clear" w:color="auto" w:fill="F4F4F4"/>
          </w:tcPr>
          <w:p>
            <w:pPr>
              <w:ind w:left="180"/>
              <w:spacing w:after="0"/>
              <w:rPr>
                <w:sz w:val="20"/>
                <w:szCs w:val="20"/>
                <w:color w:val="auto"/>
              </w:rPr>
            </w:pPr>
            <w:r>
              <w:rPr>
                <w:rFonts w:ascii="Arial" w:cs="Arial" w:eastAsia="Arial" w:hAnsi="Arial"/>
                <w:sz w:val="18"/>
                <w:szCs w:val="18"/>
                <w:color w:val="auto"/>
              </w:rPr>
              <w:t>Net lease cost</w:t>
            </w:r>
          </w:p>
        </w:tc>
        <w:tc>
          <w:tcPr>
            <w:tcW w:w="760" w:type="dxa"/>
            <w:vAlign w:val="bottom"/>
            <w:shd w:val="clear" w:color="auto" w:fill="F4F4F4"/>
          </w:tcPr>
          <w:p>
            <w:pPr>
              <w:jc w:val="right"/>
              <w:ind w:right="5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ind w:right="14"/>
              <w:spacing w:after="0"/>
              <w:rPr>
                <w:sz w:val="20"/>
                <w:szCs w:val="20"/>
                <w:color w:val="auto"/>
              </w:rPr>
            </w:pPr>
            <w:r>
              <w:rPr>
                <w:rFonts w:ascii="Arial" w:cs="Arial" w:eastAsia="Arial" w:hAnsi="Arial"/>
                <w:sz w:val="18"/>
                <w:szCs w:val="18"/>
                <w:color w:val="auto"/>
              </w:rPr>
              <w:t>6,656</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F4F4F4"/>
          </w:tcPr>
          <w:p>
            <w:pPr>
              <w:jc w:val="right"/>
              <w:ind w:right="18"/>
              <w:spacing w:after="0"/>
              <w:rPr>
                <w:sz w:val="20"/>
                <w:szCs w:val="20"/>
                <w:color w:val="auto"/>
              </w:rPr>
            </w:pPr>
            <w:r>
              <w:rPr>
                <w:rFonts w:ascii="Arial" w:cs="Arial" w:eastAsia="Arial" w:hAnsi="Arial"/>
                <w:sz w:val="18"/>
                <w:szCs w:val="18"/>
                <w:color w:val="auto"/>
              </w:rPr>
              <w:t>6,287</w:t>
            </w:r>
          </w:p>
        </w:tc>
      </w:tr>
      <w:tr>
        <w:trPr>
          <w:trHeight w:val="27"/>
        </w:trPr>
        <w:tc>
          <w:tcPr>
            <w:tcW w:w="7540" w:type="dxa"/>
            <w:vAlign w:val="bottom"/>
            <w:shd w:val="clear" w:color="auto" w:fill="F4F4F4"/>
          </w:tcPr>
          <w:p>
            <w:pPr>
              <w:spacing w:after="0"/>
              <w:rPr>
                <w:sz w:val="2"/>
                <w:szCs w:val="2"/>
                <w:color w:val="auto"/>
              </w:rPr>
            </w:pPr>
          </w:p>
        </w:tc>
        <w:tc>
          <w:tcPr>
            <w:tcW w:w="760" w:type="dxa"/>
            <w:vAlign w:val="bottom"/>
            <w:shd w:val="clear" w:color="auto" w:fill="F4F4F4"/>
          </w:tcPr>
          <w:p>
            <w:pPr>
              <w:spacing w:after="0"/>
              <w:rPr>
                <w:sz w:val="2"/>
                <w:szCs w:val="2"/>
                <w:color w:val="auto"/>
              </w:rPr>
            </w:pPr>
          </w:p>
        </w:tc>
        <w:tc>
          <w:tcPr>
            <w:tcW w:w="1140" w:type="dxa"/>
            <w:vAlign w:val="bottom"/>
            <w:shd w:val="clear" w:color="auto" w:fill="F4F4F4"/>
          </w:tcPr>
          <w:p>
            <w:pPr>
              <w:spacing w:after="0"/>
              <w:rPr>
                <w:sz w:val="2"/>
                <w:szCs w:val="2"/>
                <w:color w:val="auto"/>
              </w:rPr>
            </w:pPr>
          </w:p>
        </w:tc>
        <w:tc>
          <w:tcPr>
            <w:tcW w:w="260" w:type="dxa"/>
            <w:vAlign w:val="bottom"/>
            <w:shd w:val="clear" w:color="auto" w:fill="F4F4F4"/>
          </w:tcPr>
          <w:p>
            <w:pPr>
              <w:spacing w:after="0"/>
              <w:rPr>
                <w:sz w:val="2"/>
                <w:szCs w:val="2"/>
                <w:color w:val="auto"/>
              </w:rPr>
            </w:pPr>
          </w:p>
        </w:tc>
        <w:tc>
          <w:tcPr>
            <w:tcW w:w="1540" w:type="dxa"/>
            <w:vAlign w:val="bottom"/>
            <w:shd w:val="clear" w:color="auto" w:fill="F4F4F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-839470</wp:posOffset>
            </wp:positionV>
            <wp:extent cx="234886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loans under the 2017 Credit Facility require periodic principal payments. The balance of the term loans and any amounts drawn on the revolving credit loans are due upon maturity of the 2017 Credit Facility in June 2022.</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March 31, 2020, the remaining aggregate minimum purchase commitment under these arrangements was approximately $76.7 million through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legal proceedings and claims that arise in the ordinary course of business. We make a provision for a loss contingency when it is both probable that a liability has been incurred and the amount of the loss can be reasonably estimated. These provisions are reviewed at least quarterly and adjusted to reflect the impacts of negotiations, settlements, rulings, advice of legal counsel and other information and events pertaining to a particular case. Unless otherwise specifically</w:t>
      </w:r>
    </w:p>
    <w:p>
      <w:pPr>
        <w:spacing w:after="0" w:line="348"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15</w:t>
      </w:r>
    </w:p>
    <w:p>
      <w:pPr>
        <w:sectPr>
          <w:pgSz w:w="11900" w:h="16838" w:orient="portrait"/>
          <w:cols w:equalWidth="0" w:num="1">
            <w:col w:w="11240"/>
          </w:cols>
          <w:pgMar w:left="320" w:top="118" w:right="3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disclosed in this note, we have determined as of March 31, 2020, that no provision for liability nor disclosure is required related to any claim against us because (a) there is not a reasonable possibility that a loss exceeding amounts already recognized (if any) may be incurred with respect to such claim; (b) a reasonably possible loss or range of loss cannot be estimated; or (c) such estimate is immaterial. All legal costs associated with litigation are expensed as incurred. Litigation is inherently unpredictable. However, we believe that we have valid defenses with respect to the legal matters pending against us. It is possible, nevertheless, that our consolidated financial position, results of operations or cash flows could be negatively affected in any particular period by an unfavorable resolution of one or more of such proceedings, claims or investigations.</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10.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provision (benefit) and effective income tax rates, including the effects of period-specific events,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689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143" w:lineRule="exact"/>
        <w:rPr>
          <w:sz w:val="20"/>
          <w:szCs w:val="20"/>
          <w:color w:val="auto"/>
        </w:rPr>
      </w:pPr>
    </w:p>
    <w:p>
      <w:pPr>
        <w:ind w:left="9760"/>
        <w:spacing w:after="0"/>
        <w:rPr>
          <w:sz w:val="20"/>
          <w:szCs w:val="20"/>
          <w:color w:val="auto"/>
        </w:rPr>
      </w:pPr>
      <w:r>
        <w:rPr>
          <w:rFonts w:ascii="Arial" w:cs="Arial" w:eastAsia="Arial" w:hAnsi="Arial"/>
          <w:sz w:val="14"/>
          <w:szCs w:val="14"/>
          <w:b w:val="1"/>
          <w:bCs w:val="1"/>
          <w:color w:val="FFFFFF"/>
          <w:highlight w:val="darkGray"/>
        </w:rPr>
        <w:t>Three months ended</w:t>
      </w:r>
    </w:p>
    <w:tbl>
      <w:tblPr>
        <w:tblLayout w:type="fixed"/>
        <w:tblInd w:w="0" w:type="dxa"/>
        <w:tblCellMar>
          <w:top w:w="0" w:type="dxa"/>
          <w:left w:w="0" w:type="dxa"/>
          <w:bottom w:w="0" w:type="dxa"/>
          <w:right w:w="0" w:type="dxa"/>
        </w:tblCellMar>
      </w:tblPr>
      <w:tr>
        <w:trPr>
          <w:trHeight w:val="159"/>
        </w:trPr>
        <w:tc>
          <w:tcPr>
            <w:tcW w:w="8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shd w:val="clear" w:color="auto" w:fill="ACACAC"/>
          </w:tcPr>
          <w:p>
            <w:pPr>
              <w:jc w:val="right"/>
              <w:spacing w:after="0" w:line="159" w:lineRule="exact"/>
              <w:rPr>
                <w:sz w:val="20"/>
                <w:szCs w:val="20"/>
                <w:color w:val="auto"/>
              </w:rPr>
            </w:pPr>
            <w:r>
              <w:rPr>
                <w:rFonts w:ascii="Arial" w:cs="Arial" w:eastAsia="Arial" w:hAnsi="Arial"/>
                <w:sz w:val="14"/>
                <w:szCs w:val="14"/>
                <w:b w:val="1"/>
                <w:bCs w:val="1"/>
                <w:color w:val="FFFFFF"/>
                <w:highlight w:val="darkGray"/>
              </w:rPr>
              <w:t>March 31,</w:t>
            </w:r>
          </w:p>
        </w:tc>
        <w:tc>
          <w:tcPr>
            <w:tcW w:w="180" w:type="dxa"/>
            <w:vAlign w:val="bottom"/>
          </w:tcPr>
          <w:p>
            <w:pPr>
              <w:spacing w:after="0"/>
              <w:rPr>
                <w:sz w:val="13"/>
                <w:szCs w:val="13"/>
                <w:color w:val="auto"/>
              </w:rPr>
            </w:pPr>
          </w:p>
        </w:tc>
      </w:tr>
      <w:tr>
        <w:trPr>
          <w:trHeight w:val="27"/>
        </w:trPr>
        <w:tc>
          <w:tcPr>
            <w:tcW w:w="84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0"/>
        </w:trPr>
        <w:tc>
          <w:tcPr>
            <w:tcW w:w="8400" w:type="dxa"/>
            <w:vAlign w:val="bottom"/>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 w:type="dxa"/>
            <w:vAlign w:val="bottom"/>
            <w:shd w:val="clear" w:color="auto" w:fill="ACACAC"/>
          </w:tcPr>
          <w:p>
            <w:pPr>
              <w:spacing w:after="0"/>
              <w:rPr>
                <w:sz w:val="19"/>
                <w:szCs w:val="19"/>
                <w:color w:val="auto"/>
              </w:rPr>
            </w:pPr>
          </w:p>
        </w:tc>
        <w:tc>
          <w:tcPr>
            <w:tcW w:w="90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580" w:type="dxa"/>
            <w:vAlign w:val="bottom"/>
            <w:shd w:val="clear" w:color="auto" w:fill="ACACAC"/>
          </w:tcPr>
          <w:p>
            <w:pPr>
              <w:spacing w:after="0"/>
              <w:rPr>
                <w:sz w:val="19"/>
                <w:szCs w:val="19"/>
                <w:color w:val="auto"/>
              </w:rPr>
            </w:pPr>
          </w:p>
        </w:tc>
        <w:tc>
          <w:tcPr>
            <w:tcW w:w="860" w:type="dxa"/>
            <w:vAlign w:val="bottom"/>
            <w:gridSpan w:val="2"/>
            <w:shd w:val="clear" w:color="auto" w:fill="ACACAC"/>
          </w:tcPr>
          <w:p>
            <w:pPr>
              <w:jc w:val="right"/>
              <w:ind w:right="180"/>
              <w:spacing w:after="0"/>
              <w:rPr>
                <w:sz w:val="20"/>
                <w:szCs w:val="20"/>
                <w:color w:val="auto"/>
              </w:rPr>
            </w:pPr>
            <w:r>
              <w:rPr>
                <w:rFonts w:ascii="Arial" w:cs="Arial" w:eastAsia="Arial" w:hAnsi="Arial"/>
                <w:sz w:val="14"/>
                <w:szCs w:val="14"/>
                <w:b w:val="1"/>
                <w:bCs w:val="1"/>
                <w:color w:val="FFFFFF"/>
              </w:rPr>
              <w:t>2019</w:t>
            </w:r>
          </w:p>
        </w:tc>
      </w:tr>
      <w:tr>
        <w:trPr>
          <w:trHeight w:val="250"/>
        </w:trPr>
        <w:tc>
          <w:tcPr>
            <w:tcW w:w="84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Income tax provision (benefit)</w:t>
            </w:r>
          </w:p>
        </w:tc>
        <w:tc>
          <w:tcPr>
            <w:tcW w:w="50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696</w:t>
            </w:r>
          </w:p>
        </w:tc>
        <w:tc>
          <w:tcPr>
            <w:tcW w:w="580" w:type="dxa"/>
            <w:vAlign w:val="bottom"/>
            <w:tcBorders>
              <w:bottom w:val="single" w:sz="8" w:color="F4F4F4"/>
            </w:tcBorders>
            <w:shd w:val="clear" w:color="auto" w:fill="F4F4F4"/>
          </w:tcPr>
          <w:p>
            <w:pPr>
              <w:jc w:val="right"/>
              <w:ind w:right="3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gridSpan w:val="2"/>
            <w:shd w:val="clear" w:color="auto" w:fill="F4F4F4"/>
          </w:tcPr>
          <w:p>
            <w:pPr>
              <w:jc w:val="right"/>
              <w:ind w:right="120"/>
              <w:spacing w:after="0"/>
              <w:rPr>
                <w:sz w:val="20"/>
                <w:szCs w:val="20"/>
                <w:color w:val="auto"/>
              </w:rPr>
            </w:pPr>
            <w:r>
              <w:rPr>
                <w:rFonts w:ascii="Arial" w:cs="Arial" w:eastAsia="Arial" w:hAnsi="Arial"/>
                <w:sz w:val="18"/>
                <w:szCs w:val="18"/>
                <w:color w:val="auto"/>
              </w:rPr>
              <w:t>(1,834)</w:t>
            </w:r>
          </w:p>
        </w:tc>
      </w:tr>
      <w:tr>
        <w:trPr>
          <w:trHeight w:val="243"/>
        </w:trPr>
        <w:tc>
          <w:tcPr>
            <w:tcW w:w="84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5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w:t>
            </w:r>
          </w:p>
        </w:tc>
        <w:tc>
          <w:tcPr>
            <w:tcW w:w="580" w:type="dxa"/>
            <w:vAlign w:val="bottom"/>
          </w:tcPr>
          <w:p>
            <w:pPr>
              <w:spacing w:after="0"/>
              <w:rPr>
                <w:sz w:val="21"/>
                <w:szCs w:val="21"/>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62.0%</w:t>
            </w:r>
          </w:p>
        </w:tc>
      </w:tr>
      <w:tr>
        <w:trPr>
          <w:trHeight w:val="27"/>
        </w:trPr>
        <w:tc>
          <w:tcPr>
            <w:tcW w:w="8400" w:type="dxa"/>
            <w:vAlign w:val="bottom"/>
            <w:tcBorders>
              <w:bottom w:val="single" w:sz="8" w:color="71BF43"/>
            </w:tcBorders>
          </w:tcPr>
          <w:p>
            <w:pPr>
              <w:spacing w:after="0"/>
              <w:rPr>
                <w:sz w:val="2"/>
                <w:szCs w:val="2"/>
                <w:color w:val="auto"/>
              </w:rPr>
            </w:pPr>
          </w:p>
        </w:tc>
        <w:tc>
          <w:tcPr>
            <w:tcW w:w="500" w:type="dxa"/>
            <w:vAlign w:val="bottom"/>
            <w:tcBorders>
              <w:bottom w:val="single" w:sz="8" w:color="71BF43"/>
            </w:tcBorders>
          </w:tcPr>
          <w:p>
            <w:pPr>
              <w:spacing w:after="0"/>
              <w:rPr>
                <w:sz w:val="2"/>
                <w:szCs w:val="2"/>
                <w:color w:val="auto"/>
              </w:rPr>
            </w:pPr>
          </w:p>
        </w:tc>
        <w:tc>
          <w:tcPr>
            <w:tcW w:w="900" w:type="dxa"/>
            <w:vAlign w:val="bottom"/>
            <w:tcBorders>
              <w:bottom w:val="single" w:sz="8" w:color="71BF43"/>
            </w:tcBorders>
          </w:tcPr>
          <w:p>
            <w:pPr>
              <w:spacing w:after="0"/>
              <w:rPr>
                <w:sz w:val="2"/>
                <w:szCs w:val="2"/>
                <w:color w:val="auto"/>
              </w:rPr>
            </w:pPr>
          </w:p>
        </w:tc>
        <w:tc>
          <w:tcPr>
            <w:tcW w:w="580" w:type="dxa"/>
            <w:vAlign w:val="bottom"/>
            <w:tcBorders>
              <w:bottom w:val="single" w:sz="8" w:color="71BF43"/>
            </w:tcBorders>
          </w:tcPr>
          <w:p>
            <w:pPr>
              <w:spacing w:after="0"/>
              <w:rPr>
                <w:sz w:val="2"/>
                <w:szCs w:val="2"/>
                <w:color w:val="auto"/>
              </w:rPr>
            </w:pPr>
          </w:p>
        </w:tc>
        <w:tc>
          <w:tcPr>
            <w:tcW w:w="680" w:type="dxa"/>
            <w:vAlign w:val="bottom"/>
            <w:tcBorders>
              <w:bottom w:val="single" w:sz="8" w:color="71BF43"/>
            </w:tcBorders>
          </w:tcPr>
          <w:p>
            <w:pPr>
              <w:spacing w:after="0"/>
              <w:rPr>
                <w:sz w:val="2"/>
                <w:szCs w:val="2"/>
                <w:color w:val="auto"/>
              </w:rPr>
            </w:pPr>
          </w:p>
        </w:tc>
        <w:tc>
          <w:tcPr>
            <w:tcW w:w="180" w:type="dxa"/>
            <w:vAlign w:val="bottom"/>
            <w:tcBorders>
              <w:bottom w:val="single" w:sz="8" w:color="71BF43"/>
            </w:tcBorders>
          </w:tcPr>
          <w:p>
            <w:pPr>
              <w:spacing w:after="0"/>
              <w:rPr>
                <w:sz w:val="2"/>
                <w:szCs w:val="2"/>
                <w:color w:val="auto"/>
              </w:rPr>
            </w:pPr>
          </w:p>
        </w:tc>
      </w:tr>
    </w:tbl>
    <w:p>
      <w:pPr>
        <w:spacing w:after="0" w:line="3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(“CARES Act”) was signed into law on March 27, 2020. The CARES Act did not have a material impact on our provision for income taxes for the three months ended March 31, 2020. We will continue to analyze and monitor potential impact throughout the year.</w:t>
      </w:r>
    </w:p>
    <w:p>
      <w:pPr>
        <w:spacing w:after="0" w:line="13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decrease in our effective income tax rate during the three months ended March 31, 2020, when compared to the same period in 2019, was primarily due to the impact of discrete tax benefits on pre-tax income for the quarter as compared to pre-tax loss for the same period in 2019.</w: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11.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Stock-based compensation expense is allocated to cost of revenue and operating expenses on the consolidated statements of comprehensive income based on where the associated employee’s compensation is recorded. The following table summarizes stock-based compensation expense:</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shd w:val="clear" w:color="auto" w:fill="ACACAC"/>
          </w:tcPr>
          <w:p>
            <w:pPr>
              <w:spacing w:after="0"/>
              <w:rPr>
                <w:sz w:val="14"/>
                <w:szCs w:val="14"/>
                <w:color w:val="auto"/>
              </w:rPr>
            </w:pPr>
          </w:p>
        </w:tc>
        <w:tc>
          <w:tcPr>
            <w:tcW w:w="698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54"/>
              <w:spacing w:after="0"/>
              <w:rPr>
                <w:sz w:val="20"/>
                <w:szCs w:val="20"/>
                <w:color w:val="auto"/>
              </w:rPr>
            </w:pPr>
            <w:r>
              <w:rPr>
                <w:rFonts w:ascii="Arial" w:cs="Arial" w:eastAsia="Arial" w:hAnsi="Arial"/>
                <w:sz w:val="14"/>
                <w:szCs w:val="14"/>
                <w:b w:val="1"/>
                <w:bCs w:val="1"/>
                <w:color w:val="FFFFFF"/>
                <w:highlight w:val="darkGray"/>
                <w:w w:val="90"/>
              </w:rPr>
              <w:t>Three months ended</w:t>
            </w:r>
          </w:p>
        </w:tc>
      </w:tr>
      <w:tr>
        <w:trPr>
          <w:trHeight w:val="171"/>
        </w:trPr>
        <w:tc>
          <w:tcPr>
            <w:tcW w:w="1560" w:type="dxa"/>
            <w:vAlign w:val="bottom"/>
            <w:shd w:val="clear" w:color="auto" w:fill="ACACAC"/>
          </w:tcPr>
          <w:p>
            <w:pPr>
              <w:spacing w:after="0"/>
              <w:rPr>
                <w:sz w:val="14"/>
                <w:szCs w:val="14"/>
                <w:color w:val="auto"/>
              </w:rPr>
            </w:pPr>
          </w:p>
        </w:tc>
        <w:tc>
          <w:tcPr>
            <w:tcW w:w="698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860" w:type="dxa"/>
            <w:vAlign w:val="bottom"/>
            <w:shd w:val="clear" w:color="auto" w:fill="ACACAC"/>
          </w:tcPr>
          <w:p>
            <w:pPr>
              <w:spacing w:after="0"/>
              <w:rPr>
                <w:sz w:val="14"/>
                <w:szCs w:val="14"/>
                <w:color w:val="auto"/>
              </w:rPr>
            </w:pPr>
          </w:p>
        </w:tc>
        <w:tc>
          <w:tcPr>
            <w:tcW w:w="640" w:type="dxa"/>
            <w:vAlign w:val="bottom"/>
            <w:shd w:val="clear" w:color="auto" w:fill="ACACAC"/>
          </w:tcPr>
          <w:p>
            <w:pPr>
              <w:spacing w:after="0"/>
              <w:rPr>
                <w:sz w:val="14"/>
                <w:szCs w:val="14"/>
                <w:color w:val="auto"/>
              </w:rPr>
            </w:pPr>
          </w:p>
        </w:tc>
        <w:tc>
          <w:tcPr>
            <w:tcW w:w="76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highlight w:val="darkGray"/>
                <w:w w:val="99"/>
              </w:rPr>
              <w:t>March 31,</w:t>
            </w:r>
          </w:p>
        </w:tc>
      </w:tr>
      <w:tr>
        <w:trPr>
          <w:trHeight w:val="256"/>
        </w:trPr>
        <w:tc>
          <w:tcPr>
            <w:tcW w:w="156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980" w:type="dxa"/>
            <w:vAlign w:val="bottom"/>
            <w:shd w:val="clear" w:color="auto" w:fill="ACACAC"/>
          </w:tcPr>
          <w:p>
            <w:pPr>
              <w:spacing w:after="0"/>
              <w:rPr>
                <w:sz w:val="22"/>
                <w:szCs w:val="22"/>
                <w:color w:val="auto"/>
              </w:rPr>
            </w:pPr>
          </w:p>
        </w:tc>
        <w:tc>
          <w:tcPr>
            <w:tcW w:w="440" w:type="dxa"/>
            <w:vAlign w:val="bottom"/>
            <w:shd w:val="clear" w:color="auto" w:fill="ACACAC"/>
          </w:tcPr>
          <w:p>
            <w:pPr>
              <w:spacing w:after="0"/>
              <w:rPr>
                <w:sz w:val="22"/>
                <w:szCs w:val="22"/>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640" w:type="dxa"/>
            <w:vAlign w:val="bottom"/>
            <w:shd w:val="clear" w:color="auto" w:fill="ACACAC"/>
          </w:tcPr>
          <w:p>
            <w:pPr>
              <w:spacing w:after="0"/>
              <w:rPr>
                <w:sz w:val="22"/>
                <w:szCs w:val="22"/>
                <w:color w:val="auto"/>
              </w:rPr>
            </w:pPr>
          </w:p>
        </w:tc>
        <w:tc>
          <w:tcPr>
            <w:tcW w:w="76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2019</w:t>
            </w:r>
          </w:p>
        </w:tc>
      </w:tr>
      <w:tr>
        <w:trPr>
          <w:trHeight w:val="250"/>
        </w:trPr>
        <w:tc>
          <w:tcPr>
            <w:tcW w:w="8540" w:type="dxa"/>
            <w:vAlign w:val="bottom"/>
            <w:tcBorders>
              <w:bottom w:val="single" w:sz="8" w:color="F4F4F4"/>
            </w:tcBorders>
            <w:gridSpan w:val="2"/>
            <w:shd w:val="clear" w:color="auto" w:fill="F4F4F4"/>
          </w:tcPr>
          <w:p>
            <w:pPr>
              <w:ind w:left="40"/>
              <w:spacing w:after="0"/>
              <w:rPr>
                <w:sz w:val="20"/>
                <w:szCs w:val="20"/>
                <w:color w:val="auto"/>
              </w:rPr>
            </w:pPr>
            <w:r>
              <w:rPr>
                <w:rFonts w:ascii="Arial" w:cs="Arial" w:eastAsia="Arial" w:hAnsi="Arial"/>
                <w:sz w:val="18"/>
                <w:szCs w:val="18"/>
                <w:color w:val="auto"/>
              </w:rPr>
              <w:t>Included in cost of revenue:</w:t>
            </w: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64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spacing w:after="0"/>
              <w:rPr>
                <w:sz w:val="21"/>
                <w:szCs w:val="21"/>
                <w:color w:val="auto"/>
              </w:rPr>
            </w:pPr>
          </w:p>
        </w:tc>
      </w:tr>
      <w:tr>
        <w:trPr>
          <w:trHeight w:val="243"/>
        </w:trPr>
        <w:tc>
          <w:tcPr>
            <w:tcW w:w="1560" w:type="dxa"/>
            <w:vAlign w:val="bottom"/>
          </w:tcPr>
          <w:p>
            <w:pPr>
              <w:ind w:left="180"/>
              <w:spacing w:after="0"/>
              <w:rPr>
                <w:sz w:val="20"/>
                <w:szCs w:val="20"/>
                <w:color w:val="auto"/>
              </w:rPr>
            </w:pPr>
            <w:r>
              <w:rPr>
                <w:rFonts w:ascii="Arial" w:cs="Arial" w:eastAsia="Arial" w:hAnsi="Arial"/>
                <w:sz w:val="18"/>
                <w:szCs w:val="18"/>
                <w:color w:val="auto"/>
              </w:rPr>
              <w:t>Cost of recurring</w:t>
            </w:r>
          </w:p>
        </w:tc>
        <w:tc>
          <w:tcPr>
            <w:tcW w:w="69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470</w:t>
            </w:r>
          </w:p>
        </w:tc>
        <w:tc>
          <w:tcPr>
            <w:tcW w:w="640" w:type="dxa"/>
            <w:vAlign w:val="bottom"/>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512</w:t>
            </w: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8540" w:type="dxa"/>
            <w:vAlign w:val="bottom"/>
            <w:tcBorders>
              <w:bottom w:val="single" w:sz="8" w:color="F4F4F4"/>
            </w:tcBorders>
            <w:gridSpan w:val="2"/>
            <w:shd w:val="clear" w:color="auto" w:fill="F4F4F4"/>
          </w:tcPr>
          <w:p>
            <w:pPr>
              <w:ind w:left="180"/>
              <w:spacing w:after="0"/>
              <w:rPr>
                <w:sz w:val="20"/>
                <w:szCs w:val="20"/>
                <w:color w:val="auto"/>
              </w:rPr>
            </w:pPr>
            <w:r>
              <w:rPr>
                <w:rFonts w:ascii="Arial" w:cs="Arial" w:eastAsia="Arial" w:hAnsi="Arial"/>
                <w:sz w:val="18"/>
                <w:szCs w:val="18"/>
                <w:color w:val="auto"/>
              </w:rPr>
              <w:t>Cost of one-time services and other</w:t>
            </w:r>
          </w:p>
        </w:tc>
        <w:tc>
          <w:tcPr>
            <w:tcW w:w="44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395</w:t>
            </w:r>
          </w:p>
        </w:tc>
        <w:tc>
          <w:tcPr>
            <w:tcW w:w="640" w:type="dxa"/>
            <w:vAlign w:val="bottom"/>
            <w:tcBorders>
              <w:bottom w:val="single" w:sz="8" w:color="F4F4F4"/>
            </w:tcBorders>
            <w:shd w:val="clear" w:color="auto" w:fill="F4F4F4"/>
          </w:tcPr>
          <w:p>
            <w:pPr>
              <w:spacing w:after="0"/>
              <w:rPr>
                <w:sz w:val="23"/>
                <w:szCs w:val="23"/>
                <w:color w:val="auto"/>
              </w:rPr>
            </w:pPr>
          </w:p>
        </w:tc>
        <w:tc>
          <w:tcPr>
            <w:tcW w:w="76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462</w:t>
            </w:r>
          </w:p>
        </w:tc>
      </w:tr>
      <w:tr>
        <w:trPr>
          <w:trHeight w:val="237"/>
        </w:trPr>
        <w:tc>
          <w:tcPr>
            <w:tcW w:w="8540" w:type="dxa"/>
            <w:vAlign w:val="bottom"/>
            <w:gridSpan w:val="2"/>
          </w:tcPr>
          <w:p>
            <w:pPr>
              <w:ind w:left="380"/>
              <w:spacing w:after="0"/>
              <w:rPr>
                <w:sz w:val="20"/>
                <w:szCs w:val="20"/>
                <w:color w:val="auto"/>
              </w:rPr>
            </w:pPr>
            <w:r>
              <w:rPr>
                <w:rFonts w:ascii="Arial" w:cs="Arial" w:eastAsia="Arial" w:hAnsi="Arial"/>
                <w:sz w:val="18"/>
                <w:szCs w:val="18"/>
                <w:color w:val="auto"/>
              </w:rPr>
              <w:t>Total included in cost of revenue</w:t>
            </w:r>
          </w:p>
        </w:tc>
        <w:tc>
          <w:tcPr>
            <w:tcW w:w="4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6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974</w:t>
            </w: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40" w:type="dxa"/>
            <w:vAlign w:val="bottom"/>
            <w:tcBorders>
              <w:bottom w:val="single" w:sz="8" w:color="F4F4F4"/>
            </w:tcBorders>
            <w:gridSpan w:val="2"/>
            <w:shd w:val="clear" w:color="auto" w:fill="F4F4F4"/>
          </w:tcPr>
          <w:p>
            <w:pPr>
              <w:ind w:left="40"/>
              <w:spacing w:after="0"/>
              <w:rPr>
                <w:sz w:val="20"/>
                <w:szCs w:val="20"/>
                <w:color w:val="auto"/>
              </w:rPr>
            </w:pPr>
            <w:r>
              <w:rPr>
                <w:rFonts w:ascii="Arial" w:cs="Arial" w:eastAsia="Arial" w:hAnsi="Arial"/>
                <w:sz w:val="18"/>
                <w:szCs w:val="18"/>
                <w:color w:val="auto"/>
              </w:rPr>
              <w:t>Included in operating expenses:</w:t>
            </w: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64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spacing w:after="0"/>
              <w:rPr>
                <w:sz w:val="21"/>
                <w:szCs w:val="21"/>
                <w:color w:val="auto"/>
              </w:rPr>
            </w:pP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Sales, marketing and customer success</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2,478</w:t>
            </w:r>
          </w:p>
        </w:tc>
        <w:tc>
          <w:tcPr>
            <w:tcW w:w="6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2,911</w:t>
            </w:r>
          </w:p>
        </w:tc>
      </w:tr>
      <w:tr>
        <w:trPr>
          <w:trHeight w:val="27"/>
        </w:trPr>
        <w:tc>
          <w:tcPr>
            <w:tcW w:w="85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8540" w:type="dxa"/>
            <w:vAlign w:val="bottom"/>
            <w:tcBorders>
              <w:bottom w:val="single" w:sz="8" w:color="F4F4F4"/>
            </w:tcBorders>
            <w:gridSpan w:val="2"/>
            <w:shd w:val="clear" w:color="auto" w:fill="F4F4F4"/>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2,799</w:t>
            </w:r>
          </w:p>
        </w:tc>
        <w:tc>
          <w:tcPr>
            <w:tcW w:w="64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2,674</w:t>
            </w:r>
          </w:p>
        </w:tc>
      </w:tr>
      <w:tr>
        <w:trPr>
          <w:trHeight w:val="243"/>
        </w:trPr>
        <w:tc>
          <w:tcPr>
            <w:tcW w:w="854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7,438</w:t>
            </w:r>
          </w:p>
        </w:tc>
        <w:tc>
          <w:tcPr>
            <w:tcW w:w="64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Arial" w:cs="Arial" w:eastAsia="Arial" w:hAnsi="Arial"/>
                <w:sz w:val="18"/>
                <w:szCs w:val="18"/>
                <w:color w:val="auto"/>
              </w:rPr>
              <w:t>7,167</w:t>
            </w:r>
          </w:p>
        </w:tc>
      </w:tr>
      <w:tr>
        <w:trPr>
          <w:trHeight w:val="27"/>
        </w:trPr>
        <w:tc>
          <w:tcPr>
            <w:tcW w:w="8540" w:type="dxa"/>
            <w:vAlign w:val="bottom"/>
            <w:tcBorders>
              <w:bottom w:val="single" w:sz="8" w:color="F4F4F4"/>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4"/>
        </w:trPr>
        <w:tc>
          <w:tcPr>
            <w:tcW w:w="8540" w:type="dxa"/>
            <w:vAlign w:val="bottom"/>
            <w:tcBorders>
              <w:bottom w:val="single" w:sz="8" w:color="F4F4F4"/>
            </w:tcBorders>
            <w:gridSpan w:val="2"/>
            <w:shd w:val="clear" w:color="auto" w:fill="F4F4F4"/>
          </w:tcPr>
          <w:p>
            <w:pPr>
              <w:ind w:left="380"/>
              <w:spacing w:after="0"/>
              <w:rPr>
                <w:sz w:val="20"/>
                <w:szCs w:val="20"/>
                <w:color w:val="auto"/>
              </w:rPr>
            </w:pPr>
            <w:r>
              <w:rPr>
                <w:rFonts w:ascii="Arial" w:cs="Arial" w:eastAsia="Arial" w:hAnsi="Arial"/>
                <w:sz w:val="18"/>
                <w:szCs w:val="18"/>
                <w:color w:val="auto"/>
              </w:rPr>
              <w:t>Total included in operating expenses</w:t>
            </w:r>
          </w:p>
        </w:tc>
        <w:tc>
          <w:tcPr>
            <w:tcW w:w="44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12,715</w:t>
            </w:r>
          </w:p>
        </w:tc>
        <w:tc>
          <w:tcPr>
            <w:tcW w:w="640" w:type="dxa"/>
            <w:vAlign w:val="bottom"/>
            <w:tcBorders>
              <w:bottom w:val="single" w:sz="8" w:color="F4F4F4"/>
            </w:tcBorders>
            <w:shd w:val="clear" w:color="auto" w:fill="F4F4F4"/>
          </w:tcPr>
          <w:p>
            <w:pPr>
              <w:spacing w:after="0"/>
              <w:rPr>
                <w:sz w:val="22"/>
                <w:szCs w:val="22"/>
                <w:color w:val="auto"/>
              </w:rPr>
            </w:pPr>
          </w:p>
        </w:tc>
        <w:tc>
          <w:tcPr>
            <w:tcW w:w="760" w:type="dxa"/>
            <w:vAlign w:val="bottom"/>
            <w:tcBorders>
              <w:bottom w:val="single" w:sz="8" w:color="F4F4F4"/>
            </w:tcBorders>
            <w:shd w:val="clear" w:color="auto" w:fill="F4F4F4"/>
          </w:tcPr>
          <w:p>
            <w:pPr>
              <w:jc w:val="right"/>
              <w:ind w:right="14"/>
              <w:spacing w:after="0"/>
              <w:rPr>
                <w:sz w:val="20"/>
                <w:szCs w:val="20"/>
                <w:color w:val="auto"/>
              </w:rPr>
            </w:pPr>
            <w:r>
              <w:rPr>
                <w:rFonts w:ascii="Arial" w:cs="Arial" w:eastAsia="Arial" w:hAnsi="Arial"/>
                <w:sz w:val="18"/>
                <w:szCs w:val="18"/>
                <w:color w:val="auto"/>
              </w:rPr>
              <w:t>12,752</w:t>
            </w:r>
          </w:p>
        </w:tc>
      </w:tr>
      <w:tr>
        <w:trPr>
          <w:trHeight w:val="236"/>
        </w:trPr>
        <w:tc>
          <w:tcPr>
            <w:tcW w:w="8540" w:type="dxa"/>
            <w:vAlign w:val="bottom"/>
            <w:gridSpan w:val="2"/>
          </w:tcPr>
          <w:p>
            <w:pPr>
              <w:ind w:left="500"/>
              <w:spacing w:after="0"/>
              <w:rPr>
                <w:sz w:val="20"/>
                <w:szCs w:val="20"/>
                <w:color w:val="auto"/>
              </w:rPr>
            </w:pPr>
            <w:r>
              <w:rPr>
                <w:rFonts w:ascii="Arial" w:cs="Arial" w:eastAsia="Arial" w:hAnsi="Arial"/>
                <w:sz w:val="18"/>
                <w:szCs w:val="18"/>
                <w:color w:val="auto"/>
              </w:rPr>
              <w:t>Total stock-based compensation expense</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13,580</w:t>
            </w:r>
          </w:p>
        </w:tc>
        <w:tc>
          <w:tcPr>
            <w:tcW w:w="640" w:type="dxa"/>
            <w:vAlign w:val="bottom"/>
            <w:tcBorders>
              <w:top w:val="single" w:sz="8" w:color="auto"/>
            </w:tcBorders>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13,726</w:t>
            </w:r>
          </w:p>
        </w:tc>
      </w:tr>
      <w:tr>
        <w:trPr>
          <w:trHeight w:val="27"/>
        </w:trPr>
        <w:tc>
          <w:tcPr>
            <w:tcW w:w="1560" w:type="dxa"/>
            <w:vAlign w:val="bottom"/>
            <w:tcBorders>
              <w:bottom w:val="single" w:sz="8" w:color="71BF43"/>
            </w:tcBorders>
          </w:tcPr>
          <w:p>
            <w:pPr>
              <w:spacing w:after="0"/>
              <w:rPr>
                <w:sz w:val="2"/>
                <w:szCs w:val="2"/>
                <w:color w:val="auto"/>
              </w:rPr>
            </w:pPr>
          </w:p>
        </w:tc>
        <w:tc>
          <w:tcPr>
            <w:tcW w:w="6980" w:type="dxa"/>
            <w:vAlign w:val="bottom"/>
            <w:tcBorders>
              <w:bottom w:val="single" w:sz="8" w:color="71BF43"/>
            </w:tcBorders>
          </w:tcPr>
          <w:p>
            <w:pPr>
              <w:spacing w:after="0"/>
              <w:rPr>
                <w:sz w:val="2"/>
                <w:szCs w:val="2"/>
                <w:color w:val="auto"/>
              </w:rPr>
            </w:pPr>
          </w:p>
        </w:tc>
        <w:tc>
          <w:tcPr>
            <w:tcW w:w="440" w:type="dxa"/>
            <w:vAlign w:val="bottom"/>
            <w:tcBorders>
              <w:bottom w:val="single" w:sz="8" w:color="71BF43"/>
            </w:tcBorders>
          </w:tcPr>
          <w:p>
            <w:pPr>
              <w:spacing w:after="0"/>
              <w:rPr>
                <w:sz w:val="2"/>
                <w:szCs w:val="2"/>
                <w:color w:val="auto"/>
              </w:rPr>
            </w:pPr>
          </w:p>
        </w:tc>
        <w:tc>
          <w:tcPr>
            <w:tcW w:w="860" w:type="dxa"/>
            <w:vAlign w:val="bottom"/>
            <w:tcBorders>
              <w:bottom w:val="single" w:sz="8" w:color="71BF43"/>
            </w:tcBorders>
          </w:tcPr>
          <w:p>
            <w:pPr>
              <w:spacing w:after="0"/>
              <w:rPr>
                <w:sz w:val="2"/>
                <w:szCs w:val="2"/>
                <w:color w:val="auto"/>
              </w:rPr>
            </w:pPr>
          </w:p>
        </w:tc>
        <w:tc>
          <w:tcPr>
            <w:tcW w:w="640" w:type="dxa"/>
            <w:vAlign w:val="bottom"/>
            <w:tcBorders>
              <w:bottom w:val="single" w:sz="8" w:color="71BF43"/>
            </w:tcBorders>
          </w:tcPr>
          <w:p>
            <w:pPr>
              <w:spacing w:after="0"/>
              <w:rPr>
                <w:sz w:val="2"/>
                <w:szCs w:val="2"/>
                <w:color w:val="auto"/>
              </w:rPr>
            </w:pPr>
          </w:p>
        </w:tc>
        <w:tc>
          <w:tcPr>
            <w:tcW w:w="760" w:type="dxa"/>
            <w:vAlign w:val="bottom"/>
            <w:tcBorders>
              <w:bottom w:val="single" w:sz="8" w:color="71BF43"/>
            </w:tcBorders>
          </w:tcPr>
          <w:p>
            <w:pPr>
              <w:spacing w:after="0"/>
              <w:rPr>
                <w:sz w:val="2"/>
                <w:szCs w:val="2"/>
                <w:color w:val="auto"/>
              </w:rPr>
            </w:pPr>
          </w:p>
        </w:tc>
      </w:tr>
      <w:tr>
        <w:trPr>
          <w:trHeight w:val="765"/>
        </w:trPr>
        <w:tc>
          <w:tcPr>
            <w:tcW w:w="1560" w:type="dxa"/>
            <w:vAlign w:val="bottom"/>
          </w:tcPr>
          <w:p>
            <w:pPr>
              <w:ind w:left="300"/>
              <w:spacing w:after="0"/>
              <w:rPr>
                <w:sz w:val="20"/>
                <w:szCs w:val="20"/>
                <w:color w:val="auto"/>
              </w:rPr>
            </w:pPr>
            <w:r>
              <w:rPr>
                <w:rFonts w:ascii="Arial" w:cs="Arial" w:eastAsia="Arial" w:hAnsi="Arial"/>
                <w:sz w:val="14"/>
                <w:szCs w:val="14"/>
                <w:color w:val="auto"/>
              </w:rPr>
              <w:t>16</w:t>
            </w:r>
          </w:p>
        </w:tc>
        <w:tc>
          <w:tcPr>
            <w:tcW w:w="6980" w:type="dxa"/>
            <w:vAlign w:val="bottom"/>
          </w:tcPr>
          <w:p>
            <w:pPr>
              <w:ind w:left="160"/>
              <w:spacing w:after="0"/>
              <w:rPr>
                <w:sz w:val="20"/>
                <w:szCs w:val="20"/>
                <w:color w:val="auto"/>
              </w:rPr>
            </w:pPr>
            <w:r>
              <w:rPr>
                <w:rFonts w:ascii="Arial" w:cs="Arial" w:eastAsia="Arial" w:hAnsi="Arial"/>
                <w:sz w:val="14"/>
                <w:szCs w:val="14"/>
                <w:color w:val="auto"/>
              </w:rPr>
              <w:t>First Quarter 2020 Form 10-Q</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-2383155</wp:posOffset>
            </wp:positionV>
            <wp:extent cx="1714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71450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Board of Directors' previously adopted dividend policy provided for the distribution to stockholders of a portion of cash generated by us that was in excess of operational needs and capital expenditures. In February 2020, our Board of Directors approved an annual dividend rate of $0.48 per share to be made in quarterly payments, consistent with previous years.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in response to the global COVID-19 pandemic, our Board of Directors rescinded its previously announced policy to pay an annual dividend at a rate of $0.48 per share of common stock and discontinued the declaration and payment of all cash dividends, beginning with the second quarter of 2020 and thereafter until such time, if any, as it may otherwise determine in its sole discretion.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Dividends paid on common stock during the three months ended March 31, 2020,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Declaration Date</w:t>
            </w:r>
          </w:p>
        </w:tc>
        <w:tc>
          <w:tcPr>
            <w:tcW w:w="920" w:type="dxa"/>
            <w:vAlign w:val="bottom"/>
            <w:shd w:val="clear" w:color="auto" w:fill="ACACAC"/>
          </w:tcPr>
          <w:p>
            <w:pPr>
              <w:spacing w:after="0"/>
              <w:rPr>
                <w:sz w:val="14"/>
                <w:szCs w:val="14"/>
                <w:color w:val="auto"/>
              </w:rPr>
            </w:pPr>
          </w:p>
        </w:tc>
        <w:tc>
          <w:tcPr>
            <w:tcW w:w="1240" w:type="dxa"/>
            <w:vAlign w:val="bottom"/>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Dividend</w:t>
            </w:r>
          </w:p>
        </w:tc>
        <w:tc>
          <w:tcPr>
            <w:tcW w:w="1600" w:type="dxa"/>
            <w:vAlign w:val="bottom"/>
            <w:gridSpan w:val="3"/>
            <w:vMerge w:val="restart"/>
            <w:shd w:val="clear" w:color="auto" w:fill="ACACAC"/>
          </w:tcPr>
          <w:p>
            <w:pPr>
              <w:jc w:val="right"/>
              <w:ind w:right="373"/>
              <w:spacing w:after="0"/>
              <w:rPr>
                <w:sz w:val="20"/>
                <w:szCs w:val="20"/>
                <w:color w:val="auto"/>
              </w:rPr>
            </w:pPr>
            <w:r>
              <w:rPr>
                <w:rFonts w:ascii="Arial" w:cs="Arial" w:eastAsia="Arial" w:hAnsi="Arial"/>
                <w:sz w:val="14"/>
                <w:szCs w:val="14"/>
                <w:b w:val="1"/>
                <w:bCs w:val="1"/>
                <w:color w:val="FFFFFF"/>
              </w:rPr>
              <w:t>Record Date</w:t>
            </w:r>
          </w:p>
        </w:tc>
        <w:tc>
          <w:tcPr>
            <w:tcW w:w="220" w:type="dxa"/>
            <w:vAlign w:val="bottom"/>
            <w:shd w:val="clear" w:color="auto" w:fill="ACACAC"/>
          </w:tcPr>
          <w:p>
            <w:pPr>
              <w:spacing w:after="0"/>
              <w:rPr>
                <w:sz w:val="14"/>
                <w:szCs w:val="14"/>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Payable Date</w:t>
            </w:r>
          </w:p>
        </w:tc>
        <w:tc>
          <w:tcPr>
            <w:tcW w:w="0" w:type="dxa"/>
            <w:vAlign w:val="bottom"/>
          </w:tcPr>
          <w:p>
            <w:pPr>
              <w:spacing w:after="0"/>
              <w:rPr>
                <w:sz w:val="1"/>
                <w:szCs w:val="1"/>
                <w:color w:val="auto"/>
              </w:rPr>
            </w:pPr>
          </w:p>
        </w:tc>
      </w:tr>
      <w:tr>
        <w:trPr>
          <w:trHeight w:val="198"/>
        </w:trPr>
        <w:tc>
          <w:tcPr>
            <w:tcW w:w="6340" w:type="dxa"/>
            <w:vAlign w:val="bottom"/>
            <w:vMerge w:val="continue"/>
            <w:shd w:val="clear" w:color="auto" w:fill="ACACAC"/>
          </w:tcPr>
          <w:p>
            <w:pPr>
              <w:spacing w:after="0"/>
              <w:rPr>
                <w:sz w:val="17"/>
                <w:szCs w:val="17"/>
                <w:color w:val="auto"/>
              </w:rPr>
            </w:pPr>
          </w:p>
        </w:tc>
        <w:tc>
          <w:tcPr>
            <w:tcW w:w="920" w:type="dxa"/>
            <w:vAlign w:val="bottom"/>
            <w:shd w:val="clear" w:color="auto" w:fill="ACACAC"/>
          </w:tcPr>
          <w:p>
            <w:pPr>
              <w:spacing w:after="0"/>
              <w:rPr>
                <w:sz w:val="17"/>
                <w:szCs w:val="17"/>
                <w:color w:val="auto"/>
              </w:rPr>
            </w:pPr>
          </w:p>
        </w:tc>
        <w:tc>
          <w:tcPr>
            <w:tcW w:w="1240" w:type="dxa"/>
            <w:vAlign w:val="bottom"/>
            <w:shd w:val="clear" w:color="auto" w:fill="ACACAC"/>
          </w:tcPr>
          <w:p>
            <w:pPr>
              <w:jc w:val="right"/>
              <w:ind w:right="202"/>
              <w:spacing w:after="0"/>
              <w:rPr>
                <w:sz w:val="20"/>
                <w:szCs w:val="20"/>
                <w:color w:val="auto"/>
              </w:rPr>
            </w:pPr>
            <w:r>
              <w:rPr>
                <w:rFonts w:ascii="Arial" w:cs="Arial" w:eastAsia="Arial" w:hAnsi="Arial"/>
                <w:sz w:val="14"/>
                <w:szCs w:val="14"/>
                <w:b w:val="1"/>
                <w:bCs w:val="1"/>
                <w:color w:val="FFFFFF"/>
              </w:rPr>
              <w:t>per Share</w:t>
            </w:r>
          </w:p>
        </w:tc>
        <w:tc>
          <w:tcPr>
            <w:tcW w:w="1600" w:type="dxa"/>
            <w:vAlign w:val="bottom"/>
            <w:gridSpan w:val="3"/>
            <w:vMerge w:val="continue"/>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437"/>
        </w:trPr>
        <w:tc>
          <w:tcPr>
            <w:tcW w:w="63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February 10, 2020</w:t>
            </w:r>
          </w:p>
        </w:tc>
        <w:tc>
          <w:tcPr>
            <w:tcW w:w="92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F4F4F4"/>
            </w:tcBorders>
            <w:shd w:val="clear" w:color="auto" w:fill="F4F4F4"/>
          </w:tcPr>
          <w:p>
            <w:pPr>
              <w:jc w:val="right"/>
              <w:ind w:right="202"/>
              <w:spacing w:after="0"/>
              <w:rPr>
                <w:sz w:val="20"/>
                <w:szCs w:val="20"/>
                <w:color w:val="auto"/>
              </w:rPr>
            </w:pPr>
            <w:r>
              <w:rPr>
                <w:rFonts w:ascii="Arial" w:cs="Arial" w:eastAsia="Arial" w:hAnsi="Arial"/>
                <w:sz w:val="18"/>
                <w:szCs w:val="18"/>
                <w:color w:val="auto"/>
              </w:rPr>
              <w:t>0.12</w:t>
            </w:r>
          </w:p>
        </w:tc>
        <w:tc>
          <w:tcPr>
            <w:tcW w:w="1600" w:type="dxa"/>
            <w:vAlign w:val="bottom"/>
            <w:tcBorders>
              <w:bottom w:val="single" w:sz="8" w:color="F4F4F4"/>
            </w:tcBorders>
            <w:gridSpan w:val="3"/>
            <w:shd w:val="clear" w:color="auto" w:fill="F4F4F4"/>
          </w:tcPr>
          <w:p>
            <w:pPr>
              <w:jc w:val="right"/>
              <w:ind w:right="373"/>
              <w:spacing w:after="0"/>
              <w:rPr>
                <w:sz w:val="20"/>
                <w:szCs w:val="20"/>
                <w:color w:val="auto"/>
              </w:rPr>
            </w:pPr>
            <w:r>
              <w:rPr>
                <w:rFonts w:ascii="Arial" w:cs="Arial" w:eastAsia="Arial" w:hAnsi="Arial"/>
                <w:sz w:val="18"/>
                <w:szCs w:val="18"/>
                <w:color w:val="auto"/>
              </w:rPr>
              <w:t>February 28</w:t>
            </w:r>
          </w:p>
        </w:tc>
        <w:tc>
          <w:tcPr>
            <w:tcW w:w="220" w:type="dxa"/>
            <w:vAlign w:val="bottom"/>
            <w:tcBorders>
              <w:bottom w:val="single" w:sz="8" w:color="F4F4F4"/>
            </w:tcBorders>
            <w:shd w:val="clear" w:color="auto" w:fill="F4F4F4"/>
          </w:tcPr>
          <w:p>
            <w:pPr>
              <w:spacing w:after="0"/>
              <w:rPr>
                <w:sz w:val="24"/>
                <w:szCs w:val="24"/>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March 13</w:t>
            </w:r>
          </w:p>
        </w:tc>
        <w:tc>
          <w:tcPr>
            <w:tcW w:w="0" w:type="dxa"/>
            <w:vAlign w:val="bottom"/>
          </w:tcPr>
          <w:p>
            <w:pPr>
              <w:spacing w:after="0"/>
              <w:rPr>
                <w:sz w:val="1"/>
                <w:szCs w:val="1"/>
                <w:color w:val="auto"/>
              </w:rPr>
            </w:pPr>
          </w:p>
        </w:tc>
      </w:tr>
      <w:tr>
        <w:trPr>
          <w:trHeight w:val="588"/>
        </w:trPr>
        <w:tc>
          <w:tcPr>
            <w:tcW w:w="6340" w:type="dxa"/>
            <w:vAlign w:val="bottom"/>
            <w:tcBorders>
              <w:top w:val="single" w:sz="8" w:color="8CBE4F"/>
            </w:tcBorders>
          </w:tcPr>
          <w:p>
            <w:pPr>
              <w:spacing w:after="0"/>
              <w:rPr>
                <w:sz w:val="20"/>
                <w:szCs w:val="20"/>
                <w:color w:val="auto"/>
              </w:rPr>
            </w:pPr>
            <w:r>
              <w:rPr>
                <w:rFonts w:ascii="Arial" w:cs="Arial" w:eastAsia="Arial" w:hAnsi="Arial"/>
                <w:sz w:val="18"/>
                <w:szCs w:val="18"/>
                <w:b w:val="1"/>
                <w:bCs w:val="1"/>
                <w:color w:val="auto"/>
                <w:w w:val="97"/>
              </w:rPr>
              <w:t>Changes in accumulated other comprehensive income (loss) by component</w:t>
            </w:r>
          </w:p>
        </w:tc>
        <w:tc>
          <w:tcPr>
            <w:tcW w:w="920" w:type="dxa"/>
            <w:vAlign w:val="bottom"/>
            <w:tcBorders>
              <w:top w:val="single" w:sz="8" w:color="8CBE4F"/>
            </w:tcBorders>
          </w:tcPr>
          <w:p>
            <w:pPr>
              <w:spacing w:after="0"/>
              <w:rPr>
                <w:sz w:val="24"/>
                <w:szCs w:val="24"/>
                <w:color w:val="auto"/>
              </w:rPr>
            </w:pPr>
          </w:p>
        </w:tc>
        <w:tc>
          <w:tcPr>
            <w:tcW w:w="1240" w:type="dxa"/>
            <w:vAlign w:val="bottom"/>
            <w:tcBorders>
              <w:top w:val="single" w:sz="8" w:color="8CBE4F"/>
            </w:tcBorders>
          </w:tcPr>
          <w:p>
            <w:pPr>
              <w:spacing w:after="0"/>
              <w:rPr>
                <w:sz w:val="24"/>
                <w:szCs w:val="24"/>
                <w:color w:val="auto"/>
              </w:rPr>
            </w:pPr>
          </w:p>
        </w:tc>
        <w:tc>
          <w:tcPr>
            <w:tcW w:w="500" w:type="dxa"/>
            <w:vAlign w:val="bottom"/>
            <w:tcBorders>
              <w:top w:val="single" w:sz="8" w:color="8CBE4F"/>
            </w:tcBorders>
          </w:tcPr>
          <w:p>
            <w:pPr>
              <w:spacing w:after="0"/>
              <w:rPr>
                <w:sz w:val="24"/>
                <w:szCs w:val="24"/>
                <w:color w:val="auto"/>
              </w:rPr>
            </w:pPr>
          </w:p>
        </w:tc>
        <w:tc>
          <w:tcPr>
            <w:tcW w:w="280" w:type="dxa"/>
            <w:vAlign w:val="bottom"/>
            <w:tcBorders>
              <w:top w:val="single" w:sz="8" w:color="8CBE4F"/>
            </w:tcBorders>
          </w:tcPr>
          <w:p>
            <w:pPr>
              <w:spacing w:after="0"/>
              <w:rPr>
                <w:sz w:val="24"/>
                <w:szCs w:val="24"/>
                <w:color w:val="auto"/>
              </w:rPr>
            </w:pPr>
          </w:p>
        </w:tc>
        <w:tc>
          <w:tcPr>
            <w:tcW w:w="820" w:type="dxa"/>
            <w:vAlign w:val="bottom"/>
            <w:tcBorders>
              <w:top w:val="single" w:sz="8" w:color="8CBE4F"/>
            </w:tcBorders>
          </w:tcPr>
          <w:p>
            <w:pPr>
              <w:spacing w:after="0"/>
              <w:rPr>
                <w:sz w:val="24"/>
                <w:szCs w:val="24"/>
                <w:color w:val="auto"/>
              </w:rPr>
            </w:pPr>
          </w:p>
        </w:tc>
        <w:tc>
          <w:tcPr>
            <w:tcW w:w="220" w:type="dxa"/>
            <w:vAlign w:val="bottom"/>
            <w:tcBorders>
              <w:top w:val="single" w:sz="8" w:color="8CBE4F"/>
            </w:tcBorders>
          </w:tcPr>
          <w:p>
            <w:pPr>
              <w:spacing w:after="0"/>
              <w:rPr>
                <w:sz w:val="24"/>
                <w:szCs w:val="24"/>
                <w:color w:val="auto"/>
              </w:rPr>
            </w:pPr>
          </w:p>
        </w:tc>
        <w:tc>
          <w:tcPr>
            <w:tcW w:w="920" w:type="dxa"/>
            <w:vAlign w:val="bottom"/>
            <w:tcBorders>
              <w:top w:val="single" w:sz="8" w:color="8CBE4F"/>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00" w:type="dxa"/>
            <w:vAlign w:val="bottom"/>
            <w:gridSpan w:val="3"/>
          </w:tcPr>
          <w:p>
            <w:pPr>
              <w:spacing w:after="0"/>
              <w:rPr>
                <w:sz w:val="20"/>
                <w:szCs w:val="20"/>
                <w:color w:val="auto"/>
              </w:rPr>
            </w:pPr>
            <w:r>
              <w:rPr>
                <w:rFonts w:ascii="Arial" w:cs="Arial" w:eastAsia="Arial" w:hAnsi="Arial"/>
                <w:sz w:val="18"/>
                <w:szCs w:val="18"/>
                <w:color w:val="auto"/>
                <w:w w:val="99"/>
              </w:rPr>
              <w:t>The changes in accumulated other comprehensive income (loss) by component, consisted of the following:</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6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gridSpan w:val="2"/>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340" w:type="dxa"/>
            <w:vAlign w:val="bottom"/>
            <w:shd w:val="clear" w:color="auto" w:fill="ACACAC"/>
          </w:tcPr>
          <w:p>
            <w:pPr>
              <w:spacing w:after="0"/>
              <w:rPr>
                <w:sz w:val="13"/>
                <w:szCs w:val="13"/>
                <w:color w:val="auto"/>
              </w:rPr>
            </w:pPr>
          </w:p>
        </w:tc>
        <w:tc>
          <w:tcPr>
            <w:tcW w:w="920" w:type="dxa"/>
            <w:vAlign w:val="bottom"/>
            <w:shd w:val="clear" w:color="auto" w:fill="ACACAC"/>
          </w:tcPr>
          <w:p>
            <w:pPr>
              <w:spacing w:after="0"/>
              <w:rPr>
                <w:sz w:val="13"/>
                <w:szCs w:val="13"/>
                <w:color w:val="auto"/>
              </w:rPr>
            </w:pPr>
          </w:p>
        </w:tc>
        <w:tc>
          <w:tcPr>
            <w:tcW w:w="1240" w:type="dxa"/>
            <w:vAlign w:val="bottom"/>
            <w:shd w:val="clear" w:color="auto" w:fill="ACACAC"/>
          </w:tcPr>
          <w:p>
            <w:pPr>
              <w:spacing w:after="0"/>
              <w:rPr>
                <w:sz w:val="13"/>
                <w:szCs w:val="13"/>
                <w:color w:val="auto"/>
              </w:rPr>
            </w:pPr>
          </w:p>
        </w:tc>
        <w:tc>
          <w:tcPr>
            <w:tcW w:w="500" w:type="dxa"/>
            <w:vAlign w:val="bottom"/>
            <w:shd w:val="clear" w:color="auto" w:fill="ACACAC"/>
          </w:tcPr>
          <w:p>
            <w:pPr>
              <w:spacing w:after="0"/>
              <w:rPr>
                <w:sz w:val="13"/>
                <w:szCs w:val="13"/>
                <w:color w:val="auto"/>
              </w:rPr>
            </w:pPr>
          </w:p>
        </w:tc>
        <w:tc>
          <w:tcPr>
            <w:tcW w:w="280" w:type="dxa"/>
            <w:vAlign w:val="bottom"/>
            <w:shd w:val="clear" w:color="auto" w:fill="ACACAC"/>
          </w:tcPr>
          <w:p>
            <w:pPr>
              <w:spacing w:after="0"/>
              <w:rPr>
                <w:sz w:val="13"/>
                <w:szCs w:val="13"/>
                <w:color w:val="auto"/>
              </w:rPr>
            </w:pPr>
          </w:p>
        </w:tc>
        <w:tc>
          <w:tcPr>
            <w:tcW w:w="1960" w:type="dxa"/>
            <w:vAlign w:val="bottom"/>
            <w:gridSpan w:val="3"/>
            <w:shd w:val="clear" w:color="auto" w:fill="ACACAC"/>
          </w:tcPr>
          <w:p>
            <w:pPr>
              <w:jc w:val="right"/>
              <w:ind w:right="53"/>
              <w:spacing w:after="0" w:line="153" w:lineRule="exact"/>
              <w:rPr>
                <w:sz w:val="20"/>
                <w:szCs w:val="20"/>
                <w:color w:val="auto"/>
              </w:rPr>
            </w:pPr>
            <w:r>
              <w:rPr>
                <w:rFonts w:ascii="Arial" w:cs="Arial" w:eastAsia="Arial" w:hAnsi="Arial"/>
                <w:sz w:val="14"/>
                <w:szCs w:val="14"/>
                <w:b w:val="1"/>
                <w:bCs w:val="1"/>
                <w:color w:val="FFFFFF"/>
                <w:highlight w:val="darkGray"/>
              </w:rPr>
              <w:t>Three months ended</w:t>
            </w:r>
          </w:p>
        </w:tc>
        <w:tc>
          <w:tcPr>
            <w:tcW w:w="0" w:type="dxa"/>
            <w:vAlign w:val="bottom"/>
          </w:tcPr>
          <w:p>
            <w:pPr>
              <w:spacing w:after="0"/>
              <w:rPr>
                <w:sz w:val="1"/>
                <w:szCs w:val="1"/>
                <w:color w:val="auto"/>
              </w:rPr>
            </w:pPr>
          </w:p>
        </w:tc>
      </w:tr>
      <w:tr>
        <w:trPr>
          <w:trHeight w:val="171"/>
        </w:trPr>
        <w:tc>
          <w:tcPr>
            <w:tcW w:w="63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40" w:type="dxa"/>
            <w:vAlign w:val="bottom"/>
            <w:shd w:val="clear" w:color="auto" w:fill="ACACAC"/>
          </w:tcPr>
          <w:p>
            <w:pPr>
              <w:spacing w:after="0"/>
              <w:rPr>
                <w:sz w:val="14"/>
                <w:szCs w:val="14"/>
                <w:color w:val="auto"/>
              </w:rPr>
            </w:pPr>
          </w:p>
        </w:tc>
        <w:tc>
          <w:tcPr>
            <w:tcW w:w="50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82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92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highlight w:val="darkGray"/>
              </w:rPr>
              <w:t>March 31,</w:t>
            </w:r>
          </w:p>
        </w:tc>
        <w:tc>
          <w:tcPr>
            <w:tcW w:w="0" w:type="dxa"/>
            <w:vAlign w:val="bottom"/>
          </w:tcPr>
          <w:p>
            <w:pPr>
              <w:spacing w:after="0"/>
              <w:rPr>
                <w:sz w:val="1"/>
                <w:szCs w:val="1"/>
                <w:color w:val="auto"/>
              </w:rPr>
            </w:pPr>
          </w:p>
        </w:tc>
      </w:tr>
      <w:tr>
        <w:trPr>
          <w:trHeight w:val="257"/>
        </w:trPr>
        <w:tc>
          <w:tcPr>
            <w:tcW w:w="63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20" w:type="dxa"/>
            <w:vAlign w:val="bottom"/>
            <w:shd w:val="clear" w:color="auto" w:fill="ACACAC"/>
          </w:tcPr>
          <w:p>
            <w:pPr>
              <w:spacing w:after="0"/>
              <w:rPr>
                <w:sz w:val="22"/>
                <w:szCs w:val="22"/>
                <w:color w:val="auto"/>
              </w:rPr>
            </w:pPr>
          </w:p>
        </w:tc>
        <w:tc>
          <w:tcPr>
            <w:tcW w:w="1240" w:type="dxa"/>
            <w:vAlign w:val="bottom"/>
            <w:shd w:val="clear" w:color="auto" w:fill="ACACAC"/>
          </w:tcPr>
          <w:p>
            <w:pPr>
              <w:spacing w:after="0"/>
              <w:rPr>
                <w:sz w:val="22"/>
                <w:szCs w:val="22"/>
                <w:color w:val="auto"/>
              </w:rPr>
            </w:pPr>
          </w:p>
        </w:tc>
        <w:tc>
          <w:tcPr>
            <w:tcW w:w="500" w:type="dxa"/>
            <w:vAlign w:val="bottom"/>
            <w:shd w:val="clear" w:color="auto" w:fill="ACACAC"/>
          </w:tcPr>
          <w:p>
            <w:pPr>
              <w:spacing w:after="0"/>
              <w:rPr>
                <w:sz w:val="22"/>
                <w:szCs w:val="22"/>
                <w:color w:val="auto"/>
              </w:rPr>
            </w:pPr>
          </w:p>
        </w:tc>
        <w:tc>
          <w:tcPr>
            <w:tcW w:w="280" w:type="dxa"/>
            <w:vAlign w:val="bottom"/>
            <w:shd w:val="clear" w:color="auto" w:fill="ACACAC"/>
          </w:tcPr>
          <w:p>
            <w:pPr>
              <w:spacing w:after="0"/>
              <w:rPr>
                <w:sz w:val="22"/>
                <w:szCs w:val="22"/>
                <w:color w:val="auto"/>
              </w:rPr>
            </w:pPr>
          </w:p>
        </w:tc>
        <w:tc>
          <w:tcPr>
            <w:tcW w:w="8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22"/>
                <w:szCs w:val="22"/>
                <w:color w:val="auto"/>
              </w:rPr>
            </w:pPr>
          </w:p>
        </w:tc>
        <w:tc>
          <w:tcPr>
            <w:tcW w:w="92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63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Accumulated other comprehensive loss, beginning of period</w:t>
            </w:r>
          </w:p>
        </w:tc>
        <w:tc>
          <w:tcPr>
            <w:tcW w:w="9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78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(5,290)</w:t>
            </w:r>
          </w:p>
        </w:tc>
        <w:tc>
          <w:tcPr>
            <w:tcW w:w="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(5,110)</w:t>
            </w:r>
          </w:p>
        </w:tc>
        <w:tc>
          <w:tcPr>
            <w:tcW w:w="0" w:type="dxa"/>
            <w:vAlign w:val="bottom"/>
          </w:tcPr>
          <w:p>
            <w:pPr>
              <w:spacing w:after="0"/>
              <w:rPr>
                <w:sz w:val="1"/>
                <w:szCs w:val="1"/>
                <w:color w:val="auto"/>
              </w:rPr>
            </w:pPr>
          </w:p>
        </w:tc>
      </w:tr>
      <w:tr>
        <w:trPr>
          <w:trHeight w:val="243"/>
        </w:trPr>
        <w:tc>
          <w:tcPr>
            <w:tcW w:w="6340" w:type="dxa"/>
            <w:vAlign w:val="bottom"/>
          </w:tcPr>
          <w:p>
            <w:pPr>
              <w:ind w:left="40"/>
              <w:spacing w:after="0"/>
              <w:rPr>
                <w:sz w:val="20"/>
                <w:szCs w:val="20"/>
                <w:color w:val="auto"/>
              </w:rPr>
            </w:pPr>
            <w:r>
              <w:rPr>
                <w:rFonts w:ascii="Arial" w:cs="Arial" w:eastAsia="Arial" w:hAnsi="Arial"/>
                <w:sz w:val="18"/>
                <w:szCs w:val="18"/>
                <w:b w:val="1"/>
                <w:bCs w:val="1"/>
                <w:color w:val="auto"/>
              </w:rPr>
              <w:t>By component:</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b w:val="1"/>
                <w:bCs w:val="1"/>
                <w:color w:val="auto"/>
              </w:rPr>
              <w:t>Gains and losses on cash flow hedges:</w:t>
            </w:r>
          </w:p>
        </w:tc>
        <w:tc>
          <w:tcPr>
            <w:tcW w:w="9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w w:val="97"/>
              </w:rPr>
              <w:t>Accumulated other comprehensive (loss) income balance, beginning of period</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7"/>
        </w:trPr>
        <w:tc>
          <w:tcPr>
            <w:tcW w:w="7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60" w:type="dxa"/>
            <w:vAlign w:val="bottom"/>
            <w:tcBorders>
              <w:bottom w:val="single" w:sz="8" w:color="F4F4F4"/>
            </w:tcBorders>
            <w:gridSpan w:val="2"/>
            <w:shd w:val="clear" w:color="auto" w:fill="F4F4F4"/>
          </w:tcPr>
          <w:p>
            <w:pPr>
              <w:ind w:left="500"/>
              <w:spacing w:after="0"/>
              <w:rPr>
                <w:sz w:val="20"/>
                <w:szCs w:val="20"/>
                <w:color w:val="auto"/>
              </w:rPr>
            </w:pPr>
            <w:r>
              <w:rPr>
                <w:rFonts w:ascii="Arial" w:cs="Arial" w:eastAsia="Arial" w:hAnsi="Arial"/>
                <w:sz w:val="18"/>
                <w:szCs w:val="18"/>
                <w:color w:val="auto"/>
                <w:w w:val="96"/>
              </w:rPr>
              <w:t>Other comprehensive loss before reclassifications, net of tax effects of $1,154 and $276</w:t>
            </w:r>
          </w:p>
        </w:tc>
        <w:tc>
          <w:tcPr>
            <w:tcW w:w="124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(3,273)</w:t>
            </w:r>
          </w:p>
        </w:tc>
        <w:tc>
          <w:tcPr>
            <w:tcW w:w="2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43"/>
        </w:trPr>
        <w:tc>
          <w:tcPr>
            <w:tcW w:w="7260" w:type="dxa"/>
            <w:vAlign w:val="bottom"/>
            <w:gridSpan w:val="2"/>
          </w:tcPr>
          <w:p>
            <w:pPr>
              <w:ind w:left="720"/>
              <w:spacing w:after="0"/>
              <w:rPr>
                <w:sz w:val="20"/>
                <w:szCs w:val="20"/>
                <w:color w:val="auto"/>
              </w:rPr>
            </w:pPr>
            <w:r>
              <w:rPr>
                <w:rFonts w:ascii="Arial" w:cs="Arial" w:eastAsia="Arial" w:hAnsi="Arial"/>
                <w:sz w:val="18"/>
                <w:szCs w:val="18"/>
                <w:color w:val="auto"/>
                <w:w w:val="95"/>
              </w:rPr>
              <w:t>Amounts reclassified from accumulated other comprehensive loss to interest expense</w:t>
            </w:r>
          </w:p>
        </w:tc>
        <w:tc>
          <w:tcPr>
            <w:tcW w:w="1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F4F4F4"/>
            </w:tcBorders>
            <w:shd w:val="clear" w:color="auto" w:fill="F4F4F4"/>
          </w:tcPr>
          <w:p>
            <w:pPr>
              <w:ind w:left="720"/>
              <w:spacing w:after="0"/>
              <w:rPr>
                <w:sz w:val="20"/>
                <w:szCs w:val="20"/>
                <w:color w:val="auto"/>
              </w:rPr>
            </w:pPr>
            <w:r>
              <w:rPr>
                <w:rFonts w:ascii="Arial" w:cs="Arial" w:eastAsia="Arial" w:hAnsi="Arial"/>
                <w:sz w:val="18"/>
                <w:szCs w:val="18"/>
                <w:color w:val="auto"/>
              </w:rPr>
              <w:t>Tax (benefit) expense included in provision for income taxes</w:t>
            </w:r>
          </w:p>
        </w:tc>
        <w:tc>
          <w:tcPr>
            <w:tcW w:w="92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spacing w:after="0"/>
              <w:rPr>
                <w:sz w:val="23"/>
                <w:szCs w:val="23"/>
                <w:color w:val="auto"/>
              </w:rPr>
            </w:pPr>
          </w:p>
        </w:tc>
        <w:tc>
          <w:tcPr>
            <w:tcW w:w="50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6340" w:type="dxa"/>
            <w:vAlign w:val="bottom"/>
          </w:tcPr>
          <w:p>
            <w:pPr>
              <w:ind w:left="500"/>
              <w:spacing w:after="0"/>
              <w:rPr>
                <w:sz w:val="20"/>
                <w:szCs w:val="20"/>
                <w:color w:val="auto"/>
              </w:rPr>
            </w:pPr>
            <w:r>
              <w:rPr>
                <w:rFonts w:ascii="Arial" w:cs="Arial" w:eastAsia="Arial" w:hAnsi="Arial"/>
                <w:sz w:val="18"/>
                <w:szCs w:val="18"/>
                <w:color w:val="auto"/>
              </w:rPr>
              <w:t>Total amounts reclassified from accumulated other comprehensive loss</w:t>
            </w: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340" w:type="dxa"/>
            <w:vAlign w:val="bottom"/>
            <w:tcBorders>
              <w:bottom w:val="single" w:sz="8" w:color="F4F4F4"/>
            </w:tcBorders>
          </w:tcPr>
          <w:p>
            <w:pPr>
              <w:spacing w:after="0"/>
              <w:rPr>
                <w:sz w:val="2"/>
                <w:szCs w:val="2"/>
                <w:color w:val="auto"/>
              </w:rPr>
            </w:pPr>
          </w:p>
        </w:tc>
        <w:tc>
          <w:tcPr>
            <w:tcW w:w="92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5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40" w:type="dxa"/>
            <w:vAlign w:val="bottom"/>
            <w:tcBorders>
              <w:bottom w:val="single" w:sz="8" w:color="F4F4F4"/>
            </w:tcBorders>
            <w:shd w:val="clear" w:color="auto" w:fill="F4F4F4"/>
          </w:tcPr>
          <w:p>
            <w:pPr>
              <w:ind w:left="280"/>
              <w:spacing w:after="0"/>
              <w:rPr>
                <w:sz w:val="20"/>
                <w:szCs w:val="20"/>
                <w:color w:val="auto"/>
              </w:rPr>
            </w:pPr>
            <w:r>
              <w:rPr>
                <w:rFonts w:ascii="Arial" w:cs="Arial" w:eastAsia="Arial" w:hAnsi="Arial"/>
                <w:sz w:val="18"/>
                <w:szCs w:val="18"/>
                <w:color w:val="auto"/>
              </w:rPr>
              <w:t>Net current-period other comprehensive loss</w:t>
            </w:r>
          </w:p>
        </w:tc>
        <w:tc>
          <w:tcPr>
            <w:tcW w:w="920" w:type="dxa"/>
            <w:vAlign w:val="bottom"/>
            <w:tcBorders>
              <w:bottom w:val="single" w:sz="8" w:color="F4F4F4"/>
            </w:tcBorders>
            <w:shd w:val="clear" w:color="auto" w:fill="F4F4F4"/>
          </w:tcPr>
          <w:p>
            <w:pPr>
              <w:spacing w:after="0"/>
              <w:rPr>
                <w:sz w:val="22"/>
                <w:szCs w:val="22"/>
                <w:color w:val="auto"/>
              </w:rPr>
            </w:pPr>
          </w:p>
        </w:tc>
        <w:tc>
          <w:tcPr>
            <w:tcW w:w="1240" w:type="dxa"/>
            <w:vAlign w:val="bottom"/>
            <w:tcBorders>
              <w:bottom w:val="single" w:sz="8" w:color="F4F4F4"/>
            </w:tcBorders>
            <w:shd w:val="clear" w:color="auto" w:fill="F4F4F4"/>
          </w:tcPr>
          <w:p>
            <w:pPr>
              <w:spacing w:after="0"/>
              <w:rPr>
                <w:sz w:val="22"/>
                <w:szCs w:val="22"/>
                <w:color w:val="auto"/>
              </w:rPr>
            </w:pPr>
          </w:p>
        </w:tc>
        <w:tc>
          <w:tcPr>
            <w:tcW w:w="500" w:type="dxa"/>
            <w:vAlign w:val="bottom"/>
            <w:tcBorders>
              <w:bottom w:val="single" w:sz="8" w:color="F4F4F4"/>
            </w:tcBorders>
            <w:shd w:val="clear" w:color="auto" w:fill="F4F4F4"/>
          </w:tcPr>
          <w:p>
            <w:pPr>
              <w:spacing w:after="0"/>
              <w:rPr>
                <w:sz w:val="22"/>
                <w:szCs w:val="22"/>
                <w:color w:val="auto"/>
              </w:rPr>
            </w:pPr>
          </w:p>
        </w:tc>
        <w:tc>
          <w:tcPr>
            <w:tcW w:w="280" w:type="dxa"/>
            <w:vAlign w:val="bottom"/>
            <w:tcBorders>
              <w:bottom w:val="single" w:sz="8" w:color="F4F4F4"/>
            </w:tcBorders>
            <w:shd w:val="clear" w:color="auto" w:fill="F4F4F4"/>
          </w:tcPr>
          <w:p>
            <w:pPr>
              <w:spacing w:after="0"/>
              <w:rPr>
                <w:sz w:val="22"/>
                <w:szCs w:val="22"/>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(3,122)</w:t>
            </w:r>
          </w:p>
        </w:tc>
        <w:tc>
          <w:tcPr>
            <w:tcW w:w="220" w:type="dxa"/>
            <w:vAlign w:val="bottom"/>
            <w:tcBorders>
              <w:bottom w:val="single" w:sz="8" w:color="F4F4F4"/>
            </w:tcBorders>
            <w:shd w:val="clear" w:color="auto" w:fill="F4F4F4"/>
          </w:tcPr>
          <w:p>
            <w:pPr>
              <w:spacing w:after="0"/>
              <w:rPr>
                <w:sz w:val="22"/>
                <w:szCs w:val="22"/>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37"/>
        </w:trPr>
        <w:tc>
          <w:tcPr>
            <w:tcW w:w="6340" w:type="dxa"/>
            <w:vAlign w:val="bottom"/>
          </w:tcPr>
          <w:p>
            <w:pPr>
              <w:ind w:left="280"/>
              <w:spacing w:after="0"/>
              <w:rPr>
                <w:sz w:val="20"/>
                <w:szCs w:val="20"/>
                <w:color w:val="auto"/>
              </w:rPr>
            </w:pPr>
            <w:r>
              <w:rPr>
                <w:rFonts w:ascii="Arial" w:cs="Arial" w:eastAsia="Arial" w:hAnsi="Arial"/>
                <w:sz w:val="18"/>
                <w:szCs w:val="18"/>
                <w:color w:val="auto"/>
              </w:rPr>
              <w:t>Accumulated other comprehensive (loss) income balance, end of period</w:t>
            </w: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(4,445)</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6340" w:type="dxa"/>
            <w:vAlign w:val="bottom"/>
            <w:tcBorders>
              <w:bottom w:val="single" w:sz="8" w:color="F4F4F4"/>
            </w:tcBorders>
          </w:tcPr>
          <w:p>
            <w:pPr>
              <w:spacing w:after="0"/>
              <w:rPr>
                <w:sz w:val="2"/>
                <w:szCs w:val="2"/>
                <w:color w:val="auto"/>
              </w:rPr>
            </w:pPr>
          </w:p>
        </w:tc>
        <w:tc>
          <w:tcPr>
            <w:tcW w:w="92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5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b w:val="1"/>
                <w:bCs w:val="1"/>
                <w:color w:val="auto"/>
              </w:rPr>
              <w:t>Foreign currency translation adjustment:</w:t>
            </w:r>
          </w:p>
        </w:tc>
        <w:tc>
          <w:tcPr>
            <w:tcW w:w="9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2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80"/>
              <w:spacing w:after="0"/>
              <w:rPr>
                <w:sz w:val="20"/>
                <w:szCs w:val="20"/>
                <w:color w:val="auto"/>
              </w:rPr>
            </w:pPr>
            <w:r>
              <w:rPr>
                <w:rFonts w:ascii="Arial" w:cs="Arial" w:eastAsia="Arial" w:hAnsi="Arial"/>
                <w:sz w:val="18"/>
                <w:szCs w:val="18"/>
                <w:color w:val="auto"/>
              </w:rPr>
              <w:t>Accumulated other comprehensive loss balance, beginning of period</w:t>
            </w: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(3,967)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(6,608)</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F4F4F4"/>
            </w:tcBorders>
            <w:shd w:val="clear" w:color="auto" w:fill="F4F4F4"/>
          </w:tcPr>
          <w:p>
            <w:pPr>
              <w:ind w:left="280"/>
              <w:spacing w:after="0"/>
              <w:rPr>
                <w:sz w:val="20"/>
                <w:szCs w:val="20"/>
                <w:color w:val="auto"/>
              </w:rPr>
            </w:pPr>
            <w:r>
              <w:rPr>
                <w:rFonts w:ascii="Arial" w:cs="Arial" w:eastAsia="Arial" w:hAnsi="Arial"/>
                <w:sz w:val="18"/>
                <w:szCs w:val="18"/>
                <w:color w:val="auto"/>
              </w:rPr>
              <w:t>Translation adjustments</w:t>
            </w:r>
          </w:p>
        </w:tc>
        <w:tc>
          <w:tcPr>
            <w:tcW w:w="92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spacing w:after="0"/>
              <w:rPr>
                <w:sz w:val="23"/>
                <w:szCs w:val="23"/>
                <w:color w:val="auto"/>
              </w:rPr>
            </w:pPr>
          </w:p>
        </w:tc>
        <w:tc>
          <w:tcPr>
            <w:tcW w:w="500" w:type="dxa"/>
            <w:vAlign w:val="bottom"/>
            <w:tcBorders>
              <w:bottom w:val="single" w:sz="8" w:color="F4F4F4"/>
            </w:tcBorders>
            <w:shd w:val="clear" w:color="auto" w:fill="F4F4F4"/>
          </w:tcPr>
          <w:p>
            <w:pPr>
              <w:spacing w:after="0"/>
              <w:rPr>
                <w:sz w:val="23"/>
                <w:szCs w:val="23"/>
                <w:color w:val="auto"/>
              </w:rPr>
            </w:pPr>
          </w:p>
        </w:tc>
        <w:tc>
          <w:tcPr>
            <w:tcW w:w="280" w:type="dxa"/>
            <w:vAlign w:val="bottom"/>
            <w:tcBorders>
              <w:bottom w:val="single" w:sz="8" w:color="F4F4F4"/>
            </w:tcBorders>
            <w:shd w:val="clear" w:color="auto" w:fill="F4F4F4"/>
          </w:tcPr>
          <w:p>
            <w:pPr>
              <w:spacing w:after="0"/>
              <w:rPr>
                <w:sz w:val="23"/>
                <w:szCs w:val="23"/>
                <w:color w:val="auto"/>
              </w:rPr>
            </w:pP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(5,728)</w:t>
            </w:r>
          </w:p>
        </w:tc>
        <w:tc>
          <w:tcPr>
            <w:tcW w:w="220" w:type="dxa"/>
            <w:vAlign w:val="bottom"/>
            <w:tcBorders>
              <w:bottom w:val="single" w:sz="8" w:color="F4F4F4"/>
            </w:tcBorders>
            <w:shd w:val="clear" w:color="auto" w:fill="F4F4F4"/>
          </w:tcPr>
          <w:p>
            <w:pPr>
              <w:spacing w:after="0"/>
              <w:rPr>
                <w:sz w:val="23"/>
                <w:szCs w:val="23"/>
                <w:color w:val="auto"/>
              </w:rPr>
            </w:pPr>
          </w:p>
        </w:tc>
        <w:tc>
          <w:tcPr>
            <w:tcW w:w="920" w:type="dxa"/>
            <w:vAlign w:val="bottom"/>
            <w:tcBorders>
              <w:bottom w:val="single" w:sz="8" w:color="F4F4F4"/>
            </w:tcBorders>
            <w:shd w:val="clear" w:color="auto" w:fill="F4F4F4"/>
          </w:tcPr>
          <w:p>
            <w:pPr>
              <w:jc w:val="right"/>
              <w:ind w:right="13"/>
              <w:spacing w:after="0"/>
              <w:rPr>
                <w:sz w:val="20"/>
                <w:szCs w:val="20"/>
                <w:color w:val="auto"/>
              </w:rPr>
            </w:pPr>
            <w:r>
              <w:rPr>
                <w:rFonts w:ascii="Arial" w:cs="Arial" w:eastAsia="Arial" w:hAnsi="Arial"/>
                <w:sz w:val="18"/>
                <w:szCs w:val="18"/>
                <w:color w:val="auto"/>
              </w:rPr>
              <w:t>4,590</w:t>
            </w:r>
          </w:p>
        </w:tc>
        <w:tc>
          <w:tcPr>
            <w:tcW w:w="0" w:type="dxa"/>
            <w:vAlign w:val="bottom"/>
          </w:tcPr>
          <w:p>
            <w:pPr>
              <w:spacing w:after="0"/>
              <w:rPr>
                <w:sz w:val="1"/>
                <w:szCs w:val="1"/>
                <w:color w:val="auto"/>
              </w:rPr>
            </w:pPr>
          </w:p>
        </w:tc>
      </w:tr>
      <w:tr>
        <w:trPr>
          <w:trHeight w:val="237"/>
        </w:trPr>
        <w:tc>
          <w:tcPr>
            <w:tcW w:w="6340" w:type="dxa"/>
            <w:vAlign w:val="bottom"/>
          </w:tcPr>
          <w:p>
            <w:pPr>
              <w:ind w:left="280"/>
              <w:spacing w:after="0"/>
              <w:rPr>
                <w:sz w:val="20"/>
                <w:szCs w:val="20"/>
                <w:color w:val="auto"/>
              </w:rPr>
            </w:pPr>
            <w:r>
              <w:rPr>
                <w:rFonts w:ascii="Arial" w:cs="Arial" w:eastAsia="Arial" w:hAnsi="Arial"/>
                <w:sz w:val="18"/>
                <w:szCs w:val="18"/>
                <w:color w:val="auto"/>
              </w:rPr>
              <w:t>Accumulated other comprehensive loss balance, end of period</w:t>
            </w: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(9,695)</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6340" w:type="dxa"/>
            <w:vAlign w:val="bottom"/>
            <w:tcBorders>
              <w:bottom w:val="single" w:sz="8" w:color="F4F4F4"/>
            </w:tcBorders>
          </w:tcPr>
          <w:p>
            <w:pPr>
              <w:spacing w:after="0"/>
              <w:rPr>
                <w:sz w:val="2"/>
                <w:szCs w:val="2"/>
                <w:color w:val="auto"/>
              </w:rPr>
            </w:pPr>
          </w:p>
        </w:tc>
        <w:tc>
          <w:tcPr>
            <w:tcW w:w="92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500" w:type="dxa"/>
            <w:vAlign w:val="bottom"/>
            <w:tcBorders>
              <w:bottom w:val="single" w:sz="8" w:color="F4F4F4"/>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Accumulated other comprehensive loss, end of period</w:t>
            </w:r>
          </w:p>
        </w:tc>
        <w:tc>
          <w:tcPr>
            <w:tcW w:w="92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780" w:type="dxa"/>
            <w:vAlign w:val="bottom"/>
            <w:tcBorders>
              <w:bottom w:val="single" w:sz="8" w:color="F4F4F4"/>
            </w:tcBorders>
            <w:gridSpan w:val="2"/>
            <w:shd w:val="clear" w:color="auto" w:fill="F4F4F4"/>
          </w:tcPr>
          <w:p>
            <w:pPr>
              <w:jc w:val="right"/>
              <w:ind w:right="7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(14,140)</w:t>
            </w:r>
          </w:p>
        </w:tc>
        <w:tc>
          <w:tcPr>
            <w:tcW w:w="2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634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820" w:type="dxa"/>
            <w:vAlign w:val="bottom"/>
            <w:shd w:val="clear" w:color="auto" w:fill="71BF43"/>
          </w:tcPr>
          <w:p>
            <w:pPr>
              <w:spacing w:after="0" w:line="20" w:lineRule="exact"/>
              <w:rPr>
                <w:sz w:val="1"/>
                <w:szCs w:val="1"/>
                <w:color w:val="auto"/>
              </w:rPr>
            </w:pPr>
          </w:p>
        </w:tc>
        <w:tc>
          <w:tcPr>
            <w:tcW w:w="22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-2776855</wp:posOffset>
            </wp:positionV>
            <wp:extent cx="14230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March 31, 2020, approximately $811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28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17</w:t>
      </w:r>
    </w:p>
    <w:p>
      <w:pPr>
        <w:sectPr>
          <w:pgSz w:w="11900" w:h="16838" w:orient="portrait"/>
          <w:cols w:equalWidth="0" w:num="1">
            <w:col w:w="11240"/>
          </w:cols>
          <w:pgMar w:left="320" w:top="118"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(payment services and usage).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contract assets as of March 31, 2020 and December 31, 2019 were insignificant. Our opening and closing balances of deferred revenue were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3660" w:type="dxa"/>
            <w:vAlign w:val="bottom"/>
            <w:shd w:val="clear" w:color="auto" w:fill="ACACAC"/>
          </w:tcPr>
          <w:p>
            <w:pPr>
              <w:spacing w:after="0"/>
              <w:rPr>
                <w:sz w:val="14"/>
                <w:szCs w:val="14"/>
                <w:color w:val="auto"/>
              </w:rPr>
            </w:pPr>
          </w:p>
        </w:tc>
        <w:tc>
          <w:tcPr>
            <w:tcW w:w="108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March 31,</w:t>
            </w:r>
          </w:p>
        </w:tc>
        <w:tc>
          <w:tcPr>
            <w:tcW w:w="380" w:type="dxa"/>
            <w:vAlign w:val="bottom"/>
            <w:shd w:val="clear" w:color="auto" w:fill="ACACAC"/>
          </w:tcPr>
          <w:p>
            <w:pPr>
              <w:spacing w:after="0"/>
              <w:rPr>
                <w:sz w:val="14"/>
                <w:szCs w:val="14"/>
                <w:color w:val="auto"/>
              </w:rPr>
            </w:pPr>
          </w:p>
        </w:tc>
        <w:tc>
          <w:tcPr>
            <w:tcW w:w="1220" w:type="dxa"/>
            <w:vAlign w:val="bottom"/>
            <w:shd w:val="clear" w:color="auto" w:fill="ACACAC"/>
          </w:tcPr>
          <w:p>
            <w:pPr>
              <w:jc w:val="right"/>
              <w:ind w:right="62"/>
              <w:spacing w:after="0"/>
              <w:rPr>
                <w:sz w:val="20"/>
                <w:szCs w:val="20"/>
                <w:color w:val="auto"/>
              </w:rPr>
            </w:pPr>
            <w:r>
              <w:rPr>
                <w:rFonts w:ascii="Arial" w:cs="Arial" w:eastAsia="Arial" w:hAnsi="Arial"/>
                <w:sz w:val="14"/>
                <w:szCs w:val="14"/>
                <w:b w:val="1"/>
                <w:bCs w:val="1"/>
                <w:color w:val="FFFFFF"/>
              </w:rPr>
              <w:t>December 31,</w:t>
            </w:r>
          </w:p>
        </w:tc>
        <w:tc>
          <w:tcPr>
            <w:tcW w:w="0" w:type="dxa"/>
            <w:vAlign w:val="bottom"/>
          </w:tcPr>
          <w:p>
            <w:pPr>
              <w:spacing w:after="0"/>
              <w:rPr>
                <w:sz w:val="1"/>
                <w:szCs w:val="1"/>
                <w:color w:val="auto"/>
              </w:rPr>
            </w:pPr>
          </w:p>
        </w:tc>
      </w:tr>
      <w:tr>
        <w:trPr>
          <w:trHeight w:val="198"/>
        </w:trPr>
        <w:tc>
          <w:tcPr>
            <w:tcW w:w="4900" w:type="dxa"/>
            <w:vAlign w:val="bottom"/>
            <w:vMerge w:val="continue"/>
            <w:shd w:val="clear" w:color="auto" w:fill="ACACAC"/>
          </w:tcPr>
          <w:p>
            <w:pPr>
              <w:spacing w:after="0"/>
              <w:rPr>
                <w:sz w:val="17"/>
                <w:szCs w:val="17"/>
                <w:color w:val="auto"/>
              </w:rPr>
            </w:pPr>
          </w:p>
        </w:tc>
        <w:tc>
          <w:tcPr>
            <w:tcW w:w="3660" w:type="dxa"/>
            <w:vAlign w:val="bottom"/>
            <w:shd w:val="clear" w:color="auto" w:fill="ACACAC"/>
          </w:tcPr>
          <w:p>
            <w:pPr>
              <w:spacing w:after="0"/>
              <w:rPr>
                <w:sz w:val="17"/>
                <w:szCs w:val="17"/>
                <w:color w:val="auto"/>
              </w:rPr>
            </w:pPr>
          </w:p>
        </w:tc>
        <w:tc>
          <w:tcPr>
            <w:tcW w:w="1080" w:type="dxa"/>
            <w:vAlign w:val="bottom"/>
            <w:shd w:val="clear" w:color="auto" w:fill="ACACAC"/>
          </w:tcPr>
          <w:p>
            <w:pPr>
              <w:jc w:val="right"/>
              <w:ind w:right="2"/>
              <w:spacing w:after="0"/>
              <w:rPr>
                <w:sz w:val="20"/>
                <w:szCs w:val="20"/>
                <w:color w:val="auto"/>
              </w:rPr>
            </w:pPr>
            <w:r>
              <w:rPr>
                <w:rFonts w:ascii="Arial" w:cs="Arial" w:eastAsia="Arial" w:hAnsi="Arial"/>
                <w:sz w:val="14"/>
                <w:szCs w:val="14"/>
                <w:b w:val="1"/>
                <w:bCs w:val="1"/>
                <w:color w:val="FFFFFF"/>
              </w:rPr>
              <w:t>2020</w:t>
            </w:r>
          </w:p>
        </w:tc>
        <w:tc>
          <w:tcPr>
            <w:tcW w:w="380" w:type="dxa"/>
            <w:vAlign w:val="bottom"/>
            <w:shd w:val="clear" w:color="auto" w:fill="ACACAC"/>
          </w:tcPr>
          <w:p>
            <w:pPr>
              <w:spacing w:after="0"/>
              <w:rPr>
                <w:sz w:val="17"/>
                <w:szCs w:val="17"/>
                <w:color w:val="auto"/>
              </w:rPr>
            </w:pPr>
          </w:p>
        </w:tc>
        <w:tc>
          <w:tcPr>
            <w:tcW w:w="1220" w:type="dxa"/>
            <w:vAlign w:val="bottom"/>
            <w:shd w:val="clear" w:color="auto" w:fill="ACACAC"/>
          </w:tcPr>
          <w:p>
            <w:pPr>
              <w:jc w:val="right"/>
              <w:ind w:right="22"/>
              <w:spacing w:after="0"/>
              <w:rPr>
                <w:sz w:val="20"/>
                <w:szCs w:val="20"/>
                <w:color w:val="auto"/>
              </w:rPr>
            </w:pPr>
            <w:r>
              <w:rPr>
                <w:rFonts w:ascii="Arial" w:cs="Arial" w:eastAsia="Arial" w:hAnsi="Arial"/>
                <w:sz w:val="14"/>
                <w:szCs w:val="14"/>
                <w:b w:val="1"/>
                <w:bCs w:val="1"/>
                <w:color w:val="FFFFFF"/>
              </w:rPr>
              <w:t>2019</w:t>
            </w:r>
          </w:p>
        </w:tc>
        <w:tc>
          <w:tcPr>
            <w:tcW w:w="0" w:type="dxa"/>
            <w:vAlign w:val="bottom"/>
          </w:tcPr>
          <w:p>
            <w:pPr>
              <w:spacing w:after="0"/>
              <w:rPr>
                <w:sz w:val="1"/>
                <w:szCs w:val="1"/>
                <w:color w:val="auto"/>
              </w:rPr>
            </w:pPr>
          </w:p>
        </w:tc>
      </w:tr>
      <w:tr>
        <w:trPr>
          <w:trHeight w:val="250"/>
        </w:trPr>
        <w:tc>
          <w:tcPr>
            <w:tcW w:w="490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Total deferred revenue</w:t>
            </w:r>
          </w:p>
        </w:tc>
        <w:tc>
          <w:tcPr>
            <w:tcW w:w="36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290,397</w:t>
            </w:r>
          </w:p>
        </w:tc>
        <w:tc>
          <w:tcPr>
            <w:tcW w:w="38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F4F4F4"/>
            </w:tcBorders>
            <w:shd w:val="clear" w:color="auto" w:fill="F4F4F4"/>
          </w:tcPr>
          <w:p>
            <w:pPr>
              <w:jc w:val="right"/>
              <w:ind w:right="22"/>
              <w:spacing w:after="0"/>
              <w:rPr>
                <w:sz w:val="20"/>
                <w:szCs w:val="20"/>
                <w:color w:val="auto"/>
              </w:rPr>
            </w:pPr>
            <w:r>
              <w:rPr>
                <w:rFonts w:ascii="Arial" w:cs="Arial" w:eastAsia="Arial" w:hAnsi="Arial"/>
                <w:sz w:val="18"/>
                <w:szCs w:val="18"/>
                <w:color w:val="auto"/>
              </w:rPr>
              <w:t>316,137</w:t>
            </w:r>
          </w:p>
        </w:tc>
        <w:tc>
          <w:tcPr>
            <w:tcW w:w="0" w:type="dxa"/>
            <w:vAlign w:val="bottom"/>
          </w:tcPr>
          <w:p>
            <w:pPr>
              <w:spacing w:after="0"/>
              <w:rPr>
                <w:sz w:val="1"/>
                <w:szCs w:val="1"/>
                <w:color w:val="auto"/>
              </w:rPr>
            </w:pPr>
          </w:p>
        </w:tc>
      </w:tr>
      <w:tr>
        <w:trPr>
          <w:trHeight w:val="20"/>
        </w:trPr>
        <w:tc>
          <w:tcPr>
            <w:tcW w:w="4900" w:type="dxa"/>
            <w:vAlign w:val="bottom"/>
            <w:shd w:val="clear" w:color="auto" w:fill="71BF43"/>
          </w:tcPr>
          <w:p>
            <w:pPr>
              <w:spacing w:after="0" w:line="20" w:lineRule="exact"/>
              <w:rPr>
                <w:sz w:val="1"/>
                <w:szCs w:val="1"/>
                <w:color w:val="auto"/>
              </w:rPr>
            </w:pPr>
          </w:p>
        </w:tc>
        <w:tc>
          <w:tcPr>
            <w:tcW w:w="366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1220" w:type="dxa"/>
            <w:vAlign w:val="bottom"/>
            <w:shd w:val="clear" w:color="auto" w:fill="71BF4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decrease in deferred revenue during the three months ended March 31, 2020 was primarily due to less billings for recurring revenue contracts. Historically, due to the timing of customer budget cycles, we have an increase in customer contract renewals at or near the beginning of our third quarter generally resulting in our lowest balance of deferred revenue at the end of our first quarter. The amount of revenue recognized during the three months ended March 31, 2020 that was included in the deferred revenue balance at the beginning of the period was approximately $113 million. The amount of revenue recognized during the three months ended March 31, 2020 from performance obligations satisfied in prior periods was insignificant.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sell our cloud solutions and related services in two primary geographical markets: to customers in the United States, and to customers located outside of the United States. The following table presents our revenue by geographic area based on the address of our customers: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57"/>
              <w:spacing w:after="0"/>
              <w:rPr>
                <w:sz w:val="20"/>
                <w:szCs w:val="20"/>
                <w:color w:val="auto"/>
              </w:rPr>
            </w:pPr>
            <w:r>
              <w:rPr>
                <w:rFonts w:ascii="Arial" w:cs="Arial" w:eastAsia="Arial" w:hAnsi="Arial"/>
                <w:sz w:val="14"/>
                <w:szCs w:val="14"/>
                <w:b w:val="1"/>
                <w:bCs w:val="1"/>
                <w:color w:val="FFFFFF"/>
                <w:highlight w:val="darkGray"/>
                <w:w w:val="90"/>
              </w:rPr>
              <w:t>Three months ended</w:t>
            </w:r>
          </w:p>
        </w:tc>
      </w:tr>
      <w:tr>
        <w:trPr>
          <w:trHeight w:val="171"/>
        </w:trPr>
        <w:tc>
          <w:tcPr>
            <w:tcW w:w="854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640" w:type="dxa"/>
            <w:vAlign w:val="bottom"/>
            <w:shd w:val="clear" w:color="auto" w:fill="ACACAC"/>
          </w:tcPr>
          <w:p>
            <w:pPr>
              <w:spacing w:after="0"/>
              <w:rPr>
                <w:sz w:val="14"/>
                <w:szCs w:val="14"/>
                <w:color w:val="auto"/>
              </w:rPr>
            </w:pPr>
          </w:p>
        </w:tc>
        <w:tc>
          <w:tcPr>
            <w:tcW w:w="76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highlight w:val="darkGray"/>
                <w:w w:val="99"/>
              </w:rPr>
              <w:t>March 31,</w:t>
            </w:r>
          </w:p>
        </w:tc>
      </w:tr>
      <w:tr>
        <w:trPr>
          <w:trHeight w:val="257"/>
        </w:trPr>
        <w:tc>
          <w:tcPr>
            <w:tcW w:w="8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shd w:val="clear" w:color="auto" w:fill="ACACAC"/>
          </w:tcPr>
          <w:p>
            <w:pPr>
              <w:spacing w:after="0"/>
              <w:rPr>
                <w:sz w:val="22"/>
                <w:szCs w:val="22"/>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640" w:type="dxa"/>
            <w:vAlign w:val="bottom"/>
            <w:shd w:val="clear" w:color="auto" w:fill="ACACAC"/>
          </w:tcPr>
          <w:p>
            <w:pPr>
              <w:spacing w:after="0"/>
              <w:rPr>
                <w:sz w:val="22"/>
                <w:szCs w:val="22"/>
                <w:color w:val="auto"/>
              </w:rPr>
            </w:pPr>
          </w:p>
        </w:tc>
        <w:tc>
          <w:tcPr>
            <w:tcW w:w="760" w:type="dxa"/>
            <w:vAlign w:val="bottom"/>
            <w:shd w:val="clear" w:color="auto" w:fill="ACACAC"/>
          </w:tcPr>
          <w:p>
            <w:pPr>
              <w:jc w:val="right"/>
              <w:ind w:right="17"/>
              <w:spacing w:after="0"/>
              <w:rPr>
                <w:sz w:val="20"/>
                <w:szCs w:val="20"/>
                <w:color w:val="auto"/>
              </w:rPr>
            </w:pPr>
            <w:r>
              <w:rPr>
                <w:rFonts w:ascii="Arial" w:cs="Arial" w:eastAsia="Arial" w:hAnsi="Arial"/>
                <w:sz w:val="14"/>
                <w:szCs w:val="14"/>
                <w:b w:val="1"/>
                <w:bCs w:val="1"/>
                <w:color w:val="FFFFFF"/>
              </w:rPr>
              <w:t>2019</w:t>
            </w:r>
          </w:p>
        </w:tc>
      </w:tr>
      <w:tr>
        <w:trPr>
          <w:trHeight w:val="250"/>
        </w:trPr>
        <w:tc>
          <w:tcPr>
            <w:tcW w:w="8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193,959</w:t>
            </w:r>
          </w:p>
        </w:tc>
        <w:tc>
          <w:tcPr>
            <w:tcW w:w="640" w:type="dxa"/>
            <w:vAlign w:val="bottom"/>
            <w:tcBorders>
              <w:bottom w:val="single" w:sz="8" w:color="F4F4F4"/>
            </w:tcBorders>
            <w:shd w:val="clear" w:color="auto" w:fill="F4F4F4"/>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w w:val="98"/>
              </w:rPr>
              <w:t>188,126</w:t>
            </w:r>
          </w:p>
        </w:tc>
      </w:tr>
      <w:tr>
        <w:trPr>
          <w:trHeight w:val="243"/>
        </w:trPr>
        <w:tc>
          <w:tcPr>
            <w:tcW w:w="8540" w:type="dxa"/>
            <w:vAlign w:val="bottom"/>
          </w:tcPr>
          <w:p>
            <w:pPr>
              <w:ind w:left="40"/>
              <w:spacing w:after="0"/>
              <w:rPr>
                <w:sz w:val="20"/>
                <w:szCs w:val="20"/>
                <w:color w:val="auto"/>
              </w:rPr>
            </w:pPr>
            <w:r>
              <w:rPr>
                <w:rFonts w:ascii="Arial" w:cs="Arial" w:eastAsia="Arial" w:hAnsi="Arial"/>
                <w:sz w:val="18"/>
                <w:szCs w:val="18"/>
                <w:color w:val="auto"/>
              </w:rPr>
              <w:t>Other countries</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29,662</w:t>
            </w:r>
          </w:p>
        </w:tc>
        <w:tc>
          <w:tcPr>
            <w:tcW w:w="640" w:type="dxa"/>
            <w:vAlign w:val="bottom"/>
          </w:tcPr>
          <w:p>
            <w:pPr>
              <w:spacing w:after="0"/>
              <w:rPr>
                <w:sz w:val="21"/>
                <w:szCs w:val="21"/>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27,704</w:t>
            </w:r>
          </w:p>
        </w:tc>
      </w:tr>
      <w:tr>
        <w:trPr>
          <w:trHeight w:val="27"/>
        </w:trPr>
        <w:tc>
          <w:tcPr>
            <w:tcW w:w="85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3"/>
        </w:trPr>
        <w:tc>
          <w:tcPr>
            <w:tcW w:w="8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revenue</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223,621</w:t>
            </w:r>
          </w:p>
        </w:tc>
        <w:tc>
          <w:tcPr>
            <w:tcW w:w="640" w:type="dxa"/>
            <w:vAlign w:val="bottom"/>
            <w:tcBorders>
              <w:bottom w:val="single" w:sz="8" w:color="F4F4F4"/>
            </w:tcBorders>
            <w:shd w:val="clear" w:color="auto" w:fill="F4F4F4"/>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4F4F4"/>
            </w:tcBorders>
            <w:shd w:val="clear" w:color="auto" w:fill="F4F4F4"/>
          </w:tcPr>
          <w:p>
            <w:pPr>
              <w:jc w:val="right"/>
              <w:ind w:right="17"/>
              <w:spacing w:after="0"/>
              <w:rPr>
                <w:sz w:val="20"/>
                <w:szCs w:val="20"/>
                <w:color w:val="auto"/>
              </w:rPr>
            </w:pPr>
            <w:r>
              <w:rPr>
                <w:rFonts w:ascii="Arial" w:cs="Arial" w:eastAsia="Arial" w:hAnsi="Arial"/>
                <w:sz w:val="18"/>
                <w:szCs w:val="18"/>
                <w:color w:val="auto"/>
                <w:w w:val="98"/>
              </w:rPr>
              <w:t>215,830</w:t>
            </w:r>
          </w:p>
        </w:tc>
      </w:tr>
      <w:tr>
        <w:trPr>
          <w:trHeight w:val="20"/>
        </w:trPr>
        <w:tc>
          <w:tcPr>
            <w:tcW w:w="85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640" w:type="dxa"/>
            <w:vAlign w:val="bottom"/>
            <w:shd w:val="clear" w:color="auto" w:fill="71BF43"/>
          </w:tcPr>
          <w:p>
            <w:pPr>
              <w:spacing w:after="0" w:line="20" w:lineRule="exact"/>
              <w:rPr>
                <w:sz w:val="1"/>
                <w:szCs w:val="1"/>
                <w:color w:val="auto"/>
              </w:rPr>
            </w:pPr>
          </w:p>
        </w:tc>
        <w:tc>
          <w:tcPr>
            <w:tcW w:w="760" w:type="dxa"/>
            <w:vAlign w:val="bottom"/>
            <w:shd w:val="clear" w:color="auto" w:fill="71BF4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-676910</wp:posOffset>
            </wp:positionV>
            <wp:extent cx="1714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3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General Markets Group ("GMG"), the Enterprise Markets Group ("EMG"), and the International Markets Group ("IMG") comprise our go-to-market organizations. The following is a description of each market group:</w:t>
      </w:r>
    </w:p>
    <w:p>
      <w:pPr>
        <w:spacing w:after="0" w:line="62"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GMG focuses on sales primarily to all K-12 private schools, faith-based and arts and cultural organizations, as well as emerging and mid-sized prospects in the U.S.;</w:t>
      </w:r>
    </w:p>
    <w:p>
      <w:pPr>
        <w:spacing w:after="0" w:line="6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EMG focuses on sales primarily to all healthcare and higher education institutions, corporations and foundations, as well as large and/or strategic prospects in the U.S.;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shd w:val="clear" w:color="auto" w:fill="ACACAC"/>
          </w:tcPr>
          <w:p>
            <w:pPr>
              <w:spacing w:after="0"/>
              <w:rPr>
                <w:sz w:val="14"/>
                <w:szCs w:val="14"/>
                <w:color w:val="auto"/>
              </w:rPr>
            </w:pPr>
          </w:p>
        </w:tc>
        <w:tc>
          <w:tcPr>
            <w:tcW w:w="70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400" w:type="dxa"/>
            <w:vAlign w:val="bottom"/>
            <w:gridSpan w:val="2"/>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highlight w:val="darkGray"/>
                <w:w w:val="90"/>
              </w:rPr>
              <w:t>Three months ended</w:t>
            </w:r>
          </w:p>
        </w:tc>
      </w:tr>
      <w:tr>
        <w:trPr>
          <w:trHeight w:val="171"/>
        </w:trPr>
        <w:tc>
          <w:tcPr>
            <w:tcW w:w="1540" w:type="dxa"/>
            <w:vAlign w:val="bottom"/>
            <w:shd w:val="clear" w:color="auto" w:fill="ACACAC"/>
          </w:tcPr>
          <w:p>
            <w:pPr>
              <w:spacing w:after="0"/>
              <w:rPr>
                <w:sz w:val="14"/>
                <w:szCs w:val="14"/>
                <w:color w:val="auto"/>
              </w:rPr>
            </w:pPr>
          </w:p>
        </w:tc>
        <w:tc>
          <w:tcPr>
            <w:tcW w:w="7000" w:type="dxa"/>
            <w:vAlign w:val="bottom"/>
            <w:shd w:val="clear" w:color="auto" w:fill="ACACAC"/>
          </w:tcPr>
          <w:p>
            <w:pPr>
              <w:spacing w:after="0"/>
              <w:rPr>
                <w:sz w:val="14"/>
                <w:szCs w:val="14"/>
                <w:color w:val="auto"/>
              </w:rPr>
            </w:pPr>
          </w:p>
        </w:tc>
        <w:tc>
          <w:tcPr>
            <w:tcW w:w="38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640" w:type="dxa"/>
            <w:vAlign w:val="bottom"/>
            <w:shd w:val="clear" w:color="auto" w:fill="ACACAC"/>
          </w:tcPr>
          <w:p>
            <w:pPr>
              <w:spacing w:after="0"/>
              <w:rPr>
                <w:sz w:val="14"/>
                <w:szCs w:val="14"/>
                <w:color w:val="auto"/>
              </w:rPr>
            </w:pPr>
          </w:p>
        </w:tc>
        <w:tc>
          <w:tcPr>
            <w:tcW w:w="76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highlight w:val="darkGray"/>
                <w:w w:val="99"/>
              </w:rPr>
              <w:t>March 31,</w:t>
            </w:r>
          </w:p>
        </w:tc>
      </w:tr>
      <w:tr>
        <w:trPr>
          <w:trHeight w:val="257"/>
        </w:trPr>
        <w:tc>
          <w:tcPr>
            <w:tcW w:w="15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000" w:type="dxa"/>
            <w:vAlign w:val="bottom"/>
            <w:shd w:val="clear" w:color="auto" w:fill="ACACAC"/>
          </w:tcPr>
          <w:p>
            <w:pPr>
              <w:spacing w:after="0"/>
              <w:rPr>
                <w:sz w:val="22"/>
                <w:szCs w:val="22"/>
                <w:color w:val="auto"/>
              </w:rPr>
            </w:pPr>
          </w:p>
        </w:tc>
        <w:tc>
          <w:tcPr>
            <w:tcW w:w="380" w:type="dxa"/>
            <w:vAlign w:val="bottom"/>
            <w:shd w:val="clear" w:color="auto" w:fill="ACACAC"/>
          </w:tcPr>
          <w:p>
            <w:pPr>
              <w:spacing w:after="0"/>
              <w:rPr>
                <w:sz w:val="22"/>
                <w:szCs w:val="22"/>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640" w:type="dxa"/>
            <w:vAlign w:val="bottom"/>
            <w:shd w:val="clear" w:color="auto" w:fill="ACACAC"/>
          </w:tcPr>
          <w:p>
            <w:pPr>
              <w:spacing w:after="0"/>
              <w:rPr>
                <w:sz w:val="22"/>
                <w:szCs w:val="22"/>
                <w:color w:val="auto"/>
              </w:rPr>
            </w:pPr>
          </w:p>
        </w:tc>
        <w:tc>
          <w:tcPr>
            <w:tcW w:w="76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2019</w:t>
            </w: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GMG</w:t>
            </w:r>
          </w:p>
        </w:tc>
        <w:tc>
          <w:tcPr>
            <w:tcW w:w="738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95,453</w:t>
            </w:r>
          </w:p>
        </w:tc>
        <w:tc>
          <w:tcPr>
            <w:tcW w:w="640" w:type="dxa"/>
            <w:vAlign w:val="bottom"/>
            <w:tcBorders>
              <w:bottom w:val="single" w:sz="8" w:color="F4F4F4"/>
            </w:tcBorders>
            <w:shd w:val="clear" w:color="auto" w:fill="F4F4F4"/>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92,515</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EMG</w:t>
            </w:r>
          </w:p>
        </w:tc>
        <w:tc>
          <w:tcPr>
            <w:tcW w:w="7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98,123</w:t>
            </w:r>
          </w:p>
        </w:tc>
        <w:tc>
          <w:tcPr>
            <w:tcW w:w="6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95,165</w:t>
            </w:r>
          </w:p>
        </w:tc>
      </w:tr>
      <w:tr>
        <w:trPr>
          <w:trHeight w:val="27"/>
        </w:trPr>
        <w:tc>
          <w:tcPr>
            <w:tcW w:w="1540" w:type="dxa"/>
            <w:vAlign w:val="bottom"/>
          </w:tcPr>
          <w:p>
            <w:pPr>
              <w:spacing w:after="0"/>
              <w:rPr>
                <w:sz w:val="2"/>
                <w:szCs w:val="2"/>
                <w:color w:val="auto"/>
              </w:rPr>
            </w:pPr>
          </w:p>
        </w:tc>
        <w:tc>
          <w:tcPr>
            <w:tcW w:w="7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IMG</w:t>
            </w:r>
          </w:p>
        </w:tc>
        <w:tc>
          <w:tcPr>
            <w:tcW w:w="700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30,081</w:t>
            </w:r>
          </w:p>
        </w:tc>
        <w:tc>
          <w:tcPr>
            <w:tcW w:w="640" w:type="dxa"/>
            <w:vAlign w:val="bottom"/>
            <w:tcBorders>
              <w:bottom w:val="single" w:sz="8" w:color="F4F4F4"/>
            </w:tcBorders>
            <w:shd w:val="clear" w:color="auto" w:fill="F4F4F4"/>
          </w:tcPr>
          <w:p>
            <w:pPr>
              <w:spacing w:after="0"/>
              <w:rPr>
                <w:sz w:val="21"/>
                <w:szCs w:val="21"/>
                <w:color w:val="auto"/>
              </w:rPr>
            </w:pPr>
          </w:p>
        </w:tc>
        <w:tc>
          <w:tcPr>
            <w:tcW w:w="76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28,122</w:t>
            </w:r>
          </w:p>
        </w:tc>
      </w:tr>
      <w:tr>
        <w:trPr>
          <w:trHeight w:val="243"/>
        </w:trPr>
        <w:tc>
          <w:tcPr>
            <w:tcW w:w="1540" w:type="dxa"/>
            <w:vAlign w:val="bottom"/>
          </w:tcPr>
          <w:p>
            <w:pPr>
              <w:ind w:left="40"/>
              <w:spacing w:after="0"/>
              <w:rPr>
                <w:sz w:val="20"/>
                <w:szCs w:val="20"/>
                <w:color w:val="auto"/>
              </w:rPr>
            </w:pPr>
            <w:r>
              <w:rPr>
                <w:rFonts w:ascii="Arial" w:cs="Arial" w:eastAsia="Arial" w:hAnsi="Arial"/>
                <w:sz w:val="18"/>
                <w:szCs w:val="18"/>
                <w:color w:val="auto"/>
              </w:rPr>
              <w:t>Other</w:t>
            </w:r>
          </w:p>
        </w:tc>
        <w:tc>
          <w:tcPr>
            <w:tcW w:w="7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556"/>
              <w:spacing w:after="0"/>
              <w:rPr>
                <w:sz w:val="20"/>
                <w:szCs w:val="20"/>
                <w:color w:val="auto"/>
              </w:rPr>
            </w:pPr>
            <w:r>
              <w:rPr>
                <w:rFonts w:ascii="Arial" w:cs="Arial" w:eastAsia="Arial" w:hAnsi="Arial"/>
                <w:sz w:val="18"/>
                <w:szCs w:val="18"/>
                <w:color w:val="auto"/>
              </w:rPr>
              <w:t>(36)</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28</w:t>
            </w:r>
          </w:p>
        </w:tc>
      </w:tr>
      <w:tr>
        <w:trPr>
          <w:trHeight w:val="27"/>
        </w:trPr>
        <w:tc>
          <w:tcPr>
            <w:tcW w:w="1540" w:type="dxa"/>
            <w:vAlign w:val="bottom"/>
            <w:tcBorders>
              <w:bottom w:val="single" w:sz="8" w:color="F4F4F4"/>
            </w:tcBorders>
          </w:tcPr>
          <w:p>
            <w:pPr>
              <w:spacing w:after="0"/>
              <w:rPr>
                <w:sz w:val="2"/>
                <w:szCs w:val="2"/>
                <w:color w:val="auto"/>
              </w:rPr>
            </w:pPr>
          </w:p>
        </w:tc>
        <w:tc>
          <w:tcPr>
            <w:tcW w:w="700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8"/>
        </w:trPr>
        <w:tc>
          <w:tcPr>
            <w:tcW w:w="1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Total revenue</w:t>
            </w:r>
          </w:p>
        </w:tc>
        <w:tc>
          <w:tcPr>
            <w:tcW w:w="7380" w:type="dxa"/>
            <w:vAlign w:val="bottom"/>
            <w:tcBorders>
              <w:bottom w:val="single" w:sz="8" w:color="F4F4F4"/>
            </w:tcBorders>
            <w:gridSpan w:val="2"/>
            <w:shd w:val="clear" w:color="auto" w:fill="F4F4F4"/>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223,621</w:t>
            </w:r>
          </w:p>
        </w:tc>
        <w:tc>
          <w:tcPr>
            <w:tcW w:w="640" w:type="dxa"/>
            <w:vAlign w:val="bottom"/>
            <w:tcBorders>
              <w:bottom w:val="single" w:sz="8" w:color="F4F4F4"/>
            </w:tcBorders>
            <w:shd w:val="clear" w:color="auto" w:fill="F4F4F4"/>
          </w:tcPr>
          <w:p>
            <w:pPr>
              <w:jc w:val="right"/>
              <w:ind w:right="396"/>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w w:val="98"/>
              </w:rPr>
              <w:t>215,830</w:t>
            </w:r>
          </w:p>
        </w:tc>
      </w:tr>
      <w:tr>
        <w:trPr>
          <w:trHeight w:val="765"/>
        </w:trPr>
        <w:tc>
          <w:tcPr>
            <w:tcW w:w="1540" w:type="dxa"/>
            <w:vAlign w:val="bottom"/>
            <w:tcBorders>
              <w:top w:val="single" w:sz="8" w:color="71BF43"/>
            </w:tcBorders>
          </w:tcPr>
          <w:p>
            <w:pPr>
              <w:ind w:left="300"/>
              <w:spacing w:after="0"/>
              <w:rPr>
                <w:sz w:val="20"/>
                <w:szCs w:val="20"/>
                <w:color w:val="auto"/>
              </w:rPr>
            </w:pPr>
            <w:r>
              <w:rPr>
                <w:rFonts w:ascii="Arial" w:cs="Arial" w:eastAsia="Arial" w:hAnsi="Arial"/>
                <w:sz w:val="14"/>
                <w:szCs w:val="14"/>
                <w:color w:val="auto"/>
              </w:rPr>
              <w:t>18</w:t>
            </w:r>
          </w:p>
        </w:tc>
        <w:tc>
          <w:tcPr>
            <w:tcW w:w="7380" w:type="dxa"/>
            <w:vAlign w:val="bottom"/>
            <w:tcBorders>
              <w:top w:val="single" w:sz="8" w:color="71BF43"/>
            </w:tcBorders>
            <w:gridSpan w:val="2"/>
          </w:tcPr>
          <w:p>
            <w:pPr>
              <w:jc w:val="right"/>
              <w:ind w:right="5460"/>
              <w:spacing w:after="0"/>
              <w:rPr>
                <w:sz w:val="20"/>
                <w:szCs w:val="20"/>
                <w:color w:val="auto"/>
              </w:rPr>
            </w:pPr>
            <w:r>
              <w:rPr>
                <w:rFonts w:ascii="Arial" w:cs="Arial" w:eastAsia="Arial" w:hAnsi="Arial"/>
                <w:sz w:val="14"/>
                <w:szCs w:val="14"/>
                <w:color w:val="auto"/>
              </w:rPr>
              <w:t>First Quarter 2020 Form 10-Q</w:t>
            </w:r>
          </w:p>
        </w:tc>
        <w:tc>
          <w:tcPr>
            <w:tcW w:w="920" w:type="dxa"/>
            <w:vAlign w:val="bottom"/>
            <w:tcBorders>
              <w:top w:val="single" w:sz="8" w:color="71BF43"/>
            </w:tcBorders>
          </w:tcPr>
          <w:p>
            <w:pPr>
              <w:spacing w:after="0"/>
              <w:rPr>
                <w:sz w:val="24"/>
                <w:szCs w:val="24"/>
                <w:color w:val="auto"/>
              </w:rPr>
            </w:pPr>
          </w:p>
        </w:tc>
        <w:tc>
          <w:tcPr>
            <w:tcW w:w="640" w:type="dxa"/>
            <w:vAlign w:val="bottom"/>
            <w:tcBorders>
              <w:top w:val="single" w:sz="8" w:color="71BF43"/>
            </w:tcBorders>
          </w:tcPr>
          <w:p>
            <w:pPr>
              <w:spacing w:after="0"/>
              <w:rPr>
                <w:sz w:val="24"/>
                <w:szCs w:val="24"/>
                <w:color w:val="auto"/>
              </w:rPr>
            </w:pPr>
          </w:p>
        </w:tc>
        <w:tc>
          <w:tcPr>
            <w:tcW w:w="760" w:type="dxa"/>
            <w:vAlign w:val="bottom"/>
            <w:tcBorders>
              <w:top w:val="single" w:sz="8" w:color="71BF43"/>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-1509395</wp:posOffset>
            </wp:positionV>
            <wp:extent cx="1714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1450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14.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We substantially completed our facilities optimization restructuring plan as of December 2019. We incurred $2.0 million in before-tax restructuring charges related to these activities during the three months ended March 31, 2019. Such charges during the three months ended March 31, 2020 were insignificant.</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15.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better enable us to weather the extraordinary business challenges occasioned by the global COVID-19 pandemic, to protect the safety and welfare of our employees, and to further effect our long-term strategy to deliver the greatest value to our stockholders, we have taken several actions. These initial measures taken, in addition to suspending the payment of quarterly dividends as discussed in Note 12 to these consolidated financial statements, are expected to provide us the financial flexibility needed to manage a wide array of outcomes that may result from the pandemic. Certain of the actions commenced, after the quarter ended March 31, 2020, include the following:</w:t>
      </w:r>
    </w:p>
    <w:p>
      <w:pPr>
        <w:spacing w:after="0" w:line="134" w:lineRule="exact"/>
        <w:rPr>
          <w:sz w:val="20"/>
          <w:szCs w:val="20"/>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401(k) match program, whereby we have historically matched 50% of qualified U.S. employees' contributions to our 401(k) plan up to 6% of their salaries, was temporarily suspended effective with the payroll period commencing April 1, 2020. We have not yet determined when the match might recommence.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May 1, 2020, we granted restricted stock units to our employees that were eligible for base salary merit increases in lieu of such increases, which will vest on May 1, 2021 subject to the recipient's continued employment with us. The grant date fair value of these awards was $8.3 million.</w:t>
      </w:r>
    </w:p>
    <w:p>
      <w:pPr>
        <w:spacing w:after="0" w:line="129"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May 1, 2020, we granted performance-based restricted stock units to our employees that were eligible for a 2020 cash bonus plan in lieu of such cash bonus, which may be earned and become eligible for vesting on May 1, 2021 subject to meeting certain performance conditions and the recipient's continued employment with us. The grant date fair value of these awards was $34.4 million.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19</w:t>
      </w:r>
    </w:p>
    <w:p>
      <w:pPr>
        <w:sectPr>
          <w:pgSz w:w="11900" w:h="16838" w:orient="portrait"/>
          <w:cols w:equalWidth="0" w:num="1">
            <w:col w:w="11240"/>
          </w:cols>
          <w:pgMar w:left="320" w:top="118" w:right="3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71" w:lineRule="exact"/>
        <w:rPr>
          <w:sz w:val="20"/>
          <w:szCs w:val="20"/>
          <w:color w:val="auto"/>
        </w:rPr>
      </w:pPr>
    </w:p>
    <w:p>
      <w:pPr>
        <w:ind w:right="1480"/>
        <w:spacing w:after="0" w:line="272"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consolidated financial statements and related notes which are primarily denominated in thousands of dollars.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school management, ticketing, grantmaking, financial management, payment processing and analytics. Serving the industry for more than three decades, we are headquartered in Charleston, South Carolina, and have operations in the United States, Australia, Canada, Costa Rica and the United Kingdom.</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color w:val="auto"/>
        </w:rPr>
        <w:t>Our revenue is primarily generated from the following sources: (i) charging for the use of our software solutions in cloud and hosted environments;</w:t>
      </w:r>
    </w:p>
    <w:p>
      <w:pPr>
        <w:spacing w:after="0" w:line="35" w:lineRule="exact"/>
        <w:rPr>
          <w:sz w:val="20"/>
          <w:szCs w:val="20"/>
          <w:color w:val="auto"/>
        </w:rPr>
      </w:pPr>
    </w:p>
    <w:p>
      <w:pPr>
        <w:ind w:firstLine="8"/>
        <w:spacing w:after="0" w:line="260"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providing payment and transaction services; (iii) providing software maintenance and support services; and (iv) providing professional services, including implementation, consulting, training, analytic and other services.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outbreak of COVID-19 in numerous countries across the globe, including each country in which we currently operate, has adversely impacted the U.S. and global economies. We began 2020 with strong execution against our financial plan. In March 2020, we began to experience disruptions to our business from COVID-19, and the pandemic continues to impact each of our markets.</w:t>
      </w:r>
    </w:p>
    <w:p>
      <w:pPr>
        <w:spacing w:after="0" w:line="13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better enable us to weather the extraordinary business challenges occasioned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and create over $300 million of additional annualized borrowing capacity. Some of these actions include the following:</w:t>
      </w:r>
    </w:p>
    <w:p>
      <w:pPr>
        <w:spacing w:after="0" w:line="63" w:lineRule="exact"/>
        <w:rPr>
          <w:sz w:val="20"/>
          <w:szCs w:val="20"/>
          <w:color w:val="auto"/>
        </w:rPr>
      </w:pPr>
    </w:p>
    <w:p>
      <w:pPr>
        <w:ind w:left="500" w:hanging="168"/>
        <w:spacing w:after="0"/>
        <w:tabs>
          <w:tab w:leader="none" w:pos="5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Enacted our business continuity plans so that we can continue to serve our customers while protecting the well-being of our employees;</w:t>
      </w:r>
    </w:p>
    <w:p>
      <w:pPr>
        <w:spacing w:after="0" w:line="34" w:lineRule="exact"/>
        <w:rPr>
          <w:rFonts w:ascii="Arial" w:cs="Arial" w:eastAsia="Arial" w:hAnsi="Arial"/>
          <w:sz w:val="17"/>
          <w:szCs w:val="17"/>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Closed our offices worldwide and transitioned our more than 3,600 global employees to work remotely;</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1"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Temporarily suspended our 401(k) match program, whereby we have historically matched 50% of qualified U.S. employees' contributions to our 401(k) plan up to 6% of their salaries, effective with the payroll period commencing April 1, 2020;</w:t>
      </w: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Temporarily froze our hiring efforts;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effective with the payroll period commencing April 1, 2020 and until Mr. Gianoni otherwise determines;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reductions;</w:t>
      </w:r>
    </w:p>
    <w:p>
      <w:pPr>
        <w:spacing w:after="0" w:line="9" w:lineRule="exact"/>
        <w:rPr>
          <w:rFonts w:ascii="Arial" w:cs="Arial" w:eastAsia="Arial" w:hAnsi="Arial"/>
          <w:sz w:val="18"/>
          <w:szCs w:val="18"/>
          <w:color w:val="auto"/>
        </w:rPr>
      </w:pPr>
    </w:p>
    <w:p>
      <w:pPr>
        <w:ind w:left="500" w:hanging="168"/>
        <w:spacing w:after="0" w:line="260"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spacing w:after="0" w:line="34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20  </w:t>
      </w:r>
      <w:r>
        <w:rPr>
          <w:sz w:val="1"/>
          <w:szCs w:val="1"/>
          <w:color w:val="auto"/>
        </w:rPr>
        <w:drawing>
          <wp:inline distT="0" distB="0" distL="0" distR="0">
            <wp:extent cx="668655" cy="10287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ind w:left="500" w:hanging="168"/>
        <w:spacing w:after="0" w:line="258"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1, 2020, we granted restricted stock units ("RSUs") to our employees that were eligible for base salary merit increases in lieu of such increases, which will vest on May 1, 2021 subject to the recipient's continued employment with us; and</w:t>
      </w:r>
    </w:p>
    <w:p>
      <w:pPr>
        <w:spacing w:after="0" w:line="1" w:lineRule="exact"/>
        <w:rPr>
          <w:rFonts w:ascii="Arial" w:cs="Arial" w:eastAsia="Arial" w:hAnsi="Arial"/>
          <w:sz w:val="18"/>
          <w:szCs w:val="18"/>
          <w:color w:val="auto"/>
        </w:rPr>
      </w:pPr>
    </w:p>
    <w:p>
      <w:pPr>
        <w:jc w:val="both"/>
        <w:ind w:left="500" w:hanging="168"/>
        <w:spacing w:after="0" w:line="255"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May 1, 2020, we granted performance-based restricted stock units ("PRSUs")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initial actions we have taken to date, we are continuously evaluating further possible actions in order to respond quickly to rapidly changing conditions, if needed. The economic impact of COVID-19 on the social good industry remains uncertain and, consequently, we expect that our operating environment may continue to be challenging for the remainder of 2020, and potentially beyond, as existing and prospective customers remain cautious in their purchase decisions.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these conditions, we remain focused on continuing to execute our four-point growth strategy and strengthening our leadership position.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Growth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171450</wp:posOffset>
            </wp:positionV>
            <wp:extent cx="222885"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2885" cy="171450"/>
                    </a:xfrm>
                    <a:prstGeom prst="rect">
                      <a:avLst/>
                    </a:prstGeom>
                    <a:noFill/>
                  </pic:spPr>
                </pic:pic>
              </a:graphicData>
            </a:graphic>
          </wp:anchor>
        </w:drawing>
      </w:r>
    </w:p>
    <w:p>
      <w:pPr>
        <w:spacing w:after="0" w:line="259" w:lineRule="exact"/>
        <w:rPr>
          <w:sz w:val="20"/>
          <w:szCs w:val="20"/>
          <w:color w:val="auto"/>
        </w:rPr>
      </w:pPr>
    </w:p>
    <w:p>
      <w:pPr>
        <w:ind w:left="1120" w:hanging="360"/>
        <w:spacing w:after="0"/>
        <w:tabs>
          <w:tab w:leader="none" w:pos="1120" w:val="left"/>
        </w:tabs>
        <w:numPr>
          <w:ilvl w:val="1"/>
          <w:numId w:val="18"/>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2   </w:t>
      </w:r>
      <w:r>
        <w:rPr>
          <w:rFonts w:ascii="Arial" w:cs="Arial" w:eastAsia="Arial" w:hAnsi="Arial"/>
          <w:sz w:val="18"/>
          <w:szCs w:val="18"/>
          <w:b w:val="1"/>
          <w:bCs w:val="1"/>
          <w:color w:val="000000"/>
        </w:rPr>
        <w:t>Drive Sales Effectiveness</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3   </w:t>
      </w:r>
      <w:r>
        <w:rPr>
          <w:rFonts w:ascii="Arial" w:cs="Arial" w:eastAsia="Arial" w:hAnsi="Arial"/>
          <w:sz w:val="18"/>
          <w:szCs w:val="18"/>
          <w:b w:val="1"/>
          <w:bCs w:val="1"/>
          <w:color w:val="000000"/>
        </w:rPr>
        <w:t>Expand Total Addressable Market</w:t>
      </w:r>
    </w:p>
    <w:p>
      <w:pPr>
        <w:spacing w:after="0" w:line="225" w:lineRule="exact"/>
        <w:rPr>
          <w:rFonts w:ascii="Arial" w:cs="Arial" w:eastAsia="Arial" w:hAnsi="Arial"/>
          <w:sz w:val="18"/>
          <w:szCs w:val="18"/>
          <w:b w:val="1"/>
          <w:bCs w:val="1"/>
          <w:color w:val="FFFFFF"/>
        </w:rPr>
      </w:pPr>
    </w:p>
    <w:p>
      <w:pPr>
        <w:ind w:left="76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 xml:space="preserve">4   </w:t>
      </w:r>
      <w:r>
        <w:rPr>
          <w:rFonts w:ascii="Arial" w:cs="Arial" w:eastAsia="Arial" w:hAnsi="Arial"/>
          <w:sz w:val="18"/>
          <w:szCs w:val="18"/>
          <w:b w:val="1"/>
          <w:bCs w:val="1"/>
          <w:color w:val="000000"/>
        </w:rPr>
        <w:t>Improve Operating Efficiency</w:t>
      </w:r>
    </w:p>
    <w:p>
      <w:pPr>
        <w:spacing w:after="0" w:line="202" w:lineRule="exact"/>
        <w:rPr>
          <w:rFonts w:ascii="Arial" w:cs="Arial" w:eastAsia="Arial" w:hAnsi="Arial"/>
          <w:sz w:val="18"/>
          <w:szCs w:val="18"/>
          <w:b w:val="1"/>
          <w:bCs w:val="1"/>
          <w:color w:val="FFFFFF"/>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71" w:lineRule="exact"/>
        <w:rPr>
          <w:rFonts w:ascii="Arial" w:cs="Arial" w:eastAsia="Arial" w:hAnsi="Arial"/>
          <w:sz w:val="18"/>
          <w:szCs w:val="18"/>
          <w:i w:val="1"/>
          <w:iCs w:val="1"/>
          <w:color w:val="auto"/>
        </w:rPr>
      </w:pPr>
    </w:p>
    <w:p>
      <w:pPr>
        <w:jc w:val="both"/>
        <w:ind w:left="340"/>
        <w:spacing w:after="0" w:line="273" w:lineRule="auto"/>
        <w:rPr>
          <w:rFonts w:ascii="Arial" w:cs="Arial" w:eastAsia="Arial" w:hAnsi="Arial"/>
          <w:sz w:val="18"/>
          <w:szCs w:val="18"/>
          <w:i w:val="1"/>
          <w:iCs w:val="1"/>
          <w:color w:val="auto"/>
        </w:rPr>
      </w:pPr>
      <w:r>
        <w:rPr>
          <w:rFonts w:ascii="Arial" w:cs="Arial" w:eastAsia="Arial" w:hAnsi="Arial"/>
          <w:sz w:val="17"/>
          <w:szCs w:val="17"/>
          <w:color w:val="auto"/>
        </w:rPr>
        <w:t>Many of our customers have had to cancel or postpone their planned in-person fundraising events due to COVID-19 and our agile engineering teams have moved quickly to respond to these customers. We have been reprioritizing and expediting product enhancements to support their changing needs. Examples range from pivoting to virtual fitness events to putting new livestream fundraising tools in the hands of both organizations and individuals. This industry has been undergoing a digital transformation in which we have been the global leader and that has accelerated in recent weeks. Our move over the last several years to cloud solutions purpose-built for vertical markets has proved to be the right strategy as this crisis has highlighted how important modern, scalable, and secure cloud systems are now a required standard.</w:t>
      </w:r>
    </w:p>
    <w:p>
      <w:pPr>
        <w:spacing w:after="0" w:line="123"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Drive Sales Effectiveness</w:t>
      </w:r>
    </w:p>
    <w:p>
      <w:pPr>
        <w:spacing w:after="0" w:line="171" w:lineRule="exact"/>
        <w:rPr>
          <w:rFonts w:ascii="Arial" w:cs="Arial" w:eastAsia="Arial" w:hAnsi="Arial"/>
          <w:sz w:val="18"/>
          <w:szCs w:val="18"/>
          <w:i w:val="1"/>
          <w:iCs w:val="1"/>
          <w:color w:val="auto"/>
        </w:rPr>
      </w:pPr>
    </w:p>
    <w:p>
      <w:pPr>
        <w:jc w:val="both"/>
        <w:ind w:left="3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We have been investing in sales and marketing to better address our large market opportunity and, as part of this effort, we have implemented software tools to enhance our digital footprint and drive efficiency. The investments we have made enable us to quickly adapt to changing market conditions, including competitive opportunities. Our ability to ensure business continuity for our customers, perform at scale and pivot to offer solutions to the changing needs of our customers has become a new differentiator for us, and we have moved quickly to capitalize on these early opportunities by leveraging our enhanced go-to-market capabilities. While the disruption caused by the virus has caused some deal pipeline to push out to our second quarter and the second half of 2020, we have been able to showcase ourselves as the best long-term partner for social good organizations and we remain very well positioned as a leader in this market. As part of our cost control measures, we have put a freeze on hiring across the company, including sales.</w:t>
      </w:r>
    </w:p>
    <w:p>
      <w:pPr>
        <w:spacing w:after="0" w:line="137" w:lineRule="exact"/>
        <w:rPr>
          <w:rFonts w:ascii="Arial" w:cs="Arial" w:eastAsia="Arial" w:hAnsi="Arial"/>
          <w:sz w:val="18"/>
          <w:szCs w:val="18"/>
          <w:i w:val="1"/>
          <w:iCs w:val="1"/>
          <w:color w:val="auto"/>
        </w:rPr>
      </w:pPr>
    </w:p>
    <w:p>
      <w:pPr>
        <w:ind w:left="340" w:hanging="332"/>
        <w:spacing w:after="0"/>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Expand TAM</w:t>
      </w:r>
    </w:p>
    <w:p>
      <w:pPr>
        <w:spacing w:after="0" w:line="171" w:lineRule="exact"/>
        <w:rPr>
          <w:rFonts w:ascii="Arial" w:cs="Arial" w:eastAsia="Arial" w:hAnsi="Arial"/>
          <w:sz w:val="18"/>
          <w:szCs w:val="18"/>
          <w:i w:val="1"/>
          <w:iCs w:val="1"/>
          <w:color w:val="auto"/>
        </w:rPr>
      </w:pPr>
    </w:p>
    <w:p>
      <w:pPr>
        <w:jc w:val="both"/>
        <w:ind w:left="340"/>
        <w:spacing w:after="0" w:line="263" w:lineRule="auto"/>
        <w:rPr>
          <w:rFonts w:ascii="Arial" w:cs="Arial" w:eastAsia="Arial" w:hAnsi="Arial"/>
          <w:sz w:val="18"/>
          <w:szCs w:val="18"/>
          <w:i w:val="1"/>
          <w:iCs w:val="1"/>
          <w:color w:val="auto"/>
        </w:rPr>
      </w:pPr>
      <w:r>
        <w:rPr>
          <w:rFonts w:ascii="Arial" w:cs="Arial" w:eastAsia="Arial" w:hAnsi="Arial"/>
          <w:sz w:val="18"/>
          <w:szCs w:val="18"/>
          <w:color w:val="auto"/>
        </w:rPr>
        <w:t>While we remain active in the evaluation of opportunities to further expand our addressable market through acquisitions and internal product development, our top priority in the near-term is protecting our people and continuing to support our customers. We have significant opportunities in front of us as we are less than 10% penetrated into a total addressable market of over $10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-4091305</wp:posOffset>
            </wp:positionV>
            <wp:extent cx="222885"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2288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-3816985</wp:posOffset>
            </wp:positionV>
            <wp:extent cx="22288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22885" cy="1714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-3542665</wp:posOffset>
            </wp:positionV>
            <wp:extent cx="222885" cy="171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171450"/>
                    </a:xfrm>
                    <a:prstGeom prst="rect">
                      <a:avLst/>
                    </a:prstGeom>
                    <a:noFill/>
                  </pic:spPr>
                </pic:pic>
              </a:graphicData>
            </a:graphic>
          </wp:anchor>
        </w:drawing>
      </w:r>
    </w:p>
    <w:p>
      <w:pPr>
        <w:spacing w:after="0" w:line="32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21</w:t>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Improve Operating Efficiency</w:t>
      </w:r>
    </w:p>
    <w:p>
      <w:pPr>
        <w:spacing w:after="0" w:line="171" w:lineRule="exact"/>
        <w:rPr>
          <w:rFonts w:ascii="Arial" w:cs="Arial" w:eastAsia="Arial" w:hAnsi="Arial"/>
          <w:sz w:val="18"/>
          <w:szCs w:val="18"/>
          <w:i w:val="1"/>
          <w:iCs w:val="1"/>
          <w:color w:val="auto"/>
        </w:rPr>
      </w:pPr>
    </w:p>
    <w:p>
      <w:pPr>
        <w:jc w:val="both"/>
        <w:ind w:left="340"/>
        <w:spacing w:after="0" w:line="272" w:lineRule="auto"/>
        <w:rPr>
          <w:rFonts w:ascii="Arial" w:cs="Arial" w:eastAsia="Arial" w:hAnsi="Arial"/>
          <w:sz w:val="18"/>
          <w:szCs w:val="18"/>
          <w:i w:val="1"/>
          <w:iCs w:val="1"/>
          <w:color w:val="auto"/>
        </w:rPr>
      </w:pPr>
      <w:r>
        <w:rPr>
          <w:rFonts w:ascii="Arial" w:cs="Arial" w:eastAsia="Arial" w:hAnsi="Arial"/>
          <w:sz w:val="17"/>
          <w:szCs w:val="17"/>
          <w:color w:val="auto"/>
        </w:rPr>
        <w:t>We have made transformational changes to our business, which has created a scalable operating model that has been tested with this global crisis. Our internal IT and organization structure changes over the last several years enabled us to immediately go virtual and have all of our global employees working from home as if they continued to come into the office every day, allowing our high level of support to continue. Our support teams immediately became an efficient mobile call center. Not only did the team maintain service levels, but they have driven customer satisfaction levels into the high nineties. Our implementation services teams had previously moved to a largely remote implementation model before this crisis and are fully equipped to continue customer engagements uninterrupted. We have reorganized our business to focus on vertical go-to-market teams with a centralized back-office consisting of global centers of excellence, and those changes are now benefiting us.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gridSpan w:val="2"/>
          </w:tcPr>
          <w:p>
            <w:pPr>
              <w:jc w:val="center"/>
              <w:ind w:right="580"/>
              <w:spacing w:after="0"/>
              <w:rPr>
                <w:sz w:val="20"/>
                <w:szCs w:val="20"/>
                <w:color w:val="auto"/>
              </w:rPr>
            </w:pPr>
            <w:r>
              <w:rPr>
                <w:rFonts w:ascii="Arial" w:cs="Arial" w:eastAsia="Arial" w:hAnsi="Arial"/>
                <w:sz w:val="18"/>
                <w:szCs w:val="18"/>
                <w:b w:val="1"/>
                <w:bCs w:val="1"/>
                <w:i w:val="1"/>
                <w:iCs w:val="1"/>
                <w:color w:val="auto"/>
                <w:w w:val="89"/>
              </w:rPr>
              <w:t>Total revenue ($M)</w:t>
            </w:r>
          </w:p>
        </w:tc>
        <w:tc>
          <w:tcPr>
            <w:tcW w:w="4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Income from operations ($M)</w:t>
            </w:r>
          </w:p>
        </w:tc>
      </w:tr>
      <w:tr>
        <w:trPr>
          <w:trHeight w:val="27"/>
        </w:trPr>
        <w:tc>
          <w:tcPr>
            <w:tcW w:w="4320" w:type="dxa"/>
            <w:vAlign w:val="bottom"/>
            <w:tcBorders>
              <w:bottom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8"/>
        </w:trPr>
        <w:tc>
          <w:tcPr>
            <w:tcW w:w="4920" w:type="dxa"/>
            <w:vAlign w:val="bottom"/>
            <w:gridSpan w:val="2"/>
          </w:tcPr>
          <w:p>
            <w:pPr>
              <w:jc w:val="center"/>
              <w:ind w:right="580"/>
              <w:spacing w:after="0"/>
              <w:rPr>
                <w:sz w:val="20"/>
                <w:szCs w:val="20"/>
                <w:color w:val="auto"/>
              </w:rPr>
            </w:pPr>
            <w:r>
              <w:rPr>
                <w:rFonts w:ascii="Arial" w:cs="Arial" w:eastAsia="Arial" w:hAnsi="Arial"/>
                <w:sz w:val="14"/>
                <w:szCs w:val="14"/>
                <w:color w:val="auto"/>
                <w:w w:val="96"/>
              </w:rPr>
              <w:t>YoY Growth (%)</w:t>
            </w:r>
          </w:p>
        </w:tc>
        <w:tc>
          <w:tcPr>
            <w:tcW w:w="4320" w:type="dxa"/>
            <w:vAlign w:val="bottom"/>
          </w:tcPr>
          <w:p>
            <w:pPr>
              <w:jc w:val="center"/>
              <w:spacing w:after="0"/>
              <w:rPr>
                <w:sz w:val="20"/>
                <w:szCs w:val="20"/>
                <w:color w:val="auto"/>
              </w:rPr>
            </w:pPr>
            <w:r>
              <w:rPr>
                <w:rFonts w:ascii="Arial" w:cs="Arial" w:eastAsia="Arial" w:hAnsi="Arial"/>
                <w:sz w:val="14"/>
                <w:szCs w:val="14"/>
                <w:color w:val="auto"/>
                <w:w w:val="98"/>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wp:posOffset>
            </wp:positionH>
            <wp:positionV relativeFrom="paragraph">
              <wp:posOffset>7620</wp:posOffset>
            </wp:positionV>
            <wp:extent cx="5332095" cy="1423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33209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Total revenue increased by $7.8 million during the three months ended March 31, 2020, when compared to the same period in 2019, driven largely by the following:</w:t>
      </w:r>
    </w:p>
    <w:p>
      <w:pPr>
        <w:spacing w:after="0" w:line="116" w:lineRule="exact"/>
        <w:rPr>
          <w:sz w:val="20"/>
          <w:szCs w:val="20"/>
          <w:color w:val="auto"/>
        </w:rPr>
      </w:pPr>
    </w:p>
    <w:p>
      <w:pPr>
        <w:ind w:left="600" w:right="40" w:hanging="299"/>
        <w:spacing w:after="0" w:line="277" w:lineRule="auto"/>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Growth in recurring revenue related to an increase in payment services, positive demand from customers across our portfolio of cloud solutions and an increase in services embedded in our renewable cloud solution contracts</w:t>
      </w:r>
    </w:p>
    <w:p>
      <w:pPr>
        <w:spacing w:after="0" w:line="8" w:lineRule="exact"/>
        <w:rPr>
          <w:rFonts w:ascii="Arial" w:cs="Arial" w:eastAsia="Arial" w:hAnsi="Arial"/>
          <w:sz w:val="18"/>
          <w:szCs w:val="18"/>
          <w:color w:val="auto"/>
        </w:rPr>
      </w:pPr>
    </w:p>
    <w:p>
      <w:pPr>
        <w:ind w:left="600" w:hanging="299"/>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increase in revenue from sales of retained and managed services</w:t>
      </w:r>
    </w:p>
    <w:p>
      <w:pPr>
        <w:spacing w:after="0" w:line="19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Income from operations increased by $6.2 million during the three months ended March 31, 2020, when compared to the same period in 2019, driven largely by the following:</w:t>
      </w:r>
    </w:p>
    <w:p>
      <w:pPr>
        <w:spacing w:after="0" w:line="116" w:lineRule="exact"/>
        <w:rPr>
          <w:sz w:val="20"/>
          <w:szCs w:val="20"/>
          <w:color w:val="auto"/>
        </w:rPr>
      </w:pPr>
    </w:p>
    <w:p>
      <w:pPr>
        <w:ind w:left="600" w:hanging="29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Growth in total revenue, as described above</w:t>
      </w:r>
    </w:p>
    <w:p>
      <w:pPr>
        <w:spacing w:after="0" w:line="63" w:lineRule="exact"/>
        <w:rPr>
          <w:rFonts w:ascii="Arial" w:cs="Arial" w:eastAsia="Arial" w:hAnsi="Arial"/>
          <w:sz w:val="18"/>
          <w:szCs w:val="18"/>
          <w:color w:val="auto"/>
        </w:rPr>
      </w:pPr>
    </w:p>
    <w:p>
      <w:pPr>
        <w:ind w:left="600" w:right="40" w:hanging="299"/>
        <w:spacing w:after="0" w:line="277" w:lineRule="auto"/>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employee severance of $3.3 million related to the elimination of certain roles within the company, most of which occurred during the first quarter of 2019</w:t>
      </w:r>
    </w:p>
    <w:p>
      <w:pPr>
        <w:spacing w:after="0" w:line="8" w:lineRule="exact"/>
        <w:rPr>
          <w:rFonts w:ascii="Arial" w:cs="Arial" w:eastAsia="Arial" w:hAnsi="Arial"/>
          <w:sz w:val="18"/>
          <w:szCs w:val="18"/>
          <w:color w:val="auto"/>
        </w:rPr>
      </w:pPr>
    </w:p>
    <w:p>
      <w:pPr>
        <w:ind w:left="600" w:hanging="29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restructuring costs of $1.9 million as our facilities optimization plan was largely completed as of December 31, 2019</w:t>
      </w:r>
    </w:p>
    <w:p>
      <w:pPr>
        <w:spacing w:after="0" w:line="63" w:lineRule="exact"/>
        <w:rPr>
          <w:rFonts w:ascii="Arial" w:cs="Arial" w:eastAsia="Arial" w:hAnsi="Arial"/>
          <w:sz w:val="18"/>
          <w:szCs w:val="18"/>
          <w:color w:val="auto"/>
        </w:rPr>
      </w:pPr>
    </w:p>
    <w:p>
      <w:pPr>
        <w:ind w:left="600" w:hanging="29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$1.1 million</w:t>
      </w:r>
    </w:p>
    <w:p>
      <w:pPr>
        <w:spacing w:after="0" w:line="63" w:lineRule="exact"/>
        <w:rPr>
          <w:rFonts w:ascii="Arial" w:cs="Arial" w:eastAsia="Arial" w:hAnsi="Arial"/>
          <w:sz w:val="18"/>
          <w:szCs w:val="18"/>
          <w:color w:val="auto"/>
        </w:rPr>
      </w:pPr>
    </w:p>
    <w:p>
      <w:pPr>
        <w:ind w:left="600" w:hanging="299"/>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amortization of intangible assets from business combinations of $1.1 million</w:t>
      </w:r>
    </w:p>
    <w:p>
      <w:pPr>
        <w:spacing w:after="0" w:line="63" w:lineRule="exact"/>
        <w:rPr>
          <w:sz w:val="20"/>
          <w:szCs w:val="20"/>
          <w:color w:val="auto"/>
        </w:rPr>
      </w:pPr>
    </w:p>
    <w:p>
      <w:pPr>
        <w:ind w:left="600" w:right="20" w:hanging="278"/>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 in cost of revenue of $5.6 million related to increases in transaction-based costs, amortization of software development costs, third-party contractor costs and data center costs</w:t>
      </w:r>
    </w:p>
    <w:p>
      <w:pPr>
        <w:spacing w:after="0" w:line="8" w:lineRule="exact"/>
        <w:rPr>
          <w:rFonts w:ascii="Arial" w:cs="Arial" w:eastAsia="Arial" w:hAnsi="Arial"/>
          <w:sz w:val="18"/>
          <w:szCs w:val="18"/>
          <w:color w:val="auto"/>
        </w:rPr>
      </w:pPr>
    </w:p>
    <w:p>
      <w:pPr>
        <w:ind w:left="600" w:right="40" w:hanging="278"/>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investments we have made in our sales organization, including the elevated headcount of our direct sales force and our lead generation teams beginning in the fourth quarter of 2018</w:t>
      </w:r>
    </w:p>
    <w:p>
      <w:pPr>
        <w:spacing w:after="0" w:line="200" w:lineRule="exact"/>
        <w:rPr>
          <w:sz w:val="20"/>
          <w:szCs w:val="20"/>
          <w:color w:val="auto"/>
        </w:rPr>
      </w:pPr>
    </w:p>
    <w:p>
      <w:pPr>
        <w:spacing w:after="0" w:line="37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22  </w:t>
      </w:r>
      <w:r>
        <w:rPr>
          <w:sz w:val="1"/>
          <w:szCs w:val="1"/>
          <w:color w:val="auto"/>
        </w:rPr>
        <w:drawing>
          <wp:inline distT="0" distB="0" distL="0" distR="0">
            <wp:extent cx="668655" cy="10287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There are three primary revenue categories with related business drivers that we continue to monitor closely in light of the COVID-19 pandemic:</w:t>
      </w:r>
    </w:p>
    <w:p>
      <w:pPr>
        <w:spacing w:after="0" w:line="18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Contractual Recurring Revenue (approximately two thirds of total revenue in 2019)</w:t>
      </w:r>
    </w:p>
    <w:p>
      <w:pPr>
        <w:spacing w:after="0" w:line="171" w:lineRule="exact"/>
        <w:rPr>
          <w:sz w:val="20"/>
          <w:szCs w:val="20"/>
          <w:color w:val="auto"/>
        </w:rPr>
      </w:pPr>
    </w:p>
    <w:p>
      <w:pPr>
        <w:jc w:val="both"/>
        <w:ind w:left="340" w:firstLine="648"/>
        <w:spacing w:after="0" w:line="255" w:lineRule="auto"/>
        <w:rPr>
          <w:sz w:val="20"/>
          <w:szCs w:val="20"/>
          <w:color w:val="auto"/>
        </w:rPr>
      </w:pPr>
      <w:r>
        <w:rPr>
          <w:rFonts w:ascii="Arial" w:cs="Arial" w:eastAsia="Arial" w:hAnsi="Arial"/>
          <w:sz w:val="18"/>
          <w:szCs w:val="18"/>
          <w:color w:val="auto"/>
        </w:rPr>
        <w:t>Recurring subscription contracts are typically for a term of three years at contract inception, billed annually in advance, and we have been for several years successfully shifting our legacy customer base away from annual renewals and moving them onto multi-year renewal contracts. Approximately one-half of our contracted recurring revenue will be up for renewal during 2020, with the seasonal high for renewals and collections during the third quarter driven largely by mid-year fiscal year-ends and timing of the academic school year. To date, our renewal rates are trending ahead of our pre-COVID-19 expectations. We are monitoring our customer receivable balances, payment terms, and creditworthiness and have not experienced a significant deterioration in our customers' ability to pay thus far.</w:t>
      </w:r>
    </w:p>
    <w:p>
      <w:pPr>
        <w:spacing w:after="0" w:line="138"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i w:val="1"/>
          <w:iCs w:val="1"/>
          <w:color w:val="auto"/>
        </w:rPr>
      </w:pPr>
      <w:r>
        <w:rPr>
          <w:rFonts w:ascii="Arial" w:cs="Arial" w:eastAsia="Arial" w:hAnsi="Arial"/>
          <w:sz w:val="18"/>
          <w:szCs w:val="18"/>
          <w:i w:val="1"/>
          <w:iCs w:val="1"/>
          <w:color w:val="auto"/>
        </w:rPr>
        <w:t>Transactional Revenue (approximately one quarter of total revenue in 2019)</w:t>
      </w:r>
    </w:p>
    <w:p>
      <w:pPr>
        <w:spacing w:after="0" w:line="171" w:lineRule="exact"/>
        <w:rPr>
          <w:sz w:val="20"/>
          <w:szCs w:val="20"/>
          <w:color w:val="auto"/>
        </w:rPr>
      </w:pPr>
    </w:p>
    <w:p>
      <w:pPr>
        <w:jc w:val="both"/>
        <w:ind w:left="340" w:firstLine="648"/>
        <w:spacing w:after="0" w:line="255" w:lineRule="auto"/>
        <w:rPr>
          <w:sz w:val="20"/>
          <w:szCs w:val="20"/>
          <w:color w:val="auto"/>
        </w:rPr>
      </w:pPr>
      <w:r>
        <w:rPr>
          <w:rFonts w:ascii="Arial" w:cs="Arial" w:eastAsia="Arial" w:hAnsi="Arial"/>
          <w:sz w:val="18"/>
          <w:szCs w:val="18"/>
          <w:color w:val="auto"/>
        </w:rPr>
        <w:t>Transactional revenue is non-contractual and less predictable given the susceptibility to certain drivers such as timing and number of events and marketing campaigns, as well as fluctuations in donation volumes and tuition payments. We have historically experienced seasonal highs during the fourth quarter due to year-end giving campaigns and during the second quarter when a large number of events are held. The early disruptions caused by COVID-19 drove sharp initial declines in our transactional volumes. In recent weeks, we have seen a rebound in volume in the form of online events and campaigns as our customers look for innovative ways to close funding gaps. We are focused on helping our customers successfully stand up virtual campaigns and events.</w:t>
      </w:r>
    </w:p>
    <w:p>
      <w:pPr>
        <w:spacing w:after="0" w:line="138"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Bookings</w:t>
      </w:r>
    </w:p>
    <w:p>
      <w:pPr>
        <w:spacing w:after="0" w:line="171" w:lineRule="exact"/>
        <w:rPr>
          <w:sz w:val="20"/>
          <w:szCs w:val="20"/>
          <w:color w:val="auto"/>
        </w:rPr>
      </w:pPr>
    </w:p>
    <w:p>
      <w:pPr>
        <w:jc w:val="both"/>
        <w:ind w:left="340" w:firstLine="648"/>
        <w:spacing w:after="0" w:line="269" w:lineRule="auto"/>
        <w:rPr>
          <w:sz w:val="20"/>
          <w:szCs w:val="20"/>
          <w:color w:val="auto"/>
        </w:rPr>
      </w:pPr>
      <w:r>
        <w:rPr>
          <w:rFonts w:ascii="Arial" w:cs="Arial" w:eastAsia="Arial" w:hAnsi="Arial"/>
          <w:sz w:val="17"/>
          <w:szCs w:val="17"/>
          <w:color w:val="auto"/>
        </w:rPr>
        <w:t>Given our ratable revenue recognition model for our recurring subscription contracts and implementation periods, we expect that any declines in our 2020 bookings performance will have a greater impact on our 2021 revenue than 2020. Of the three primary revenue categories discussed above, bookings represents the smallest potential impact on recurring revenue in 2020. One-time services and other revenue, which is tied to bookings, would have a more immediate impact on our total revenue. Our first quarter has historically been the seasonal low for bookings, with the second and fourth quarters historically being seasonally higher, and our bookings tend to be back-end loaded within individual quarters given our quarterly quota plans. Bookings fell off sharply in the second half of March 2020, and we have seen a slow-down in pipeline build. We are currently expecting a significant shortfall in 2020 bookings compared to our original plan for the year. The magnitude of our 2020 bookings shortfall is expected to be heavily impacted by the depth and duration of the COVID-19 pandemic. We have enabled our teams to offer relief measures to help ease the financial burden for our customers with near-term liquidity needs. For example, we have allowed, on a limited basis, for a 60-day extension on payment terms which will delay cash collections. However, we expect the impact to be largely offset during the third quarter. We have also partnered to offer zero-percent financing options for some customers on a case-by-case basis, and we continue to monitor and inform our customers on the available government assistance programs.</w:t>
      </w:r>
    </w:p>
    <w:p>
      <w:pPr>
        <w:spacing w:after="0" w:line="395" w:lineRule="exact"/>
        <w:rPr>
          <w:sz w:val="20"/>
          <w:szCs w:val="20"/>
          <w:color w:val="auto"/>
        </w:rPr>
      </w:pPr>
    </w:p>
    <w:p>
      <w:pPr>
        <w:ind w:left="1460"/>
        <w:spacing w:after="0"/>
        <w:rPr>
          <w:sz w:val="20"/>
          <w:szCs w:val="20"/>
          <w:color w:val="auto"/>
        </w:rPr>
      </w:pPr>
      <w:r>
        <w:rPr>
          <w:rFonts w:ascii="Arial" w:cs="Arial" w:eastAsia="Arial" w:hAnsi="Arial"/>
          <w:sz w:val="18"/>
          <w:szCs w:val="18"/>
          <w:b w:val="1"/>
          <w:bCs w:val="1"/>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43200" cy="132016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4320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23</w:t>
      </w:r>
    </w:p>
    <w:p>
      <w:pPr>
        <w:sectPr>
          <w:pgSz w:w="11900" w:h="16838" w:orient="portrait"/>
          <w:cols w:equalWidth="0" w:num="1">
            <w:col w:w="11240"/>
          </w:cols>
          <w:pgMar w:left="320" w:top="118"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March 31, 2020, approximately 92% of our customers with recurring revenue contracts were retained. This customer retention rate is unchanged from our rate for the full year ended December 31,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and cash flow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our cash and cash equivalents were $25.0 million and the carrying amount of our debt under the 2017 Credit Facility was $525.8 million. Our net leverage ratio was 2.61 to 1.00.</w:t>
      </w:r>
    </w:p>
    <w:p>
      <w:pPr>
        <w:spacing w:after="0" w:line="116"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During the three months ended March 31, 2020, we used $24.5 million in cash for operations, had a net increase in our borrowings of $58.6 million, returned $6.0 million to stockholders by way of dividends and had aggregate cash outlays of $13.8 million for purchases of property and equipment and capitalized software development costs. Historically, due to lower revenues in our first quarter, combined with the payment of bonuses from the prior year in our first quarter and the payment of certain annual vendor contracts, our cash flow from operations has been lowest in our first quarter.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24  </w:t>
      </w:r>
      <w:r>
        <w:rPr>
          <w:sz w:val="1"/>
          <w:szCs w:val="1"/>
          <w:color w:val="auto"/>
        </w:rPr>
        <w:drawing>
          <wp:inline distT="0" distB="0" distL="0" distR="0">
            <wp:extent cx="668655" cy="10287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2020 and 2019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200" w:lineRule="exact"/>
        <w:rPr>
          <w:sz w:val="20"/>
          <w:szCs w:val="20"/>
          <w:color w:val="auto"/>
        </w:rPr>
      </w:pPr>
    </w:p>
    <w:p>
      <w:pPr>
        <w:spacing w:after="0" w:line="24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Recurring</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Gross profit ($M)</w:t>
            </w:r>
          </w:p>
        </w:tc>
      </w:tr>
      <w:tr>
        <w:trPr>
          <w:trHeight w:val="230"/>
        </w:trPr>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90"/>
              </w:rPr>
              <w:t>Revenue ($M)</w:t>
            </w:r>
          </w:p>
        </w:tc>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88"/>
              </w:rPr>
              <w:t>Cost of revenue ($M)</w:t>
            </w: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and gross margin (%)</w:t>
            </w:r>
          </w:p>
        </w:tc>
      </w:tr>
      <w:tr>
        <w:trPr>
          <w:trHeight w:val="27"/>
        </w:trPr>
        <w:tc>
          <w:tcPr>
            <w:tcW w:w="2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52"/>
        </w:trPr>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5812155" cy="1423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online training programs, subscription-based analytic services, such as donor acquisitions and data enrichment, and payment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recurring revenue is primarily comprised of compensation costs for customer support and production IT personnel, hosting expenses,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experience growth in sales of our cloud solutions as a percentage of total revenue as 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Recurring revenue increased by $6.8 million, or 3.4%, during the three months ended March 31, 2020, when compared to the same period in 2019, driven primarily by the following:</w:t>
      </w:r>
    </w:p>
    <w:p>
      <w:pPr>
        <w:spacing w:after="0" w:line="116" w:lineRule="exact"/>
        <w:rPr>
          <w:sz w:val="20"/>
          <w:szCs w:val="20"/>
          <w:color w:val="auto"/>
        </w:rPr>
      </w:pPr>
    </w:p>
    <w:p>
      <w:pPr>
        <w:ind w:left="620" w:right="40" w:hanging="305"/>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in subscriptions revenue of $10.6 million related to an increase in payment services, positive demand from customers across our portfolio of cloud solutions and an increase in services embedded in our renewable cloud solution contracts</w:t>
      </w:r>
    </w:p>
    <w:p>
      <w:pPr>
        <w:spacing w:after="0" w:line="8" w:lineRule="exact"/>
        <w:rPr>
          <w:sz w:val="20"/>
          <w:szCs w:val="20"/>
          <w:color w:val="auto"/>
        </w:rPr>
      </w:pPr>
    </w:p>
    <w:p>
      <w:pPr>
        <w:ind w:left="620" w:right="60" w:hanging="284"/>
        <w:spacing w:after="0" w:line="277" w:lineRule="auto"/>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 in maintenance revenue of $3.9 million primarily related to our continuing efforts to migrate customers from legacy on-premises solutions onto our solutions powered by Blackbaud SKY, our modern cloud platform</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Partially offsetting the increase in subscriptions revenue was a decrease in the mix of retained and managed services contracts we present in recurring. Revenue from retained and managed service contracts that we do not expect to have a term consistent with our cloud solution contracts is included in one-time services and other revenue beginning January</w:t>
      </w:r>
    </w:p>
    <w:p>
      <w:pPr>
        <w:spacing w:after="0" w:line="34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25</w:t>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2020. This change in presentation resulted in a $4.3 million decrease in recurring revenue and an offsetting increase to one-time services and other revenue during the three months ended March 31, 2020.</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recurring revenue increased by $4.8 million, or 5.7%, during the three months ended March 31, 2020, when compared to the same period in 2019, driven primarily by the following:</w:t>
      </w:r>
    </w:p>
    <w:p>
      <w:pPr>
        <w:spacing w:after="0" w:line="116" w:lineRule="exact"/>
        <w:rPr>
          <w:sz w:val="20"/>
          <w:szCs w:val="20"/>
          <w:color w:val="auto"/>
        </w:rPr>
      </w:pPr>
    </w:p>
    <w:p>
      <w:pPr>
        <w:ind w:left="620" w:hanging="30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transaction-based costs of $2.3 million, related to payment services integrated in our cloud solutions</w:t>
      </w:r>
    </w:p>
    <w:p>
      <w:pPr>
        <w:spacing w:after="0" w:line="63" w:lineRule="exact"/>
        <w:rPr>
          <w:rFonts w:ascii="Arial" w:cs="Arial" w:eastAsia="Arial" w:hAnsi="Arial"/>
          <w:sz w:val="18"/>
          <w:szCs w:val="18"/>
          <w:color w:val="auto"/>
        </w:rPr>
      </w:pPr>
    </w:p>
    <w:p>
      <w:pPr>
        <w:ind w:left="620" w:right="40" w:hanging="30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amortization of software development costs of $1.4 million due to investments made on innovation, quality and the integration of our cloud solutions</w:t>
      </w:r>
    </w:p>
    <w:p>
      <w:pPr>
        <w:spacing w:after="0" w:line="8" w:lineRule="exact"/>
        <w:rPr>
          <w:rFonts w:ascii="Arial" w:cs="Arial" w:eastAsia="Arial" w:hAnsi="Arial"/>
          <w:sz w:val="18"/>
          <w:szCs w:val="18"/>
          <w:color w:val="auto"/>
        </w:rPr>
      </w:pPr>
    </w:p>
    <w:p>
      <w:pPr>
        <w:ind w:left="620" w:right="40" w:hanging="305"/>
        <w:spacing w:after="0" w:line="277" w:lineRule="auto"/>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third-party contractor costs of $1.2 million related to application security and partners delivering services embedded in our renewable cloud solution contracts</w:t>
      </w:r>
    </w:p>
    <w:p>
      <w:pPr>
        <w:spacing w:after="0" w:line="8" w:lineRule="exact"/>
        <w:rPr>
          <w:rFonts w:ascii="Arial" w:cs="Arial" w:eastAsia="Arial" w:hAnsi="Arial"/>
          <w:sz w:val="18"/>
          <w:szCs w:val="18"/>
          <w:color w:val="auto"/>
        </w:rPr>
      </w:pPr>
    </w:p>
    <w:p>
      <w:pPr>
        <w:ind w:left="620" w:hanging="305"/>
        <w:spacing w:after="0"/>
        <w:tabs>
          <w:tab w:leader="none" w:pos="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in data center costs as we are migrating our cloud infrastructure to leading public cloud service providers</w:t>
      </w:r>
    </w:p>
    <w:p>
      <w:pPr>
        <w:spacing w:after="0" w:line="63" w:lineRule="exact"/>
        <w:rPr>
          <w:sz w:val="20"/>
          <w:szCs w:val="20"/>
          <w:color w:val="auto"/>
        </w:rPr>
      </w:pPr>
    </w:p>
    <w:p>
      <w:pPr>
        <w:ind w:left="620" w:right="40" w:hanging="284"/>
        <w:spacing w:after="0" w:line="277" w:lineRule="auto"/>
        <w:tabs>
          <w:tab w:leader="none" w:pos="6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 in costs associated with certain retained and managed services contracts for which revenue is included in one-time services and other revenue beginning January 1, 2020, as discussed above</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0.9% decrease in recurring gross margin for the three months ended March 31, 2020, when compared to the same period in 2019, was primarily the result of incremental costs associated with our continued shift toward selling cloud solutions, including amortization of software development costs and data center costs. We expect continued pressure on recurring gross margin largely driven by duplicate data center costs as we migrate our cloud infrastructure to leading cloud service providers.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One-time services and other</w:t>
            </w:r>
          </w:p>
        </w:tc>
        <w:tc>
          <w:tcPr>
            <w:tcW w:w="2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80" w:type="dxa"/>
            <w:vAlign w:val="bottom"/>
          </w:tcPr>
          <w:p>
            <w:pPr>
              <w:spacing w:after="0"/>
              <w:rPr>
                <w:sz w:val="20"/>
                <w:szCs w:val="20"/>
                <w:color w:val="auto"/>
              </w:rPr>
            </w:pPr>
          </w:p>
        </w:tc>
      </w:tr>
      <w:tr>
        <w:trPr>
          <w:trHeight w:val="256"/>
        </w:trPr>
        <w:tc>
          <w:tcPr>
            <w:tcW w:w="2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Gross profit ($M)</w:t>
            </w:r>
          </w:p>
        </w:tc>
      </w:tr>
      <w:tr>
        <w:trPr>
          <w:trHeight w:val="230"/>
        </w:trPr>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90"/>
              </w:rPr>
              <w:t>Revenue ($M)</w:t>
            </w:r>
          </w:p>
        </w:tc>
        <w:tc>
          <w:tcPr>
            <w:tcW w:w="3180" w:type="dxa"/>
            <w:vAlign w:val="bottom"/>
            <w:gridSpan w:val="2"/>
          </w:tcPr>
          <w:p>
            <w:pPr>
              <w:jc w:val="center"/>
              <w:ind w:right="440"/>
              <w:spacing w:after="0"/>
              <w:rPr>
                <w:sz w:val="20"/>
                <w:szCs w:val="20"/>
                <w:color w:val="auto"/>
              </w:rPr>
            </w:pPr>
            <w:r>
              <w:rPr>
                <w:rFonts w:ascii="Arial" w:cs="Arial" w:eastAsia="Arial" w:hAnsi="Arial"/>
                <w:sz w:val="18"/>
                <w:szCs w:val="18"/>
                <w:b w:val="1"/>
                <w:bCs w:val="1"/>
                <w:i w:val="1"/>
                <w:iCs w:val="1"/>
                <w:color w:val="auto"/>
                <w:w w:val="88"/>
              </w:rPr>
              <w:t>Cost of revenue ($M)</w:t>
            </w:r>
          </w:p>
        </w:tc>
        <w:tc>
          <w:tcPr>
            <w:tcW w:w="288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6"/>
              </w:rPr>
              <w:t>and gross margin (%)</w:t>
            </w:r>
          </w:p>
        </w:tc>
      </w:tr>
      <w:tr>
        <w:trPr>
          <w:trHeight w:val="27"/>
        </w:trPr>
        <w:tc>
          <w:tcPr>
            <w:tcW w:w="274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r>
      <w:tr>
        <w:trPr>
          <w:trHeight w:val="251"/>
        </w:trPr>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3180" w:type="dxa"/>
            <w:vAlign w:val="bottom"/>
            <w:gridSpan w:val="2"/>
          </w:tcPr>
          <w:p>
            <w:pPr>
              <w:jc w:val="center"/>
              <w:ind w:right="440"/>
              <w:spacing w:after="0"/>
              <w:rPr>
                <w:sz w:val="20"/>
                <w:szCs w:val="20"/>
                <w:color w:val="auto"/>
              </w:rPr>
            </w:pPr>
            <w:r>
              <w:rPr>
                <w:rFonts w:ascii="Arial" w:cs="Arial" w:eastAsia="Arial" w:hAnsi="Arial"/>
                <w:sz w:val="14"/>
                <w:szCs w:val="14"/>
                <w:i w:val="1"/>
                <w:iCs w:val="1"/>
                <w:color w:val="auto"/>
                <w:w w:val="92"/>
              </w:rPr>
              <w:t>YoY Growth (%)</w:t>
            </w:r>
          </w:p>
        </w:tc>
        <w:tc>
          <w:tcPr>
            <w:tcW w:w="2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874770" cy="1423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477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fees from user conferences and third-party software referral fees.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costs of user conferences, allocated depreciation, facilities and IT support costs and amortization of intangible assets from business combinations.</w:t>
      </w:r>
    </w:p>
    <w:p>
      <w:pPr>
        <w:spacing w:after="0" w:line="34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26  </w:t>
      </w:r>
      <w:r>
        <w:rPr>
          <w:sz w:val="1"/>
          <w:szCs w:val="1"/>
          <w:color w:val="auto"/>
        </w:rPr>
        <w:drawing>
          <wp:inline distT="0" distB="0" distL="0" distR="0">
            <wp:extent cx="668655" cy="10287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One-time services and other revenue increased by $1.0 million, or 5.7%, during the three months ended March 31, 2020, when compared to the same period in 2019, driven primarily by the following:</w:t>
      </w:r>
    </w:p>
    <w:p>
      <w:pPr>
        <w:spacing w:after="0" w:line="116" w:lineRule="exact"/>
        <w:rPr>
          <w:sz w:val="20"/>
          <w:szCs w:val="20"/>
          <w:color w:val="auto"/>
        </w:rPr>
      </w:pPr>
    </w:p>
    <w:p>
      <w:pPr>
        <w:jc w:val="both"/>
        <w:ind w:left="620" w:right="40" w:hanging="305"/>
        <w:spacing w:after="0" w:line="259" w:lineRule="auto"/>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 in the mix of retained and managed services contracts we present in one-time services and other. Revenue from retained and managed service contracts that we do not expect to have a term consistent with our cloud solution contracts is included in one-time services and other revenue beginning January 1, 2020. This change in presentation resulted in a $4.3 million increase to one-time services and other revenue and an offsetting decrease in recurring revenue during the three months ended March 31, 2020.</w:t>
      </w:r>
    </w:p>
    <w:p>
      <w:pPr>
        <w:spacing w:after="0" w:line="25" w:lineRule="exact"/>
        <w:rPr>
          <w:sz w:val="20"/>
          <w:szCs w:val="20"/>
          <w:color w:val="auto"/>
        </w:rPr>
      </w:pPr>
    </w:p>
    <w:p>
      <w:pPr>
        <w:ind w:left="620" w:right="40" w:hanging="284"/>
        <w:spacing w:after="0" w:line="277"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 in one-time consulting revenue of $1.7 million. Services are increasingly embedded in our renewable cloud solution contracts. Our embedded services are recorded as recurring revenue.</w:t>
      </w:r>
    </w:p>
    <w:p>
      <w:pPr>
        <w:spacing w:after="0" w:line="8" w:lineRule="exact"/>
        <w:rPr>
          <w:rFonts w:ascii="Arial" w:cs="Arial" w:eastAsia="Arial" w:hAnsi="Arial"/>
          <w:sz w:val="18"/>
          <w:szCs w:val="18"/>
          <w:color w:val="auto"/>
        </w:rPr>
      </w:pPr>
    </w:p>
    <w:p>
      <w:pPr>
        <w:ind w:left="620" w:hanging="284"/>
        <w:spacing w:after="0"/>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 in one-time analytics revenue of $0.9 million as analytics are generally integrated in our cloud solutions</w:t>
      </w:r>
    </w:p>
    <w:p>
      <w:pPr>
        <w:spacing w:after="0" w:line="1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one-time services and other increased by $0.7 million, or 5.1%, during the three months ended March 31, 2020, when compared to the same period in 2019, driven primarily by the following:</w:t>
      </w:r>
    </w:p>
    <w:p>
      <w:pPr>
        <w:spacing w:after="0" w:line="116" w:lineRule="exact"/>
        <w:rPr>
          <w:sz w:val="20"/>
          <w:szCs w:val="20"/>
          <w:color w:val="auto"/>
        </w:rPr>
      </w:pPr>
    </w:p>
    <w:p>
      <w:pPr>
        <w:ind w:left="620" w:right="40" w:hanging="305"/>
        <w:spacing w:after="0" w:line="277" w:lineRule="auto"/>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costs of associated with certain retained and managed services contracts for which revenue is included in one-time services and other revenue beginning January 1, 2020, as discussed above</w:t>
      </w:r>
    </w:p>
    <w:p>
      <w:pPr>
        <w:spacing w:after="0" w:line="8" w:lineRule="exact"/>
        <w:rPr>
          <w:rFonts w:ascii="Arial" w:cs="Arial" w:eastAsia="Arial" w:hAnsi="Arial"/>
          <w:sz w:val="18"/>
          <w:szCs w:val="18"/>
          <w:color w:val="auto"/>
        </w:rPr>
      </w:pPr>
    </w:p>
    <w:p>
      <w:pPr>
        <w:ind w:left="620" w:hanging="305"/>
        <w:spacing w:after="0"/>
        <w:tabs>
          <w:tab w:leader="none" w:pos="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in third-party contractor costs of $0.9 million, related to partners delivering services</w:t>
      </w:r>
    </w:p>
    <w:p>
      <w:pPr>
        <w:spacing w:after="0" w:line="63" w:lineRule="exact"/>
        <w:rPr>
          <w:sz w:val="20"/>
          <w:szCs w:val="20"/>
          <w:color w:val="auto"/>
        </w:rPr>
      </w:pPr>
    </w:p>
    <w:p>
      <w:pPr>
        <w:ind w:left="620" w:right="40" w:hanging="279"/>
        <w:spacing w:after="0" w:line="277" w:lineRule="auto"/>
        <w:tabs>
          <w:tab w:leader="none" w:pos="600" w:val="left"/>
        </w:tabs>
        <w:rPr>
          <w:sz w:val="20"/>
          <w:szCs w:val="20"/>
          <w:color w:val="auto"/>
        </w:rPr>
      </w:pPr>
      <w:r>
        <w:rPr>
          <w:rFonts w:ascii="Arial" w:cs="Arial" w:eastAsia="Arial" w:hAnsi="Arial"/>
          <w:sz w:val="18"/>
          <w:szCs w:val="18"/>
          <w:color w:val="auto"/>
        </w:rPr>
        <w:t>-</w:t>
        <w:tab/>
        <w:t>Reduced amount of compensation costs primarily associated with the decision to replace our 2020 cash bonus plans with grants of performance-based equity awards</w:t>
      </w:r>
    </w:p>
    <w:p>
      <w:pPr>
        <w:spacing w:after="0" w:line="14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0.5% increase in one-time services and other gross margin during the three months ended March 31, 2020, when compared to the same period in 2019, was primarily the result of the decision to replace our 2020 cash bonus plans with grants of performance-based equity awards.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20" w:type="dxa"/>
            <w:vAlign w:val="bottom"/>
          </w:tcPr>
          <w:p>
            <w:pPr>
              <w:jc w:val="center"/>
              <w:ind w:left="30"/>
              <w:spacing w:after="0"/>
              <w:rPr>
                <w:sz w:val="20"/>
                <w:szCs w:val="20"/>
                <w:color w:val="auto"/>
              </w:rPr>
            </w:pPr>
            <w:r>
              <w:rPr>
                <w:rFonts w:ascii="Arial" w:cs="Arial" w:eastAsia="Arial" w:hAnsi="Arial"/>
                <w:sz w:val="18"/>
                <w:szCs w:val="18"/>
                <w:b w:val="1"/>
                <w:bCs w:val="1"/>
                <w:i w:val="1"/>
                <w:iCs w:val="1"/>
                <w:color w:val="auto"/>
                <w:w w:val="87"/>
              </w:rPr>
              <w:t>Sales, marketing and</w:t>
            </w:r>
          </w:p>
        </w:tc>
        <w:tc>
          <w:tcPr>
            <w:tcW w:w="378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30"/>
        </w:trPr>
        <w:tc>
          <w:tcPr>
            <w:tcW w:w="2620" w:type="dxa"/>
            <w:vAlign w:val="bottom"/>
          </w:tcPr>
          <w:p>
            <w:pPr>
              <w:jc w:val="center"/>
              <w:ind w:left="30"/>
              <w:spacing w:after="0"/>
              <w:rPr>
                <w:sz w:val="20"/>
                <w:szCs w:val="20"/>
                <w:color w:val="auto"/>
              </w:rPr>
            </w:pPr>
            <w:r>
              <w:rPr>
                <w:rFonts w:ascii="Arial" w:cs="Arial" w:eastAsia="Arial" w:hAnsi="Arial"/>
                <w:sz w:val="18"/>
                <w:szCs w:val="18"/>
                <w:b w:val="1"/>
                <w:bCs w:val="1"/>
                <w:i w:val="1"/>
                <w:iCs w:val="1"/>
                <w:color w:val="auto"/>
                <w:w w:val="85"/>
              </w:rPr>
              <w:t>customer success ($M)</w:t>
            </w:r>
          </w:p>
        </w:tc>
        <w:tc>
          <w:tcPr>
            <w:tcW w:w="3780" w:type="dxa"/>
            <w:vAlign w:val="bottom"/>
          </w:tcPr>
          <w:p>
            <w:pPr>
              <w:ind w:left="720"/>
              <w:spacing w:after="0"/>
              <w:rPr>
                <w:sz w:val="20"/>
                <w:szCs w:val="20"/>
                <w:color w:val="auto"/>
              </w:rPr>
            </w:pPr>
            <w:r>
              <w:rPr>
                <w:rFonts w:ascii="Arial" w:cs="Arial" w:eastAsia="Arial" w:hAnsi="Arial"/>
                <w:sz w:val="18"/>
                <w:szCs w:val="18"/>
                <w:b w:val="1"/>
                <w:bCs w:val="1"/>
                <w:i w:val="1"/>
                <w:iCs w:val="1"/>
                <w:color w:val="auto"/>
              </w:rPr>
              <w:t>Research and development ($M)</w:t>
            </w:r>
          </w:p>
        </w:tc>
        <w:tc>
          <w:tcPr>
            <w:tcW w:w="2820" w:type="dxa"/>
            <w:vAlign w:val="bottom"/>
          </w:tcPr>
          <w:p>
            <w:pPr>
              <w:ind w:left="180"/>
              <w:spacing w:after="0"/>
              <w:rPr>
                <w:sz w:val="20"/>
                <w:szCs w:val="20"/>
                <w:color w:val="auto"/>
              </w:rPr>
            </w:pPr>
            <w:r>
              <w:rPr>
                <w:rFonts w:ascii="Arial" w:cs="Arial" w:eastAsia="Arial" w:hAnsi="Arial"/>
                <w:sz w:val="18"/>
                <w:szCs w:val="18"/>
                <w:b w:val="1"/>
                <w:bCs w:val="1"/>
                <w:i w:val="1"/>
                <w:iCs w:val="1"/>
                <w:color w:val="auto"/>
                <w:w w:val="95"/>
              </w:rPr>
              <w:t>General and administrative ($M)</w:t>
            </w:r>
          </w:p>
        </w:tc>
      </w:tr>
      <w:tr>
        <w:trPr>
          <w:trHeight w:val="27"/>
        </w:trPr>
        <w:tc>
          <w:tcPr>
            <w:tcW w:w="2620" w:type="dxa"/>
            <w:vAlign w:val="bottom"/>
            <w:tcBorders>
              <w:bottom w:val="single" w:sz="8" w:color="auto"/>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tcPr>
          <w:p>
            <w:pPr>
              <w:spacing w:after="0"/>
              <w:rPr>
                <w:sz w:val="2"/>
                <w:szCs w:val="2"/>
                <w:color w:val="auto"/>
              </w:rPr>
            </w:pPr>
          </w:p>
        </w:tc>
      </w:tr>
      <w:tr>
        <w:trPr>
          <w:trHeight w:val="167"/>
        </w:trPr>
        <w:tc>
          <w:tcPr>
            <w:tcW w:w="2620" w:type="dxa"/>
            <w:vAlign w:val="bottom"/>
          </w:tcPr>
          <w:p>
            <w:pPr>
              <w:spacing w:after="0"/>
              <w:rPr>
                <w:sz w:val="14"/>
                <w:szCs w:val="14"/>
                <w:color w:val="auto"/>
              </w:rPr>
            </w:pPr>
          </w:p>
        </w:tc>
        <w:tc>
          <w:tcPr>
            <w:tcW w:w="3780" w:type="dxa"/>
            <w:vAlign w:val="bottom"/>
          </w:tcPr>
          <w:p>
            <w:pPr>
              <w:ind w:left="420"/>
              <w:spacing w:after="0"/>
              <w:rPr>
                <w:sz w:val="20"/>
                <w:szCs w:val="20"/>
                <w:color w:val="auto"/>
              </w:rPr>
            </w:pPr>
            <w:r>
              <w:rPr>
                <w:rFonts w:ascii="Arial" w:cs="Arial" w:eastAsia="Arial" w:hAnsi="Arial"/>
                <w:sz w:val="13"/>
                <w:szCs w:val="13"/>
                <w:i w:val="1"/>
                <w:iCs w:val="1"/>
                <w:color w:val="auto"/>
                <w:w w:val="90"/>
              </w:rPr>
              <w:t>Percentages indicate expenses as a percentage of total revenue</w:t>
            </w:r>
          </w:p>
        </w:tc>
        <w:tc>
          <w:tcPr>
            <w:tcW w:w="28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marketing and customer success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see a large market opportunity and continue to make investments to improve market coverage and drive sales effectiveness, which is a component of our four-point growth strategy. We have also implemented software tools to enhance our digital footprint and drive lead generation. Sales, marketing and customer success expenses increased by $3.3 million, or 5.9%, during the three months ended March 31, 2020, when compared to the same period in 2019. The increases in dollars and as a percentage of total revenue were primarily driven by an increase in compensation costs of $2.6 million primarily associated with the elevated headcount of our direct sales force and our lead generation teams, beginning in the fourth quarter of 2018. The increase in compensation costs related to elevated headcount was partially</w:t>
      </w:r>
    </w:p>
    <w:p>
      <w:pPr>
        <w:spacing w:after="0" w:line="354"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27</w:t>
      </w:r>
    </w:p>
    <w:p>
      <w:pPr>
        <w:sectPr>
          <w:pgSz w:w="11900" w:h="16838" w:orient="portrait"/>
          <w:cols w:equalWidth="0" w:num="1">
            <w:col w:w="11240"/>
          </w:cols>
          <w:pgMar w:left="320" w:top="118"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offset by the decision in March 2020 to replace our 2020 cash bonus plans with grants of performance-based equity awards.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continue to make investments to delight our customers with innovative cloud solutions, which is a component of our four-point growth strategy. Research and development expenses decreased by $3.5 million, or 12.2%, during the three months ended March 31, 2020, when compared to the same period in 2019, primarily driven by the following:</w:t>
      </w:r>
    </w:p>
    <w:p>
      <w:pPr>
        <w:spacing w:after="0" w:line="130" w:lineRule="exact"/>
        <w:rPr>
          <w:sz w:val="20"/>
          <w:szCs w:val="20"/>
          <w:color w:val="auto"/>
        </w:rPr>
      </w:pPr>
    </w:p>
    <w:p>
      <w:pPr>
        <w:ind w:left="620" w:right="40" w:hanging="28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compensation costs of $1.8 million primarily associated with the decision in March 2020 to replace our 2020 cash bonus plans with grants of performance-based equity awards</w:t>
      </w:r>
    </w:p>
    <w:p>
      <w:pPr>
        <w:spacing w:after="0" w:line="8" w:lineRule="exact"/>
        <w:rPr>
          <w:rFonts w:ascii="Arial" w:cs="Arial" w:eastAsia="Arial" w:hAnsi="Arial"/>
          <w:sz w:val="18"/>
          <w:szCs w:val="18"/>
          <w:color w:val="auto"/>
        </w:rPr>
      </w:pPr>
    </w:p>
    <w:p>
      <w:pPr>
        <w:ind w:left="620" w:right="40" w:hanging="284"/>
        <w:spacing w:after="0" w:line="277" w:lineRule="auto"/>
        <w:tabs>
          <w:tab w:leader="none" w:pos="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 in employee severance costs of $1.2 million related to the elimination of certain roles within the company, most of which occurred during the first quarter of 2019</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 included in research and development expense for 2020 and 2019 were $10.8 million and $11.1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 We expect that the amount of software development costs capitalized will be relatively consistent in the near-term as we continue making investments in innovation, quality and the integration of our solutions, which we believe will drive long-term revenue growth.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General and administrative expenses decreased by $1.3 million, or 4.7%, during the three months ended March 31, 2020, when compared to the same period in 2019, primarily driven by the following:</w:t>
      </w:r>
    </w:p>
    <w:p>
      <w:pPr>
        <w:spacing w:after="0" w:line="116" w:lineRule="exact"/>
        <w:rPr>
          <w:sz w:val="20"/>
          <w:szCs w:val="20"/>
          <w:color w:val="auto"/>
        </w:rPr>
      </w:pPr>
    </w:p>
    <w:p>
      <w:pPr>
        <w:ind w:left="620" w:hanging="305"/>
        <w:spacing w:after="0"/>
        <w:tabs>
          <w:tab w:leader="none" w:pos="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 in corporate IT costs of $0.8M, including cyber security investments</w:t>
      </w:r>
    </w:p>
    <w:p>
      <w:pPr>
        <w:spacing w:after="0" w:line="63" w:lineRule="exact"/>
        <w:rPr>
          <w:sz w:val="20"/>
          <w:szCs w:val="20"/>
          <w:color w:val="auto"/>
        </w:rPr>
      </w:pPr>
    </w:p>
    <w:p>
      <w:pPr>
        <w:ind w:left="620" w:right="40" w:hanging="284"/>
        <w:spacing w:after="0" w:line="277"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Reduced amount of compensation costs primarily associated with the decision in March 2020 to replace our 2020 cash bonus plans with grants of performance-based equity awards</w:t>
      </w:r>
    </w:p>
    <w:p>
      <w:pPr>
        <w:spacing w:after="0" w:line="8" w:lineRule="exact"/>
        <w:rPr>
          <w:rFonts w:ascii="Arial" w:cs="Arial" w:eastAsia="Arial" w:hAnsi="Arial"/>
          <w:sz w:val="18"/>
          <w:szCs w:val="18"/>
          <w:color w:val="auto"/>
        </w:rPr>
      </w:pPr>
    </w:p>
    <w:p>
      <w:pPr>
        <w:ind w:left="620" w:hanging="284"/>
        <w:spacing w:after="0"/>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 in acquisition-related expenses and integration costs of $1.1 million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2017, in an effort to further our organizational objectives, including improved operating efficiency, customer outcomes and employee satisfaction, we initiated a multi-year plan to consolidate and relocate some of our existing offices to highly modern and more collaborative workspaces with short-term financial commitments, which was substantially completed as of December 2019. We incurred $2.0 million in before-tax restructuring charges related to our facilities optimization plan during the three months ended March 31, 2019. Such charges during the three months ended March 31, 2020 were insignificant.</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28  </w:t>
      </w:r>
      <w:r>
        <w:rPr>
          <w:sz w:val="1"/>
          <w:szCs w:val="1"/>
          <w:color w:val="auto"/>
        </w:rPr>
        <w:drawing>
          <wp:inline distT="0" distB="0" distL="0" distR="0">
            <wp:extent cx="668655" cy="10287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683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9"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60" w:type="dxa"/>
            <w:vAlign w:val="bottom"/>
          </w:tcPr>
          <w:p>
            <w:pPr>
              <w:jc w:val="right"/>
              <w:ind w:right="162"/>
              <w:spacing w:after="0"/>
              <w:rPr>
                <w:sz w:val="20"/>
                <w:szCs w:val="20"/>
                <w:color w:val="auto"/>
              </w:rPr>
            </w:pPr>
            <w:r>
              <w:rPr>
                <w:rFonts w:ascii="Arial" w:cs="Arial" w:eastAsia="Arial" w:hAnsi="Arial"/>
                <w:sz w:val="14"/>
                <w:szCs w:val="14"/>
                <w:b w:val="1"/>
                <w:bCs w:val="1"/>
                <w:color w:val="FFFFFF"/>
              </w:rPr>
              <w:t>March 31,</w:t>
            </w:r>
          </w:p>
        </w:tc>
      </w:tr>
      <w:tr>
        <w:trPr>
          <w:trHeight w:val="229"/>
        </w:trPr>
        <w:tc>
          <w:tcPr>
            <w:tcW w:w="76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20" w:type="dxa"/>
            <w:vAlign w:val="bottom"/>
            <w:shd w:val="clear" w:color="auto" w:fill="ACACAC"/>
          </w:tcPr>
          <w:p>
            <w:pPr>
              <w:spacing w:after="0"/>
              <w:rPr>
                <w:sz w:val="19"/>
                <w:szCs w:val="19"/>
                <w:color w:val="auto"/>
              </w:rPr>
            </w:pPr>
          </w:p>
        </w:tc>
        <w:tc>
          <w:tcPr>
            <w:tcW w:w="940" w:type="dxa"/>
            <w:vAlign w:val="bottom"/>
            <w:shd w:val="clear" w:color="auto" w:fill="ACACAC"/>
          </w:tcPr>
          <w:p>
            <w:pPr>
              <w:jc w:val="right"/>
              <w:ind w:right="276"/>
              <w:spacing w:after="0"/>
              <w:rPr>
                <w:sz w:val="20"/>
                <w:szCs w:val="20"/>
                <w:color w:val="auto"/>
              </w:rPr>
            </w:pPr>
            <w:r>
              <w:rPr>
                <w:rFonts w:ascii="Arial" w:cs="Arial" w:eastAsia="Arial" w:hAnsi="Arial"/>
                <w:sz w:val="14"/>
                <w:szCs w:val="14"/>
                <w:b w:val="1"/>
                <w:bCs w:val="1"/>
                <w:color w:val="FFFFFF"/>
              </w:rPr>
              <w:t>2019</w:t>
            </w:r>
          </w:p>
        </w:tc>
        <w:tc>
          <w:tcPr>
            <w:tcW w:w="106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6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4.2</w:t>
            </w:r>
          </w:p>
        </w:tc>
        <w:tc>
          <w:tcPr>
            <w:tcW w:w="420" w:type="dxa"/>
            <w:vAlign w:val="bottom"/>
            <w:tcBorders>
              <w:bottom w:val="single" w:sz="8" w:color="F4F4F4"/>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ind w:right="276"/>
              <w:spacing w:after="0"/>
              <w:rPr>
                <w:sz w:val="20"/>
                <w:szCs w:val="20"/>
                <w:color w:val="auto"/>
              </w:rPr>
            </w:pPr>
            <w:r>
              <w:rPr>
                <w:rFonts w:ascii="Arial" w:cs="Arial" w:eastAsia="Arial" w:hAnsi="Arial"/>
                <w:sz w:val="18"/>
                <w:szCs w:val="18"/>
                <w:color w:val="auto"/>
              </w:rPr>
              <w:t>5.3</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 of total revenue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420" w:type="dxa"/>
            <w:vAlign w:val="bottom"/>
          </w:tcPr>
          <w:p>
            <w:pPr>
              <w:spacing w:after="0"/>
              <w:rPr>
                <w:sz w:val="21"/>
                <w:szCs w:val="21"/>
                <w:color w:val="auto"/>
              </w:rPr>
            </w:pPr>
          </w:p>
        </w:tc>
        <w:tc>
          <w:tcPr>
            <w:tcW w:w="940" w:type="dxa"/>
            <w:vAlign w:val="bottom"/>
          </w:tcPr>
          <w:p>
            <w:pPr>
              <w:jc w:val="right"/>
              <w:ind w:right="116"/>
              <w:spacing w:after="0"/>
              <w:rPr>
                <w:sz w:val="20"/>
                <w:szCs w:val="20"/>
                <w:color w:val="auto"/>
              </w:rPr>
            </w:pPr>
            <w:r>
              <w:rPr>
                <w:rFonts w:ascii="Arial" w:cs="Arial" w:eastAsia="Arial" w:hAnsi="Arial"/>
                <w:sz w:val="18"/>
                <w:szCs w:val="18"/>
                <w:color w:val="auto"/>
              </w:rPr>
              <w:t>2.5%</w:t>
            </w:r>
          </w:p>
        </w:tc>
        <w:tc>
          <w:tcPr>
            <w:tcW w:w="1060" w:type="dxa"/>
            <w:vAlign w:val="bottom"/>
          </w:tcPr>
          <w:p>
            <w:pPr>
              <w:spacing w:after="0"/>
              <w:rPr>
                <w:sz w:val="21"/>
                <w:szCs w:val="21"/>
                <w:color w:val="auto"/>
              </w:rPr>
            </w:pPr>
          </w:p>
        </w:tc>
      </w:tr>
      <w:tr>
        <w:trPr>
          <w:trHeight w:val="27"/>
        </w:trPr>
        <w:tc>
          <w:tcPr>
            <w:tcW w:w="764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780" w:type="dxa"/>
            <w:vAlign w:val="bottom"/>
            <w:tcBorders>
              <w:bottom w:val="single" w:sz="8" w:color="71BF43"/>
            </w:tcBorders>
          </w:tcPr>
          <w:p>
            <w:pPr>
              <w:spacing w:after="0"/>
              <w:rPr>
                <w:sz w:val="2"/>
                <w:szCs w:val="2"/>
                <w:color w:val="auto"/>
              </w:rPr>
            </w:pPr>
          </w:p>
        </w:tc>
        <w:tc>
          <w:tcPr>
            <w:tcW w:w="420" w:type="dxa"/>
            <w:vAlign w:val="bottom"/>
            <w:tcBorders>
              <w:bottom w:val="single" w:sz="8" w:color="71BF43"/>
            </w:tcBorders>
          </w:tcPr>
          <w:p>
            <w:pPr>
              <w:spacing w:after="0"/>
              <w:rPr>
                <w:sz w:val="2"/>
                <w:szCs w:val="2"/>
                <w:color w:val="auto"/>
              </w:rPr>
            </w:pPr>
          </w:p>
        </w:tc>
        <w:tc>
          <w:tcPr>
            <w:tcW w:w="94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interest expense in dollars and as a percentage of total revenue during the three months ended March 31, 2020, when compared to the same period in 2019, was primarily due to decreases in our average daily borrowings and our weighted average effective interest rates.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20" w:type="dxa"/>
            <w:vAlign w:val="bottom"/>
            <w:gridSpan w:val="2"/>
            <w:vMerge w:val="restart"/>
            <w:shd w:val="clear" w:color="auto" w:fill="ACACAC"/>
          </w:tcPr>
          <w:p>
            <w:pPr>
              <w:jc w:val="right"/>
              <w:ind w:right="380"/>
              <w:spacing w:after="0"/>
              <w:rPr>
                <w:sz w:val="20"/>
                <w:szCs w:val="20"/>
                <w:color w:val="auto"/>
              </w:rPr>
            </w:pPr>
            <w:r>
              <w:rPr>
                <w:rFonts w:ascii="Arial" w:cs="Arial" w:eastAsia="Arial" w:hAnsi="Arial"/>
                <w:sz w:val="14"/>
                <w:szCs w:val="14"/>
                <w:b w:val="1"/>
                <w:bCs w:val="1"/>
                <w:color w:val="FFFFFF"/>
              </w:rPr>
              <w:t>Timing of recognition</w:t>
            </w:r>
          </w:p>
        </w:tc>
        <w:tc>
          <w:tcPr>
            <w:tcW w:w="96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March 31,</w:t>
            </w:r>
          </w:p>
        </w:tc>
        <w:tc>
          <w:tcPr>
            <w:tcW w:w="28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55"/>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vMerge w:val="restart"/>
            <w:shd w:val="clear" w:color="auto" w:fill="ACACAC"/>
          </w:tcPr>
          <w:p>
            <w:pPr>
              <w:jc w:val="right"/>
              <w:ind w:right="153"/>
              <w:spacing w:after="0"/>
              <w:rPr>
                <w:sz w:val="20"/>
                <w:szCs w:val="20"/>
                <w:color w:val="auto"/>
              </w:rPr>
            </w:pPr>
            <w:r>
              <w:rPr>
                <w:rFonts w:ascii="Arial" w:cs="Arial" w:eastAsia="Arial" w:hAnsi="Arial"/>
                <w:sz w:val="14"/>
                <w:szCs w:val="14"/>
                <w:b w:val="1"/>
                <w:bCs w:val="1"/>
                <w:color w:val="FFFFFF"/>
              </w:rPr>
              <w:t>Change</w:t>
            </w:r>
          </w:p>
        </w:tc>
        <w:tc>
          <w:tcPr>
            <w:tcW w:w="0" w:type="dxa"/>
            <w:vAlign w:val="bottom"/>
          </w:tcPr>
          <w:p>
            <w:pPr>
              <w:spacing w:after="0"/>
              <w:rPr>
                <w:sz w:val="1"/>
                <w:szCs w:val="1"/>
                <w:color w:val="auto"/>
              </w:rPr>
            </w:pPr>
          </w:p>
        </w:tc>
      </w:tr>
      <w:tr>
        <w:trPr>
          <w:trHeight w:val="198"/>
        </w:trPr>
        <w:tc>
          <w:tcPr>
            <w:tcW w:w="3140" w:type="dxa"/>
            <w:vAlign w:val="bottom"/>
            <w:vMerge w:val="continue"/>
            <w:shd w:val="clear" w:color="auto" w:fill="ACACAC"/>
          </w:tcPr>
          <w:p>
            <w:pPr>
              <w:spacing w:after="0"/>
              <w:rPr>
                <w:sz w:val="17"/>
                <w:szCs w:val="17"/>
                <w:color w:val="auto"/>
              </w:rPr>
            </w:pPr>
          </w:p>
        </w:tc>
        <w:tc>
          <w:tcPr>
            <w:tcW w:w="4620" w:type="dxa"/>
            <w:vAlign w:val="bottom"/>
            <w:gridSpan w:val="2"/>
            <w:vMerge w:val="continue"/>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8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15"/>
              <w:spacing w:after="0"/>
              <w:rPr>
                <w:sz w:val="20"/>
                <w:szCs w:val="20"/>
                <w:color w:val="auto"/>
              </w:rPr>
            </w:pPr>
            <w:r>
              <w:rPr>
                <w:rFonts w:ascii="Arial" w:cs="Arial" w:eastAsia="Arial" w:hAnsi="Arial"/>
                <w:sz w:val="14"/>
                <w:szCs w:val="14"/>
                <w:b w:val="1"/>
                <w:bCs w:val="1"/>
                <w:color w:val="FFFFFF"/>
              </w:rPr>
              <w:t>2019</w:t>
            </w:r>
          </w:p>
        </w:tc>
        <w:tc>
          <w:tcPr>
            <w:tcW w:w="114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F4F4F4"/>
          </w:tcPr>
          <w:p>
            <w:pPr>
              <w:ind w:left="40"/>
              <w:spacing w:after="0"/>
              <w:rPr>
                <w:sz w:val="20"/>
                <w:szCs w:val="20"/>
                <w:color w:val="auto"/>
              </w:rPr>
            </w:pPr>
            <w:r>
              <w:rPr>
                <w:rFonts w:ascii="Arial" w:cs="Arial" w:eastAsia="Arial" w:hAnsi="Arial"/>
                <w:sz w:val="18"/>
                <w:szCs w:val="18"/>
                <w:color w:val="auto"/>
              </w:rPr>
              <w:t>Recurring</w:t>
            </w:r>
          </w:p>
        </w:tc>
        <w:tc>
          <w:tcPr>
            <w:tcW w:w="4620" w:type="dxa"/>
            <w:vAlign w:val="bottom"/>
            <w:gridSpan w:val="2"/>
            <w:shd w:val="clear" w:color="auto" w:fill="F4F4F4"/>
          </w:tcPr>
          <w:p>
            <w:pPr>
              <w:jc w:val="right"/>
              <w:ind w:right="380"/>
              <w:spacing w:after="0"/>
              <w:rPr>
                <w:sz w:val="20"/>
                <w:szCs w:val="20"/>
                <w:color w:val="auto"/>
              </w:rPr>
            </w:pPr>
            <w:r>
              <w:rPr>
                <w:rFonts w:ascii="Arial" w:cs="Arial" w:eastAsia="Arial" w:hAnsi="Arial"/>
                <w:sz w:val="18"/>
                <w:szCs w:val="18"/>
                <w:color w:val="auto"/>
              </w:rPr>
              <w:t>Over the period billed in advance, generally</w:t>
            </w:r>
          </w:p>
        </w:tc>
        <w:tc>
          <w:tcPr>
            <w:tcW w:w="96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100" w:type="dxa"/>
            <w:vAlign w:val="bottom"/>
            <w:shd w:val="clear" w:color="auto" w:fill="F4F4F4"/>
          </w:tcPr>
          <w:p>
            <w:pPr>
              <w:spacing w:after="0"/>
              <w:rPr>
                <w:sz w:val="19"/>
                <w:szCs w:val="19"/>
                <w:color w:val="auto"/>
              </w:rPr>
            </w:pPr>
          </w:p>
        </w:tc>
        <w:tc>
          <w:tcPr>
            <w:tcW w:w="114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40" w:type="dxa"/>
            <w:vAlign w:val="bottom"/>
            <w:tcBorders>
              <w:bottom w:val="single" w:sz="8" w:color="F4F4F4"/>
            </w:tcBorders>
            <w:shd w:val="clear" w:color="auto" w:fill="F4F4F4"/>
          </w:tcPr>
          <w:p>
            <w:pPr>
              <w:spacing w:after="0"/>
              <w:rPr>
                <w:sz w:val="20"/>
                <w:szCs w:val="20"/>
                <w:color w:val="auto"/>
              </w:rPr>
            </w:pPr>
          </w:p>
        </w:tc>
        <w:tc>
          <w:tcPr>
            <w:tcW w:w="462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one year $</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277.2</w:t>
            </w:r>
          </w:p>
        </w:tc>
        <w:tc>
          <w:tcPr>
            <w:tcW w:w="28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302.8</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One-time services and other</w:t>
            </w:r>
          </w:p>
        </w:tc>
        <w:tc>
          <w:tcPr>
            <w:tcW w:w="4620" w:type="dxa"/>
            <w:vAlign w:val="bottom"/>
            <w:gridSpan w:val="2"/>
          </w:tcPr>
          <w:p>
            <w:pPr>
              <w:jc w:val="right"/>
              <w:ind w:right="380"/>
              <w:spacing w:after="0"/>
              <w:rPr>
                <w:sz w:val="20"/>
                <w:szCs w:val="20"/>
                <w:color w:val="auto"/>
              </w:rPr>
            </w:pPr>
            <w:r>
              <w:rPr>
                <w:rFonts w:ascii="Arial" w:cs="Arial" w:eastAsia="Arial" w:hAnsi="Arial"/>
                <w:sz w:val="18"/>
                <w:szCs w:val="18"/>
                <w:color w:val="auto"/>
              </w:rPr>
              <w:t>As services are delivered</w:t>
            </w:r>
          </w:p>
        </w:tc>
        <w:tc>
          <w:tcPr>
            <w:tcW w:w="960" w:type="dxa"/>
            <w:vAlign w:val="bottom"/>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13.4</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3140" w:type="dxa"/>
            <w:vAlign w:val="bottom"/>
            <w:tcBorders>
              <w:bottom w:val="single" w:sz="8" w:color="F4F4F4"/>
            </w:tcBorders>
          </w:tcPr>
          <w:p>
            <w:pPr>
              <w:spacing w:after="0"/>
              <w:rPr>
                <w:sz w:val="2"/>
                <w:szCs w:val="2"/>
                <w:color w:val="auto"/>
              </w:rPr>
            </w:pPr>
          </w:p>
        </w:tc>
        <w:tc>
          <w:tcPr>
            <w:tcW w:w="426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shd w:val="clear" w:color="auto" w:fill="F4F4F4"/>
          </w:tcPr>
          <w:p>
            <w:pPr>
              <w:ind w:left="180"/>
              <w:spacing w:after="0" w:line="263" w:lineRule="exact"/>
              <w:rPr>
                <w:sz w:val="20"/>
                <w:szCs w:val="20"/>
                <w:color w:val="auto"/>
              </w:rPr>
            </w:pPr>
            <w:r>
              <w:rPr>
                <w:rFonts w:ascii="Arial" w:cs="Arial" w:eastAsia="Arial" w:hAnsi="Arial"/>
                <w:sz w:val="18"/>
                <w:szCs w:val="18"/>
                <w:color w:val="auto"/>
              </w:rPr>
              <w:t>Total deferred revenue</w:t>
            </w:r>
            <w:r>
              <w:rPr>
                <w:rFonts w:ascii="Arial" w:cs="Arial" w:eastAsia="Arial" w:hAnsi="Arial"/>
                <w:sz w:val="29"/>
                <w:szCs w:val="29"/>
                <w:color w:val="auto"/>
                <w:vertAlign w:val="superscript"/>
              </w:rPr>
              <w:t>(1)</w:t>
            </w:r>
          </w:p>
        </w:tc>
        <w:tc>
          <w:tcPr>
            <w:tcW w:w="4260" w:type="dxa"/>
            <w:vAlign w:val="bottom"/>
            <w:shd w:val="clear" w:color="auto" w:fill="F4F4F4"/>
          </w:tcPr>
          <w:p>
            <w:pPr>
              <w:spacing w:after="0"/>
              <w:rPr>
                <w:sz w:val="22"/>
                <w:szCs w:val="22"/>
                <w:color w:val="auto"/>
              </w:rPr>
            </w:pPr>
          </w:p>
        </w:tc>
        <w:tc>
          <w:tcPr>
            <w:tcW w:w="360" w:type="dxa"/>
            <w:vAlign w:val="bottom"/>
            <w:shd w:val="clear" w:color="auto" w:fill="F4F4F4"/>
          </w:tcPr>
          <w:p>
            <w:pPr>
              <w:spacing w:after="0"/>
              <w:rPr>
                <w:sz w:val="22"/>
                <w:szCs w:val="22"/>
                <w:color w:val="auto"/>
              </w:rPr>
            </w:pP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290.4</w:t>
            </w:r>
          </w:p>
        </w:tc>
        <w:tc>
          <w:tcPr>
            <w:tcW w:w="280" w:type="dxa"/>
            <w:vAlign w:val="bottom"/>
            <w:shd w:val="clear" w:color="auto" w:fill="F4F4F4"/>
          </w:tcPr>
          <w:p>
            <w:pPr>
              <w:spacing w:after="0"/>
              <w:rPr>
                <w:sz w:val="22"/>
                <w:szCs w:val="22"/>
                <w:color w:val="auto"/>
              </w:rPr>
            </w:pPr>
          </w:p>
        </w:tc>
        <w:tc>
          <w:tcPr>
            <w:tcW w:w="1100" w:type="dxa"/>
            <w:vAlign w:val="bottom"/>
            <w:shd w:val="clear" w:color="auto" w:fill="F4F4F4"/>
          </w:tcPr>
          <w:p>
            <w:pPr>
              <w:jc w:val="right"/>
              <w:ind w:right="15"/>
              <w:spacing w:after="0"/>
              <w:rPr>
                <w:sz w:val="20"/>
                <w:szCs w:val="20"/>
                <w:color w:val="auto"/>
              </w:rPr>
            </w:pPr>
            <w:r>
              <w:rPr>
                <w:rFonts w:ascii="Arial" w:cs="Arial" w:eastAsia="Arial" w:hAnsi="Arial"/>
                <w:sz w:val="18"/>
                <w:szCs w:val="18"/>
                <w:color w:val="auto"/>
              </w:rPr>
              <w:t>316.1</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Less: Long-term portion</w:t>
            </w:r>
          </w:p>
        </w:tc>
        <w:tc>
          <w:tcPr>
            <w:tcW w:w="4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w:t>
            </w:r>
          </w:p>
        </w:tc>
        <w:tc>
          <w:tcPr>
            <w:tcW w:w="11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3140" w:type="dxa"/>
            <w:vAlign w:val="bottom"/>
            <w:tcBorders>
              <w:bottom w:val="single" w:sz="8" w:color="F4F4F4"/>
            </w:tcBorders>
          </w:tcPr>
          <w:p>
            <w:pPr>
              <w:spacing w:after="0"/>
              <w:rPr>
                <w:sz w:val="2"/>
                <w:szCs w:val="2"/>
                <w:color w:val="auto"/>
              </w:rPr>
            </w:pPr>
          </w:p>
        </w:tc>
        <w:tc>
          <w:tcPr>
            <w:tcW w:w="426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40" w:type="dxa"/>
            <w:vAlign w:val="bottom"/>
            <w:shd w:val="clear" w:color="auto" w:fill="F4F4F4"/>
          </w:tcPr>
          <w:p>
            <w:pPr>
              <w:ind w:left="40"/>
              <w:spacing w:after="0" w:line="263" w:lineRule="exact"/>
              <w:rPr>
                <w:sz w:val="20"/>
                <w:szCs w:val="20"/>
                <w:color w:val="auto"/>
              </w:rPr>
            </w:pPr>
            <w:r>
              <w:rPr>
                <w:rFonts w:ascii="Arial" w:cs="Arial" w:eastAsia="Arial" w:hAnsi="Arial"/>
                <w:sz w:val="18"/>
                <w:szCs w:val="18"/>
                <w:color w:val="auto"/>
              </w:rPr>
              <w:t>Current portion</w:t>
            </w:r>
            <w:r>
              <w:rPr>
                <w:rFonts w:ascii="Arial" w:cs="Arial" w:eastAsia="Arial" w:hAnsi="Arial"/>
                <w:sz w:val="29"/>
                <w:szCs w:val="29"/>
                <w:color w:val="auto"/>
                <w:vertAlign w:val="superscript"/>
              </w:rPr>
              <w:t>(1)</w:t>
            </w:r>
          </w:p>
        </w:tc>
        <w:tc>
          <w:tcPr>
            <w:tcW w:w="4620" w:type="dxa"/>
            <w:vAlign w:val="bottom"/>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288.7</w:t>
            </w:r>
          </w:p>
        </w:tc>
        <w:tc>
          <w:tcPr>
            <w:tcW w:w="280" w:type="dxa"/>
            <w:vAlign w:val="bottom"/>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F4F4F4"/>
          </w:tcPr>
          <w:p>
            <w:pPr>
              <w:jc w:val="right"/>
              <w:ind w:right="15"/>
              <w:spacing w:after="0"/>
              <w:rPr>
                <w:sz w:val="20"/>
                <w:szCs w:val="20"/>
                <w:color w:val="auto"/>
              </w:rPr>
            </w:pPr>
            <w:r>
              <w:rPr>
                <w:rFonts w:ascii="Arial" w:cs="Arial" w:eastAsia="Arial" w:hAnsi="Arial"/>
                <w:sz w:val="18"/>
                <w:szCs w:val="18"/>
                <w:color w:val="auto"/>
              </w:rPr>
              <w:t>314.3</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total deferred revenue or current portion of deferred revenue due to rounding.</w:t>
      </w:r>
    </w:p>
    <w:p>
      <w:pPr>
        <w:spacing w:after="0" w:line="1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of the contract term.</w:t>
      </w:r>
    </w:p>
    <w:p>
      <w:pPr>
        <w:spacing w:after="0" w:line="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revenue from recurring revenue contracts decreased during the three months ended March 31, 2020, primarily due to less customer billings. Historically, due to the timing of customer budget cycles, we have an increase in customer contract renewals at or near the beginning of our third quarter, which generally results in our lowest balance of deferred revenue at the end of our first quarter.</w:t>
      </w:r>
    </w:p>
    <w:p>
      <w:pPr>
        <w:spacing w:after="0" w:line="13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acquired businesses whose net tangible assets include deferred revenue. In accordance with GAAP reporting requirements, we recorded write-downs of deferred revenue from customer arrangements predating the acquisition to fair value, which resulted in lower recorded deferred revenue as of the acquisition date than the actual amounts paid in advance for solutions and services under those customer arrangements. Therefore, our deferred revenue after an acquisition will not reflect the full amount of deferred revenue that would have been reported if the acquired deferred revenue was not written down to fair value. Further explanation of this impact is included below under the caption "Non-GAAP financial measures".</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provision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3683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39"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60" w:type="dxa"/>
            <w:vAlign w:val="bottom"/>
          </w:tcPr>
          <w:p>
            <w:pPr>
              <w:jc w:val="right"/>
              <w:ind w:right="162"/>
              <w:spacing w:after="0"/>
              <w:rPr>
                <w:sz w:val="20"/>
                <w:szCs w:val="20"/>
                <w:color w:val="auto"/>
              </w:rPr>
            </w:pPr>
            <w:r>
              <w:rPr>
                <w:rFonts w:ascii="Arial" w:cs="Arial" w:eastAsia="Arial" w:hAnsi="Arial"/>
                <w:sz w:val="14"/>
                <w:szCs w:val="14"/>
                <w:b w:val="1"/>
                <w:bCs w:val="1"/>
                <w:color w:val="FFFFFF"/>
              </w:rPr>
              <w:t>March 31,</w:t>
            </w:r>
          </w:p>
        </w:tc>
      </w:tr>
      <w:tr>
        <w:trPr>
          <w:trHeight w:val="230"/>
        </w:trPr>
        <w:tc>
          <w:tcPr>
            <w:tcW w:w="76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shd w:val="clear" w:color="auto" w:fill="ACACAC"/>
          </w:tcPr>
          <w:p>
            <w:pPr>
              <w:spacing w:after="0"/>
              <w:rPr>
                <w:sz w:val="19"/>
                <w:szCs w:val="19"/>
                <w:color w:val="auto"/>
              </w:rPr>
            </w:pPr>
          </w:p>
        </w:tc>
        <w:tc>
          <w:tcPr>
            <w:tcW w:w="780" w:type="dxa"/>
            <w:vAlign w:val="bottom"/>
            <w:shd w:val="clear" w:color="auto" w:fill="ACACAC"/>
          </w:tcPr>
          <w:p>
            <w:pPr>
              <w:jc w:val="right"/>
              <w:ind w:right="96"/>
              <w:spacing w:after="0"/>
              <w:rPr>
                <w:sz w:val="20"/>
                <w:szCs w:val="20"/>
                <w:color w:val="auto"/>
              </w:rPr>
            </w:pPr>
            <w:r>
              <w:rPr>
                <w:rFonts w:ascii="Arial" w:cs="Arial" w:eastAsia="Arial" w:hAnsi="Arial"/>
                <w:sz w:val="14"/>
                <w:szCs w:val="14"/>
                <w:b w:val="1"/>
                <w:bCs w:val="1"/>
                <w:color w:val="FFFFFF"/>
              </w:rPr>
              <w:t>2020</w:t>
            </w:r>
          </w:p>
        </w:tc>
        <w:tc>
          <w:tcPr>
            <w:tcW w:w="400" w:type="dxa"/>
            <w:vAlign w:val="bottom"/>
            <w:shd w:val="clear" w:color="auto" w:fill="ACACAC"/>
          </w:tcPr>
          <w:p>
            <w:pPr>
              <w:spacing w:after="0"/>
              <w:rPr>
                <w:sz w:val="19"/>
                <w:szCs w:val="19"/>
                <w:color w:val="auto"/>
              </w:rPr>
            </w:pPr>
          </w:p>
        </w:tc>
        <w:tc>
          <w:tcPr>
            <w:tcW w:w="960" w:type="dxa"/>
            <w:vAlign w:val="bottom"/>
            <w:shd w:val="clear" w:color="auto" w:fill="ACACAC"/>
          </w:tcPr>
          <w:p>
            <w:pPr>
              <w:jc w:val="right"/>
              <w:ind w:right="276"/>
              <w:spacing w:after="0"/>
              <w:rPr>
                <w:sz w:val="20"/>
                <w:szCs w:val="20"/>
                <w:color w:val="auto"/>
              </w:rPr>
            </w:pPr>
            <w:r>
              <w:rPr>
                <w:rFonts w:ascii="Arial" w:cs="Arial" w:eastAsia="Arial" w:hAnsi="Arial"/>
                <w:sz w:val="14"/>
                <w:szCs w:val="14"/>
                <w:b w:val="1"/>
                <w:bCs w:val="1"/>
                <w:color w:val="FFFFFF"/>
              </w:rPr>
              <w:t>2019</w:t>
            </w:r>
          </w:p>
        </w:tc>
        <w:tc>
          <w:tcPr>
            <w:tcW w:w="1060" w:type="dxa"/>
            <w:vAlign w:val="bottom"/>
            <w:shd w:val="clear" w:color="auto" w:fill="ACACAC"/>
          </w:tcPr>
          <w:p>
            <w:pPr>
              <w:jc w:val="right"/>
              <w:ind w:right="162"/>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6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Income tax provision (benefit)</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0.7</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ind w:right="216"/>
              <w:spacing w:after="0"/>
              <w:rPr>
                <w:sz w:val="20"/>
                <w:szCs w:val="20"/>
                <w:color w:val="auto"/>
              </w:rPr>
            </w:pPr>
            <w:r>
              <w:rPr>
                <w:rFonts w:ascii="Arial" w:cs="Arial" w:eastAsia="Arial" w:hAnsi="Arial"/>
                <w:sz w:val="18"/>
                <w:szCs w:val="18"/>
                <w:color w:val="auto"/>
              </w:rPr>
              <w:t>(1.8)</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(137.9)%</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21"/>
                <w:szCs w:val="21"/>
                <w:color w:val="auto"/>
              </w:rPr>
            </w:pPr>
          </w:p>
        </w:tc>
        <w:tc>
          <w:tcPr>
            <w:tcW w:w="960" w:type="dxa"/>
            <w:vAlign w:val="bottom"/>
          </w:tcPr>
          <w:p>
            <w:pPr>
              <w:jc w:val="right"/>
              <w:ind w:right="116"/>
              <w:spacing w:after="0"/>
              <w:rPr>
                <w:sz w:val="20"/>
                <w:szCs w:val="20"/>
                <w:color w:val="auto"/>
              </w:rPr>
            </w:pPr>
            <w:r>
              <w:rPr>
                <w:rFonts w:ascii="Arial" w:cs="Arial" w:eastAsia="Arial" w:hAnsi="Arial"/>
                <w:sz w:val="18"/>
                <w:szCs w:val="18"/>
                <w:color w:val="auto"/>
              </w:rPr>
              <w:t>62.0%</w:t>
            </w:r>
          </w:p>
        </w:tc>
        <w:tc>
          <w:tcPr>
            <w:tcW w:w="1060" w:type="dxa"/>
            <w:vAlign w:val="bottom"/>
          </w:tcPr>
          <w:p>
            <w:pPr>
              <w:spacing w:after="0"/>
              <w:rPr>
                <w:sz w:val="21"/>
                <w:szCs w:val="21"/>
                <w:color w:val="auto"/>
              </w:rPr>
            </w:pPr>
          </w:p>
        </w:tc>
      </w:tr>
      <w:tr>
        <w:trPr>
          <w:trHeight w:val="27"/>
        </w:trPr>
        <w:tc>
          <w:tcPr>
            <w:tcW w:w="764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780" w:type="dxa"/>
            <w:vAlign w:val="bottom"/>
            <w:tcBorders>
              <w:bottom w:val="single" w:sz="8" w:color="71BF43"/>
            </w:tcBorders>
          </w:tcPr>
          <w:p>
            <w:pPr>
              <w:spacing w:after="0"/>
              <w:rPr>
                <w:sz w:val="2"/>
                <w:szCs w:val="2"/>
                <w:color w:val="auto"/>
              </w:rPr>
            </w:pPr>
          </w:p>
        </w:tc>
        <w:tc>
          <w:tcPr>
            <w:tcW w:w="40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1060" w:type="dxa"/>
            <w:vAlign w:val="bottom"/>
            <w:tcBorders>
              <w:bottom w:val="single" w:sz="8" w:color="71BF43"/>
            </w:tcBorders>
          </w:tcPr>
          <w:p>
            <w:pPr>
              <w:spacing w:after="0"/>
              <w:rPr>
                <w:sz w:val="2"/>
                <w:szCs w:val="2"/>
                <w:color w:val="auto"/>
              </w:rPr>
            </w:pPr>
          </w:p>
        </w:tc>
      </w:tr>
    </w:tbl>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Coronavirus Aid, Relief, and Economic Security Act (“CARES Act”) was signed into law on March 27, 2020. The CARES Act did not have a material impact on our provision for income taxes for the three months ended March 31, 2020. We will continue to analyze and monitor potential impact throughout the year.</w:t>
      </w:r>
    </w:p>
    <w:p>
      <w:pPr>
        <w:spacing w:after="0" w:line="345"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29</w:t>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decrease in our effective income tax rate during the three months ended March 31, 2020, when compared to the same period in 2019, was primarily due to the impact of discrete tax benefits on pre-tax income for the quarter as compared to pre-tax loss for the same period in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operating results analyzed below are presented on a non-GAAP basis. We use non-GAAP revenue, non-GAAP gross profit, non-GAAP gross margin, non-GAAP income from operations, non-GAAP operating margin, non-GAAP net income and non-GAAP diluted earnings per share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4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acquired businesses whose net tangible assets include deferred revenue. In accordance with GAAP reporting requirements, we recorded write-downs of deferred revenue under arrangements predating the acquisition to fair value, which resulted in lower recognized revenue than the contributed purchase price until the related obligations to provide services under such arrangements are fulfilled. Therefore, our GAAP revenues after the acquisitions will not reflect the full amount of revenue that would have been reported if the acquired deferred revenue was not written down to fair value. The non-GAAP measures described below reverse the acquisition-related deferred revenue write-downs so that the full amount of revenue booked by the acquired companies is included, which we believe provides a more accurate representation of a revenue run-rate in a given period and, therefore, will provide more meaningful comparative results in future periods.</w:t>
      </w:r>
    </w:p>
    <w:p>
      <w:pPr>
        <w:spacing w:after="0" w:line="1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3683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83"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FFFFFF"/>
              </w:rPr>
              <w:t>March 31,</w:t>
            </w:r>
          </w:p>
        </w:tc>
      </w:tr>
      <w:tr>
        <w:trPr>
          <w:trHeight w:val="230"/>
        </w:trPr>
        <w:tc>
          <w:tcPr>
            <w:tcW w:w="76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shd w:val="clear" w:color="auto" w:fill="ACACAC"/>
          </w:tcPr>
          <w:p>
            <w:pPr>
              <w:spacing w:after="0"/>
              <w:rPr>
                <w:sz w:val="19"/>
                <w:szCs w:val="19"/>
                <w:color w:val="auto"/>
              </w:rPr>
            </w:pPr>
          </w:p>
        </w:tc>
        <w:tc>
          <w:tcPr>
            <w:tcW w:w="820" w:type="dxa"/>
            <w:vAlign w:val="bottom"/>
            <w:shd w:val="clear" w:color="auto" w:fill="ACACAC"/>
          </w:tcPr>
          <w:p>
            <w:pPr>
              <w:jc w:val="right"/>
              <w:ind w:right="88"/>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19"/>
                <w:szCs w:val="19"/>
                <w:color w:val="auto"/>
              </w:rPr>
            </w:pPr>
          </w:p>
        </w:tc>
        <w:tc>
          <w:tcPr>
            <w:tcW w:w="80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r>
      <w:tr>
        <w:trPr>
          <w:trHeight w:val="216"/>
        </w:trPr>
        <w:tc>
          <w:tcPr>
            <w:tcW w:w="76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Revenue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223.6</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215.8</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3.6 %</w:t>
            </w: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2"/>
        </w:trPr>
        <w:tc>
          <w:tcPr>
            <w:tcW w:w="76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440" w:type="dxa"/>
            <w:vAlign w:val="bottom"/>
            <w:tcBorders>
              <w:bottom w:val="single" w:sz="8" w:color="auto"/>
            </w:tcBorders>
            <w:shd w:val="clear" w:color="auto" w:fill="F4F4F4"/>
          </w:tcPr>
          <w:p>
            <w:pPr>
              <w:spacing w:after="0"/>
              <w:rPr>
                <w:sz w:val="19"/>
                <w:szCs w:val="19"/>
                <w:color w:val="auto"/>
              </w:rPr>
            </w:pPr>
          </w:p>
        </w:tc>
        <w:tc>
          <w:tcPr>
            <w:tcW w:w="82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F4F4F4"/>
          </w:tcPr>
          <w:p>
            <w:pPr>
              <w:spacing w:after="0"/>
              <w:rPr>
                <w:sz w:val="19"/>
                <w:szCs w:val="19"/>
                <w:color w:val="auto"/>
              </w:rPr>
            </w:pPr>
          </w:p>
        </w:tc>
        <w:tc>
          <w:tcPr>
            <w:tcW w:w="8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0.7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r>
      <w:tr>
        <w:trPr>
          <w:trHeight w:val="203"/>
        </w:trPr>
        <w:tc>
          <w:tcPr>
            <w:tcW w:w="7640" w:type="dxa"/>
            <w:vAlign w:val="bottom"/>
            <w:tcBorders>
              <w:bottom w:val="single" w:sz="8" w:color="F4F4F4"/>
            </w:tcBorders>
          </w:tcPr>
          <w:p>
            <w:pPr>
              <w:ind w:left="40"/>
              <w:spacing w:after="0"/>
              <w:rPr>
                <w:sz w:val="20"/>
                <w:szCs w:val="20"/>
                <w:color w:val="auto"/>
              </w:rPr>
            </w:pPr>
            <w:r>
              <w:rPr>
                <w:rFonts w:ascii="Arial" w:cs="Arial" w:eastAsia="Arial" w:hAnsi="Arial"/>
                <w:sz w:val="14"/>
                <w:szCs w:val="14"/>
                <w:b w:val="1"/>
                <w:bCs w:val="1"/>
                <w:color w:val="auto"/>
              </w:rPr>
              <w:t>Non-GAAP revenue</w:t>
            </w:r>
            <w:r>
              <w:rPr>
                <w:rFonts w:ascii="Arial" w:cs="Arial" w:eastAsia="Arial" w:hAnsi="Arial"/>
                <w:sz w:val="11"/>
                <w:szCs w:val="11"/>
                <w:b w:val="1"/>
                <w:bCs w:val="1"/>
                <w:color w:val="auto"/>
              </w:rPr>
              <w:t>(1)</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223.6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216.5</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3.3 %</w:t>
            </w:r>
          </w:p>
        </w:tc>
      </w:tr>
      <w:tr>
        <w:trPr>
          <w:trHeight w:val="270"/>
        </w:trPr>
        <w:tc>
          <w:tcPr>
            <w:tcW w:w="764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820" w:type="dxa"/>
            <w:vAlign w:val="bottom"/>
            <w:shd w:val="clear" w:color="auto" w:fill="F4F4F4"/>
          </w:tcPr>
          <w:p>
            <w:pPr>
              <w:spacing w:after="0"/>
              <w:rPr>
                <w:sz w:val="23"/>
                <w:szCs w:val="23"/>
                <w:color w:val="auto"/>
              </w:rPr>
            </w:pPr>
          </w:p>
        </w:tc>
        <w:tc>
          <w:tcPr>
            <w:tcW w:w="440" w:type="dxa"/>
            <w:vAlign w:val="bottom"/>
            <w:shd w:val="clear" w:color="auto" w:fill="F4F4F4"/>
          </w:tcPr>
          <w:p>
            <w:pPr>
              <w:spacing w:after="0"/>
              <w:rPr>
                <w:sz w:val="23"/>
                <w:szCs w:val="23"/>
                <w:color w:val="auto"/>
              </w:rPr>
            </w:pPr>
          </w:p>
        </w:tc>
        <w:tc>
          <w:tcPr>
            <w:tcW w:w="80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r>
      <w:tr>
        <w:trPr>
          <w:trHeight w:val="210"/>
        </w:trPr>
        <w:tc>
          <w:tcPr>
            <w:tcW w:w="7640" w:type="dxa"/>
            <w:vAlign w:val="bottom"/>
          </w:tcPr>
          <w:p>
            <w:pPr>
              <w:ind w:left="40"/>
              <w:spacing w:after="0"/>
              <w:rPr>
                <w:sz w:val="20"/>
                <w:szCs w:val="20"/>
                <w:color w:val="auto"/>
              </w:rPr>
            </w:pPr>
            <w:r>
              <w:rPr>
                <w:rFonts w:ascii="Arial" w:cs="Arial" w:eastAsia="Arial" w:hAnsi="Arial"/>
                <w:sz w:val="14"/>
                <w:szCs w:val="14"/>
                <w:b w:val="1"/>
                <w:bCs w:val="1"/>
                <w:color w:val="auto"/>
              </w:rPr>
              <w:t>GAAP gross profit</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118.8</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116.5</w:t>
            </w:r>
          </w:p>
        </w:tc>
        <w:tc>
          <w:tcPr>
            <w:tcW w:w="110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276"/>
        </w:trPr>
        <w:tc>
          <w:tcPr>
            <w:tcW w:w="7640" w:type="dxa"/>
            <w:vAlign w:val="bottom"/>
            <w:shd w:val="clear" w:color="auto" w:fill="F4F4F4"/>
          </w:tcPr>
          <w:p>
            <w:pPr>
              <w:ind w:left="180"/>
              <w:spacing w:after="0"/>
              <w:rPr>
                <w:sz w:val="20"/>
                <w:szCs w:val="20"/>
                <w:color w:val="auto"/>
              </w:rPr>
            </w:pPr>
            <w:r>
              <w:rPr>
                <w:rFonts w:ascii="Arial" w:cs="Arial" w:eastAsia="Arial" w:hAnsi="Arial"/>
                <w:sz w:val="14"/>
                <w:szCs w:val="14"/>
                <w:b w:val="1"/>
                <w:bCs w:val="1"/>
                <w:color w:val="auto"/>
              </w:rPr>
              <w:t>GAAP gross margin</w:t>
            </w:r>
          </w:p>
        </w:tc>
        <w:tc>
          <w:tcPr>
            <w:tcW w:w="440" w:type="dxa"/>
            <w:vAlign w:val="bottom"/>
            <w:shd w:val="clear" w:color="auto" w:fill="F4F4F4"/>
          </w:tcPr>
          <w:p>
            <w:pPr>
              <w:spacing w:after="0"/>
              <w:rPr>
                <w:sz w:val="24"/>
                <w:szCs w:val="24"/>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53.1%</w:t>
            </w:r>
          </w:p>
        </w:tc>
        <w:tc>
          <w:tcPr>
            <w:tcW w:w="440" w:type="dxa"/>
            <w:vAlign w:val="bottom"/>
            <w:shd w:val="clear" w:color="auto" w:fill="F4F4F4"/>
          </w:tcPr>
          <w:p>
            <w:pPr>
              <w:spacing w:after="0"/>
              <w:rPr>
                <w:sz w:val="24"/>
                <w:szCs w:val="24"/>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54.0%</w:t>
            </w:r>
          </w:p>
        </w:tc>
        <w:tc>
          <w:tcPr>
            <w:tcW w:w="1100" w:type="dxa"/>
            <w:vAlign w:val="bottom"/>
            <w:shd w:val="clear" w:color="auto" w:fill="F4F4F4"/>
          </w:tcPr>
          <w:p>
            <w:pPr>
              <w:spacing w:after="0"/>
              <w:rPr>
                <w:sz w:val="24"/>
                <w:szCs w:val="24"/>
                <w:color w:val="auto"/>
              </w:rPr>
            </w:pPr>
          </w:p>
        </w:tc>
      </w:tr>
      <w:tr>
        <w:trPr>
          <w:trHeight w:val="264"/>
        </w:trPr>
        <w:tc>
          <w:tcPr>
            <w:tcW w:w="7640" w:type="dxa"/>
            <w:vAlign w:val="bottom"/>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22"/>
        </w:trPr>
        <w:tc>
          <w:tcPr>
            <w:tcW w:w="76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shd w:val="clear" w:color="auto" w:fill="F4F4F4"/>
          </w:tcPr>
          <w:p>
            <w:pPr>
              <w:spacing w:after="0"/>
              <w:rPr>
                <w:sz w:val="19"/>
                <w:szCs w:val="19"/>
                <w:color w:val="auto"/>
              </w:rPr>
            </w:pP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r>
      <w:tr>
        <w:trPr>
          <w:trHeight w:val="210"/>
        </w:trPr>
        <w:tc>
          <w:tcPr>
            <w:tcW w:w="7640" w:type="dxa"/>
            <w:vAlign w:val="bottom"/>
          </w:tcPr>
          <w:p>
            <w:pPr>
              <w:ind w:left="180"/>
              <w:spacing w:after="0"/>
              <w:rPr>
                <w:sz w:val="20"/>
                <w:szCs w:val="20"/>
                <w:color w:val="auto"/>
              </w:rPr>
            </w:pPr>
            <w:r>
              <w:rPr>
                <w:rFonts w:ascii="Arial" w:cs="Arial" w:eastAsia="Arial" w:hAnsi="Arial"/>
                <w:sz w:val="14"/>
                <w:szCs w:val="14"/>
                <w:color w:val="auto"/>
              </w:rPr>
              <w:t>Add: Stock-based compensation expense</w:t>
            </w:r>
          </w:p>
        </w:tc>
        <w:tc>
          <w:tcPr>
            <w:tcW w:w="440" w:type="dxa"/>
            <w:vAlign w:val="bottom"/>
          </w:tcPr>
          <w:p>
            <w:pPr>
              <w:spacing w:after="0"/>
              <w:rPr>
                <w:sz w:val="18"/>
                <w:szCs w:val="18"/>
                <w:color w:val="auto"/>
              </w:rPr>
            </w:pP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0.9</w:t>
            </w:r>
          </w:p>
        </w:tc>
        <w:tc>
          <w:tcPr>
            <w:tcW w:w="440" w:type="dxa"/>
            <w:vAlign w:val="bottom"/>
          </w:tcPr>
          <w:p>
            <w:pPr>
              <w:spacing w:after="0"/>
              <w:rPr>
                <w:sz w:val="18"/>
                <w:szCs w:val="18"/>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1.0</w:t>
            </w:r>
          </w:p>
        </w:tc>
        <w:tc>
          <w:tcPr>
            <w:tcW w:w="11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222"/>
        </w:trPr>
        <w:tc>
          <w:tcPr>
            <w:tcW w:w="76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Amortization of intangibles from business combinations</w:t>
            </w:r>
          </w:p>
        </w:tc>
        <w:tc>
          <w:tcPr>
            <w:tcW w:w="440" w:type="dxa"/>
            <w:vAlign w:val="bottom"/>
            <w:shd w:val="clear" w:color="auto" w:fill="F4F4F4"/>
          </w:tcPr>
          <w:p>
            <w:pPr>
              <w:spacing w:after="0"/>
              <w:rPr>
                <w:sz w:val="19"/>
                <w:szCs w:val="19"/>
                <w:color w:val="auto"/>
              </w:rPr>
            </w:pPr>
          </w:p>
        </w:tc>
        <w:tc>
          <w:tcPr>
            <w:tcW w:w="82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10.9</w:t>
            </w:r>
          </w:p>
        </w:tc>
        <w:tc>
          <w:tcPr>
            <w:tcW w:w="440" w:type="dxa"/>
            <w:vAlign w:val="bottom"/>
            <w:shd w:val="clear" w:color="auto" w:fill="F4F4F4"/>
          </w:tcPr>
          <w:p>
            <w:pPr>
              <w:spacing w:after="0"/>
              <w:rPr>
                <w:sz w:val="19"/>
                <w:szCs w:val="19"/>
                <w:color w:val="auto"/>
              </w:rPr>
            </w:pPr>
          </w:p>
        </w:tc>
        <w:tc>
          <w:tcPr>
            <w:tcW w:w="80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11.4</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(4.3)%</w:t>
            </w:r>
          </w:p>
        </w:tc>
      </w:tr>
      <w:tr>
        <w:trPr>
          <w:trHeight w:val="210"/>
        </w:trPr>
        <w:tc>
          <w:tcPr>
            <w:tcW w:w="764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Add: Employee severance</w:t>
            </w: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(97.1)%</w:t>
            </w:r>
          </w:p>
        </w:tc>
      </w:tr>
      <w:tr>
        <w:trPr>
          <w:trHeight w:val="215"/>
        </w:trPr>
        <w:tc>
          <w:tcPr>
            <w:tcW w:w="7640" w:type="dxa"/>
            <w:vAlign w:val="bottom"/>
            <w:shd w:val="clear" w:color="auto" w:fill="F4F4F4"/>
          </w:tcPr>
          <w:p>
            <w:pPr>
              <w:ind w:left="380"/>
              <w:spacing w:after="0"/>
              <w:rPr>
                <w:sz w:val="20"/>
                <w:szCs w:val="20"/>
                <w:color w:val="auto"/>
              </w:rPr>
            </w:pPr>
            <w:r>
              <w:rPr>
                <w:rFonts w:ascii="Arial" w:cs="Arial" w:eastAsia="Arial" w:hAnsi="Arial"/>
                <w:sz w:val="14"/>
                <w:szCs w:val="14"/>
                <w:color w:val="auto"/>
              </w:rPr>
              <w:t>Subtotal</w:t>
            </w:r>
            <w:r>
              <w:rPr>
                <w:rFonts w:ascii="Arial" w:cs="Arial" w:eastAsia="Arial" w:hAnsi="Arial"/>
                <w:sz w:val="11"/>
                <w:szCs w:val="11"/>
                <w:color w:val="auto"/>
              </w:rPr>
              <w:t>(1)</w:t>
            </w:r>
          </w:p>
        </w:tc>
        <w:tc>
          <w:tcPr>
            <w:tcW w:w="440" w:type="dxa"/>
            <w:vAlign w:val="bottom"/>
            <w:tcBorders>
              <w:bottom w:val="single" w:sz="8" w:color="auto"/>
            </w:tcBorders>
            <w:shd w:val="clear" w:color="auto" w:fill="F4F4F4"/>
          </w:tcPr>
          <w:p>
            <w:pPr>
              <w:spacing w:after="0"/>
              <w:rPr>
                <w:sz w:val="18"/>
                <w:szCs w:val="18"/>
                <w:color w:val="auto"/>
              </w:rPr>
            </w:pPr>
          </w:p>
        </w:tc>
        <w:tc>
          <w:tcPr>
            <w:tcW w:w="82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11.8</w:t>
            </w:r>
          </w:p>
        </w:tc>
        <w:tc>
          <w:tcPr>
            <w:tcW w:w="440" w:type="dxa"/>
            <w:vAlign w:val="bottom"/>
            <w:tcBorders>
              <w:bottom w:val="single" w:sz="8" w:color="auto"/>
            </w:tcBorders>
            <w:shd w:val="clear" w:color="auto" w:fill="F4F4F4"/>
          </w:tcPr>
          <w:p>
            <w:pPr>
              <w:spacing w:after="0"/>
              <w:rPr>
                <w:sz w:val="18"/>
                <w:szCs w:val="18"/>
                <w:color w:val="auto"/>
              </w:rPr>
            </w:pPr>
          </w:p>
        </w:tc>
        <w:tc>
          <w:tcPr>
            <w:tcW w:w="80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14.2</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(16.9)%</w:t>
            </w:r>
          </w:p>
        </w:tc>
      </w:tr>
      <w:tr>
        <w:trPr>
          <w:trHeight w:val="204"/>
        </w:trPr>
        <w:tc>
          <w:tcPr>
            <w:tcW w:w="7640" w:type="dxa"/>
            <w:vAlign w:val="bottom"/>
            <w:tcBorders>
              <w:bottom w:val="single" w:sz="8" w:color="F4F4F4"/>
            </w:tcBorders>
          </w:tcPr>
          <w:p>
            <w:pPr>
              <w:ind w:left="4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1"/>
                <w:szCs w:val="11"/>
                <w:b w:val="1"/>
                <w:bCs w:val="1"/>
                <w:color w:val="auto"/>
              </w:rPr>
              <w:t>(1)</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130.6</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130.8</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(0.1)%</w:t>
            </w:r>
          </w:p>
        </w:tc>
      </w:tr>
      <w:tr>
        <w:trPr>
          <w:trHeight w:val="256"/>
        </w:trPr>
        <w:tc>
          <w:tcPr>
            <w:tcW w:w="7640" w:type="dxa"/>
            <w:vAlign w:val="bottom"/>
            <w:shd w:val="clear" w:color="auto" w:fill="F4F4F4"/>
          </w:tcPr>
          <w:p>
            <w:pPr>
              <w:ind w:left="180"/>
              <w:spacing w:after="0"/>
              <w:rPr>
                <w:sz w:val="20"/>
                <w:szCs w:val="20"/>
                <w:color w:val="auto"/>
              </w:rPr>
            </w:pPr>
            <w:r>
              <w:rPr>
                <w:rFonts w:ascii="Arial" w:cs="Arial" w:eastAsia="Arial" w:hAnsi="Arial"/>
                <w:sz w:val="14"/>
                <w:szCs w:val="14"/>
                <w:b w:val="1"/>
                <w:bCs w:val="1"/>
                <w:color w:val="auto"/>
              </w:rPr>
              <w:t>Non-GAAP gross margin</w:t>
            </w:r>
          </w:p>
        </w:tc>
        <w:tc>
          <w:tcPr>
            <w:tcW w:w="440" w:type="dxa"/>
            <w:vAlign w:val="bottom"/>
            <w:shd w:val="clear" w:color="auto" w:fill="F4F4F4"/>
          </w:tcPr>
          <w:p>
            <w:pPr>
              <w:spacing w:after="0"/>
              <w:rPr>
                <w:sz w:val="22"/>
                <w:szCs w:val="22"/>
                <w:color w:val="auto"/>
              </w:rPr>
            </w:pPr>
          </w:p>
        </w:tc>
        <w:tc>
          <w:tcPr>
            <w:tcW w:w="8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58.4%</w:t>
            </w:r>
          </w:p>
        </w:tc>
        <w:tc>
          <w:tcPr>
            <w:tcW w:w="440" w:type="dxa"/>
            <w:vAlign w:val="bottom"/>
            <w:shd w:val="clear" w:color="auto" w:fill="F4F4F4"/>
          </w:tcPr>
          <w:p>
            <w:pPr>
              <w:spacing w:after="0"/>
              <w:rPr>
                <w:sz w:val="22"/>
                <w:szCs w:val="22"/>
                <w:color w:val="auto"/>
              </w:rPr>
            </w:pPr>
          </w:p>
        </w:tc>
        <w:tc>
          <w:tcPr>
            <w:tcW w:w="8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60.4%</w:t>
            </w:r>
          </w:p>
        </w:tc>
        <w:tc>
          <w:tcPr>
            <w:tcW w:w="1100" w:type="dxa"/>
            <w:vAlign w:val="bottom"/>
            <w:shd w:val="clear" w:color="auto" w:fill="F4F4F4"/>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revenue, subtotal or non-GAAP gross profit due to rounding.</w:t>
      </w:r>
    </w:p>
    <w:p>
      <w:pPr>
        <w:spacing w:after="0" w:line="377"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color w:val="auto"/>
        </w:rPr>
        <w:t xml:space="preserve">30  </w:t>
      </w:r>
      <w:r>
        <w:rPr>
          <w:rFonts w:ascii="Arial" w:cs="Arial" w:eastAsia="Arial" w:hAnsi="Arial"/>
          <w:sz w:val="1"/>
          <w:szCs w:val="1"/>
          <w:color w:val="auto"/>
        </w:rPr>
        <w:drawing>
          <wp:inline distT="0" distB="0" distL="0" distR="0">
            <wp:extent cx="668655" cy="1028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3689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974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b w:val="1"/>
                <w:bCs w:val="1"/>
                <w:color w:val="FFFFFF"/>
              </w:rPr>
              <w:t>March 31,</w:t>
            </w:r>
          </w:p>
        </w:tc>
      </w:tr>
      <w:tr>
        <w:trPr>
          <w:trHeight w:val="229"/>
        </w:trPr>
        <w:tc>
          <w:tcPr>
            <w:tcW w:w="786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20" w:type="dxa"/>
            <w:vAlign w:val="bottom"/>
            <w:shd w:val="clear" w:color="auto" w:fill="ACACAC"/>
          </w:tcPr>
          <w:p>
            <w:pPr>
              <w:spacing w:after="0"/>
              <w:rPr>
                <w:sz w:val="19"/>
                <w:szCs w:val="19"/>
                <w:color w:val="auto"/>
              </w:rPr>
            </w:pPr>
          </w:p>
        </w:tc>
        <w:tc>
          <w:tcPr>
            <w:tcW w:w="92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2020</w:t>
            </w:r>
          </w:p>
        </w:tc>
        <w:tc>
          <w:tcPr>
            <w:tcW w:w="220" w:type="dxa"/>
            <w:vAlign w:val="bottom"/>
            <w:shd w:val="clear" w:color="auto" w:fill="ACACAC"/>
          </w:tcPr>
          <w:p>
            <w:pPr>
              <w:spacing w:after="0"/>
              <w:rPr>
                <w:sz w:val="19"/>
                <w:szCs w:val="19"/>
                <w:color w:val="auto"/>
              </w:rPr>
            </w:pPr>
          </w:p>
        </w:tc>
        <w:tc>
          <w:tcPr>
            <w:tcW w:w="920" w:type="dxa"/>
            <w:vAlign w:val="bottom"/>
            <w:shd w:val="clear" w:color="auto" w:fill="ACACAC"/>
          </w:tcPr>
          <w:p>
            <w:pPr>
              <w:jc w:val="right"/>
              <w:ind w:right="68"/>
              <w:spacing w:after="0"/>
              <w:rPr>
                <w:sz w:val="20"/>
                <w:szCs w:val="20"/>
                <w:color w:val="auto"/>
              </w:rPr>
            </w:pPr>
            <w:r>
              <w:rPr>
                <w:rFonts w:ascii="Arial" w:cs="Arial" w:eastAsia="Arial" w:hAnsi="Arial"/>
                <w:sz w:val="14"/>
                <w:szCs w:val="14"/>
                <w:b w:val="1"/>
                <w:bCs w:val="1"/>
                <w:color w:val="FFFFFF"/>
              </w:rPr>
              <w:t>2019</w:t>
            </w:r>
          </w:p>
        </w:tc>
        <w:tc>
          <w:tcPr>
            <w:tcW w:w="1100" w:type="dxa"/>
            <w:vAlign w:val="bottom"/>
            <w:shd w:val="clear" w:color="auto" w:fill="ACACAC"/>
          </w:tcPr>
          <w:p>
            <w:pPr>
              <w:jc w:val="right"/>
              <w:ind w:right="128"/>
              <w:spacing w:after="0"/>
              <w:rPr>
                <w:sz w:val="20"/>
                <w:szCs w:val="20"/>
                <w:color w:val="auto"/>
              </w:rPr>
            </w:pPr>
            <w:r>
              <w:rPr>
                <w:rFonts w:ascii="Arial" w:cs="Arial" w:eastAsia="Arial" w:hAnsi="Arial"/>
                <w:sz w:val="14"/>
                <w:szCs w:val="14"/>
                <w:b w:val="1"/>
                <w:bCs w:val="1"/>
                <w:color w:val="FFFFFF"/>
              </w:rPr>
              <w:t>Change</w:t>
            </w:r>
          </w:p>
        </w:tc>
      </w:tr>
      <w:tr>
        <w:trPr>
          <w:trHeight w:val="216"/>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income from operations</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8.4</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2.2</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285.5 %</w:t>
            </w:r>
          </w:p>
        </w:tc>
      </w:tr>
      <w:tr>
        <w:trPr>
          <w:trHeight w:val="264"/>
        </w:trPr>
        <w:tc>
          <w:tcPr>
            <w:tcW w:w="7860" w:type="dxa"/>
            <w:vAlign w:val="bottom"/>
          </w:tcPr>
          <w:p>
            <w:pPr>
              <w:ind w:left="180"/>
              <w:spacing w:after="0"/>
              <w:rPr>
                <w:sz w:val="20"/>
                <w:szCs w:val="20"/>
                <w:color w:val="auto"/>
              </w:rPr>
            </w:pPr>
            <w:r>
              <w:rPr>
                <w:rFonts w:ascii="Arial" w:cs="Arial" w:eastAsia="Arial" w:hAnsi="Arial"/>
                <w:sz w:val="14"/>
                <w:szCs w:val="14"/>
                <w:b w:val="1"/>
                <w:bCs w:val="1"/>
                <w:color w:val="auto"/>
              </w:rPr>
              <w:t>GAAP operating margin</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3.8%</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1100" w:type="dxa"/>
            <w:vAlign w:val="bottom"/>
          </w:tcPr>
          <w:p>
            <w:pPr>
              <w:spacing w:after="0"/>
              <w:rPr>
                <w:sz w:val="22"/>
                <w:szCs w:val="22"/>
                <w:color w:val="auto"/>
              </w:rPr>
            </w:pPr>
          </w:p>
        </w:tc>
      </w:tr>
      <w:tr>
        <w:trPr>
          <w:trHeight w:val="276"/>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100" w:type="dxa"/>
            <w:vAlign w:val="bottom"/>
            <w:shd w:val="clear" w:color="auto" w:fill="F4F4F4"/>
          </w:tcPr>
          <w:p>
            <w:pPr>
              <w:spacing w:after="0"/>
              <w:rPr>
                <w:sz w:val="24"/>
                <w:szCs w:val="24"/>
                <w:color w:val="auto"/>
              </w:rPr>
            </w:pPr>
          </w:p>
        </w:tc>
      </w:tr>
      <w:tr>
        <w:trPr>
          <w:trHeight w:val="210"/>
        </w:trPr>
        <w:tc>
          <w:tcPr>
            <w:tcW w:w="7860" w:type="dxa"/>
            <w:vAlign w:val="bottom"/>
          </w:tcPr>
          <w:p>
            <w:pPr>
              <w:ind w:left="180"/>
              <w:spacing w:after="0"/>
              <w:rPr>
                <w:sz w:val="20"/>
                <w:szCs w:val="20"/>
                <w:color w:val="auto"/>
              </w:rPr>
            </w:pPr>
            <w:r>
              <w:rPr>
                <w:rFonts w:ascii="Arial" w:cs="Arial" w:eastAsia="Arial" w:hAnsi="Arial"/>
                <w:sz w:val="14"/>
                <w:szCs w:val="14"/>
                <w:color w:val="auto"/>
              </w:rPr>
              <w:t>Add: Acquisition-related deferred revenue write-down</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1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Stock-based compensation expense</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13.6</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13.7</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(1.1)%</w:t>
            </w:r>
          </w:p>
        </w:tc>
      </w:tr>
      <w:tr>
        <w:trPr>
          <w:trHeight w:val="210"/>
        </w:trPr>
        <w:tc>
          <w:tcPr>
            <w:tcW w:w="7860" w:type="dxa"/>
            <w:vAlign w:val="bottom"/>
          </w:tcPr>
          <w:p>
            <w:pPr>
              <w:ind w:left="180"/>
              <w:spacing w:after="0"/>
              <w:rPr>
                <w:sz w:val="20"/>
                <w:szCs w:val="20"/>
                <w:color w:val="auto"/>
              </w:rPr>
            </w:pPr>
            <w:r>
              <w:rPr>
                <w:rFonts w:ascii="Arial" w:cs="Arial" w:eastAsia="Arial" w:hAnsi="Arial"/>
                <w:sz w:val="14"/>
                <w:szCs w:val="14"/>
                <w:color w:val="auto"/>
              </w:rPr>
              <w:t>Add: Amortization of intangibles from business combinations</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11.7</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12.8</w:t>
            </w:r>
          </w:p>
        </w:tc>
        <w:tc>
          <w:tcPr>
            <w:tcW w:w="110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Employee severance</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3.4</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(97.2)%</w:t>
            </w:r>
          </w:p>
        </w:tc>
      </w:tr>
      <w:tr>
        <w:trPr>
          <w:trHeight w:val="210"/>
        </w:trPr>
        <w:tc>
          <w:tcPr>
            <w:tcW w:w="7860" w:type="dxa"/>
            <w:vAlign w:val="bottom"/>
          </w:tcPr>
          <w:p>
            <w:pPr>
              <w:ind w:left="180"/>
              <w:spacing w:after="0"/>
              <w:rPr>
                <w:sz w:val="20"/>
                <w:szCs w:val="20"/>
                <w:color w:val="auto"/>
              </w:rPr>
            </w:pPr>
            <w:r>
              <w:rPr>
                <w:rFonts w:ascii="Arial" w:cs="Arial" w:eastAsia="Arial" w:hAnsi="Arial"/>
                <w:sz w:val="14"/>
                <w:szCs w:val="14"/>
                <w:color w:val="auto"/>
              </w:rPr>
              <w:t>Add: Acquisition-related integration costs</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1100" w:type="dxa"/>
            <w:vAlign w:val="bottom"/>
          </w:tcPr>
          <w:p>
            <w:pPr>
              <w:jc w:val="right"/>
              <w:spacing w:after="0"/>
              <w:rPr>
                <w:sz w:val="20"/>
                <w:szCs w:val="20"/>
                <w:color w:val="auto"/>
              </w:rPr>
            </w:pPr>
            <w:r>
              <w:rPr>
                <w:rFonts w:ascii="Arial" w:cs="Arial" w:eastAsia="Arial" w:hAnsi="Arial"/>
                <w:sz w:val="14"/>
                <w:szCs w:val="14"/>
                <w:color w:val="auto"/>
              </w:rPr>
              <w:t>(104.5)%</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Acquisition-related expenses</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0.1</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0.4</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(68.8)%</w:t>
            </w:r>
          </w:p>
        </w:tc>
      </w:tr>
      <w:tr>
        <w:trPr>
          <w:trHeight w:val="210"/>
        </w:trPr>
        <w:tc>
          <w:tcPr>
            <w:tcW w:w="786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Add: Restructuring costs</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(98.8)%</w:t>
            </w:r>
          </w:p>
        </w:tc>
      </w:tr>
      <w:tr>
        <w:trPr>
          <w:trHeight w:val="216"/>
        </w:trPr>
        <w:tc>
          <w:tcPr>
            <w:tcW w:w="7860" w:type="dxa"/>
            <w:vAlign w:val="bottom"/>
            <w:shd w:val="clear" w:color="auto" w:fill="F4F4F4"/>
          </w:tcPr>
          <w:p>
            <w:pPr>
              <w:ind w:left="380"/>
              <w:spacing w:after="0"/>
              <w:rPr>
                <w:sz w:val="20"/>
                <w:szCs w:val="20"/>
                <w:color w:val="auto"/>
              </w:rPr>
            </w:pPr>
            <w:r>
              <w:rPr>
                <w:rFonts w:ascii="Arial" w:cs="Arial" w:eastAsia="Arial" w:hAnsi="Arial"/>
                <w:sz w:val="14"/>
                <w:szCs w:val="14"/>
                <w:color w:val="auto"/>
              </w:rPr>
              <w:t>Subtotal</w:t>
            </w:r>
            <w:r>
              <w:rPr>
                <w:rFonts w:ascii="Arial" w:cs="Arial" w:eastAsia="Arial" w:hAnsi="Arial"/>
                <w:sz w:val="11"/>
                <w:szCs w:val="11"/>
                <w:color w:val="auto"/>
              </w:rPr>
              <w:t>(1)</w:t>
            </w:r>
          </w:p>
        </w:tc>
        <w:tc>
          <w:tcPr>
            <w:tcW w:w="220" w:type="dxa"/>
            <w:vAlign w:val="bottom"/>
            <w:tcBorders>
              <w:bottom w:val="single" w:sz="8" w:color="auto"/>
            </w:tcBorders>
            <w:shd w:val="clear" w:color="auto" w:fill="F4F4F4"/>
          </w:tcPr>
          <w:p>
            <w:pPr>
              <w:spacing w:after="0"/>
              <w:rPr>
                <w:sz w:val="18"/>
                <w:szCs w:val="18"/>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25.5</w:t>
            </w:r>
          </w:p>
        </w:tc>
        <w:tc>
          <w:tcPr>
            <w:tcW w:w="220" w:type="dxa"/>
            <w:vAlign w:val="bottom"/>
            <w:tcBorders>
              <w:bottom w:val="single" w:sz="8" w:color="auto"/>
            </w:tcBorders>
            <w:shd w:val="clear" w:color="auto" w:fill="F4F4F4"/>
          </w:tcPr>
          <w:p>
            <w:pPr>
              <w:spacing w:after="0"/>
              <w:rPr>
                <w:sz w:val="18"/>
                <w:szCs w:val="18"/>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33.8</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(24.6)%</w:t>
            </w:r>
          </w:p>
        </w:tc>
      </w:tr>
      <w:tr>
        <w:trPr>
          <w:trHeight w:val="203"/>
        </w:trPr>
        <w:tc>
          <w:tcPr>
            <w:tcW w:w="7860" w:type="dxa"/>
            <w:vAlign w:val="bottom"/>
            <w:tcBorders>
              <w:bottom w:val="single" w:sz="8" w:color="F4F4F4"/>
            </w:tcBorders>
          </w:tcPr>
          <w:p>
            <w:pPr>
              <w:ind w:left="4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1"/>
                <w:szCs w:val="11"/>
                <w:b w:val="1"/>
                <w:bCs w:val="1"/>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33.9</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36.0</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(5.7)%</w:t>
            </w:r>
          </w:p>
        </w:tc>
      </w:tr>
      <w:tr>
        <w:trPr>
          <w:trHeight w:val="256"/>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operating margin</w:t>
            </w:r>
          </w:p>
        </w:tc>
        <w:tc>
          <w:tcPr>
            <w:tcW w:w="220" w:type="dxa"/>
            <w:vAlign w:val="bottom"/>
            <w:shd w:val="clear" w:color="auto" w:fill="F4F4F4"/>
          </w:tcPr>
          <w:p>
            <w:pPr>
              <w:spacing w:after="0"/>
              <w:rPr>
                <w:sz w:val="22"/>
                <w:szCs w:val="22"/>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F4F4F4"/>
          </w:tcPr>
          <w:p>
            <w:pPr>
              <w:spacing w:after="0"/>
              <w:rPr>
                <w:sz w:val="22"/>
                <w:szCs w:val="22"/>
                <w:color w:val="auto"/>
              </w:rPr>
            </w:pP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16.6%</w:t>
            </w:r>
          </w:p>
        </w:tc>
        <w:tc>
          <w:tcPr>
            <w:tcW w:w="1100" w:type="dxa"/>
            <w:vAlign w:val="bottom"/>
            <w:shd w:val="clear" w:color="auto" w:fill="F4F4F4"/>
          </w:tcPr>
          <w:p>
            <w:pPr>
              <w:spacing w:after="0"/>
              <w:rPr>
                <w:sz w:val="22"/>
                <w:szCs w:val="22"/>
                <w:color w:val="auto"/>
              </w:rPr>
            </w:pPr>
          </w:p>
        </w:tc>
      </w:tr>
      <w:tr>
        <w:trPr>
          <w:trHeight w:val="189"/>
        </w:trPr>
        <w:tc>
          <w:tcPr>
            <w:tcW w:w="7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6"/>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income (loss) before provision for income taxes</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5.3</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(3.0)</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(280.5)%</w:t>
            </w:r>
          </w:p>
        </w:tc>
      </w:tr>
      <w:tr>
        <w:trPr>
          <w:trHeight w:val="210"/>
        </w:trPr>
        <w:tc>
          <w:tcPr>
            <w:tcW w:w="7860" w:type="dxa"/>
            <w:vAlign w:val="bottom"/>
          </w:tcPr>
          <w:p>
            <w:pPr>
              <w:ind w:left="40"/>
              <w:spacing w:after="0"/>
              <w:rPr>
                <w:sz w:val="20"/>
                <w:szCs w:val="20"/>
                <w:color w:val="auto"/>
              </w:rPr>
            </w:pPr>
            <w:r>
              <w:rPr>
                <w:rFonts w:ascii="Arial" w:cs="Arial" w:eastAsia="Arial" w:hAnsi="Arial"/>
                <w:sz w:val="14"/>
                <w:szCs w:val="14"/>
                <w:b w:val="1"/>
                <w:bCs w:val="1"/>
                <w:color w:val="auto"/>
              </w:rPr>
              <w:t>GAAP net income (loss)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100" w:type="dxa"/>
            <w:vAlign w:val="bottom"/>
          </w:tcPr>
          <w:p>
            <w:pPr>
              <w:jc w:val="right"/>
              <w:spacing w:after="0"/>
              <w:rPr>
                <w:sz w:val="20"/>
                <w:szCs w:val="20"/>
                <w:color w:val="auto"/>
              </w:rPr>
            </w:pPr>
            <w:r>
              <w:rPr>
                <w:rFonts w:ascii="Arial" w:cs="Arial" w:eastAsia="Arial" w:hAnsi="Arial"/>
                <w:sz w:val="14"/>
                <w:szCs w:val="14"/>
                <w:color w:val="auto"/>
              </w:rPr>
              <w:t>(513.5)%</w:t>
            </w:r>
          </w:p>
        </w:tc>
      </w:tr>
      <w:tr>
        <w:trPr>
          <w:trHeight w:val="222"/>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color w:val="auto"/>
              </w:rPr>
              <w:t>Shares used in computing GAAP diluted earnings (loss) per share</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48,455,751</w:t>
            </w:r>
          </w:p>
        </w:tc>
        <w:tc>
          <w:tcPr>
            <w:tcW w:w="220" w:type="dxa"/>
            <w:vAlign w:val="bottom"/>
            <w:shd w:val="clear" w:color="auto" w:fill="F4F4F4"/>
          </w:tcPr>
          <w:p>
            <w:pPr>
              <w:spacing w:after="0"/>
              <w:rPr>
                <w:sz w:val="19"/>
                <w:szCs w:val="19"/>
                <w:color w:val="auto"/>
              </w:rPr>
            </w:pP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47,516,912</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2.0 %</w:t>
            </w:r>
          </w:p>
        </w:tc>
      </w:tr>
      <w:tr>
        <w:trPr>
          <w:trHeight w:val="210"/>
        </w:trPr>
        <w:tc>
          <w:tcPr>
            <w:tcW w:w="7860" w:type="dxa"/>
            <w:vAlign w:val="bottom"/>
          </w:tcPr>
          <w:p>
            <w:pPr>
              <w:ind w:left="180"/>
              <w:spacing w:after="0"/>
              <w:rPr>
                <w:sz w:val="20"/>
                <w:szCs w:val="20"/>
                <w:color w:val="auto"/>
              </w:rPr>
            </w:pPr>
            <w:r>
              <w:rPr>
                <w:rFonts w:ascii="Arial" w:cs="Arial" w:eastAsia="Arial" w:hAnsi="Arial"/>
                <w:sz w:val="14"/>
                <w:szCs w:val="14"/>
                <w:b w:val="1"/>
                <w:bCs w:val="1"/>
                <w:color w:val="auto"/>
              </w:rPr>
              <w:t>GAAP diluted earnings (loss) per share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0.10</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(0.02)</w:t>
            </w:r>
          </w:p>
        </w:tc>
        <w:tc>
          <w:tcPr>
            <w:tcW w:w="1100" w:type="dxa"/>
            <w:vAlign w:val="bottom"/>
          </w:tcPr>
          <w:p>
            <w:pPr>
              <w:jc w:val="right"/>
              <w:spacing w:after="0"/>
              <w:rPr>
                <w:sz w:val="20"/>
                <w:szCs w:val="20"/>
                <w:color w:val="auto"/>
              </w:rPr>
            </w:pPr>
            <w:r>
              <w:rPr>
                <w:rFonts w:ascii="Arial" w:cs="Arial" w:eastAsia="Arial" w:hAnsi="Arial"/>
                <w:sz w:val="14"/>
                <w:szCs w:val="14"/>
                <w:color w:val="auto"/>
              </w:rPr>
              <w:t>(600.0)%</w:t>
            </w:r>
          </w:p>
        </w:tc>
      </w:tr>
      <w:tr>
        <w:trPr>
          <w:trHeight w:val="276"/>
        </w:trPr>
        <w:tc>
          <w:tcPr>
            <w:tcW w:w="786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adjustments:</w:t>
            </w: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c>
          <w:tcPr>
            <w:tcW w:w="1100" w:type="dxa"/>
            <w:vAlign w:val="bottom"/>
            <w:shd w:val="clear" w:color="auto" w:fill="F4F4F4"/>
          </w:tcPr>
          <w:p>
            <w:pPr>
              <w:spacing w:after="0"/>
              <w:rPr>
                <w:sz w:val="24"/>
                <w:szCs w:val="24"/>
                <w:color w:val="auto"/>
              </w:rPr>
            </w:pPr>
          </w:p>
        </w:tc>
      </w:tr>
      <w:tr>
        <w:trPr>
          <w:trHeight w:val="210"/>
        </w:trPr>
        <w:tc>
          <w:tcPr>
            <w:tcW w:w="7860" w:type="dxa"/>
            <w:vAlign w:val="bottom"/>
          </w:tcPr>
          <w:p>
            <w:pPr>
              <w:ind w:left="180"/>
              <w:spacing w:after="0"/>
              <w:rPr>
                <w:sz w:val="20"/>
                <w:szCs w:val="20"/>
                <w:color w:val="auto"/>
              </w:rPr>
            </w:pPr>
            <w:r>
              <w:rPr>
                <w:rFonts w:ascii="Arial" w:cs="Arial" w:eastAsia="Arial" w:hAnsi="Arial"/>
                <w:sz w:val="14"/>
                <w:szCs w:val="14"/>
                <w:color w:val="auto"/>
              </w:rPr>
              <w:t>Add: GAAP income tax provision (benefit)</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220" w:type="dxa"/>
            <w:vAlign w:val="bottom"/>
          </w:tcPr>
          <w:p>
            <w:pPr>
              <w:spacing w:after="0"/>
              <w:rPr>
                <w:sz w:val="18"/>
                <w:szCs w:val="18"/>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(1.8)</w:t>
            </w:r>
          </w:p>
        </w:tc>
        <w:tc>
          <w:tcPr>
            <w:tcW w:w="1100" w:type="dxa"/>
            <w:vAlign w:val="bottom"/>
          </w:tcPr>
          <w:p>
            <w:pPr>
              <w:jc w:val="right"/>
              <w:spacing w:after="0"/>
              <w:rPr>
                <w:sz w:val="20"/>
                <w:szCs w:val="20"/>
                <w:color w:val="auto"/>
              </w:rPr>
            </w:pPr>
            <w:r>
              <w:rPr>
                <w:rFonts w:ascii="Arial" w:cs="Arial" w:eastAsia="Arial" w:hAnsi="Arial"/>
                <w:sz w:val="14"/>
                <w:szCs w:val="14"/>
                <w:color w:val="auto"/>
              </w:rPr>
              <w:t>(137.9)%</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Add: Total non-GAAP adjustments affecting income from operations</w:t>
            </w:r>
          </w:p>
        </w:tc>
        <w:tc>
          <w:tcPr>
            <w:tcW w:w="2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25.5</w:t>
            </w:r>
          </w:p>
        </w:tc>
        <w:tc>
          <w:tcPr>
            <w:tcW w:w="2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33.8</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(24.6)%</w:t>
            </w:r>
          </w:p>
        </w:tc>
      </w:tr>
      <w:tr>
        <w:trPr>
          <w:trHeight w:val="203"/>
        </w:trPr>
        <w:tc>
          <w:tcPr>
            <w:tcW w:w="7860" w:type="dxa"/>
            <w:vAlign w:val="bottom"/>
          </w:tcPr>
          <w:p>
            <w:pPr>
              <w:ind w:left="18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220" w:type="dxa"/>
            <w:vAlign w:val="bottom"/>
          </w:tcPr>
          <w:p>
            <w:pPr>
              <w:spacing w:after="0"/>
              <w:rPr>
                <w:sz w:val="17"/>
                <w:szCs w:val="17"/>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30.8</w:t>
            </w: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1"/>
                <w:szCs w:val="11"/>
                <w:color w:val="auto"/>
              </w:rPr>
              <w:t>(2)</w:t>
            </w:r>
          </w:p>
        </w:tc>
        <w:tc>
          <w:tcPr>
            <w:tcW w:w="2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6.2</w:t>
            </w:r>
          </w:p>
        </w:tc>
        <w:tc>
          <w:tcPr>
            <w:tcW w:w="22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6.2</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r>
      <w:tr>
        <w:trPr>
          <w:trHeight w:val="204"/>
        </w:trPr>
        <w:tc>
          <w:tcPr>
            <w:tcW w:w="7860" w:type="dxa"/>
            <w:vAlign w:val="bottom"/>
            <w:tcBorders>
              <w:bottom w:val="single" w:sz="8" w:color="F4F4F4"/>
            </w:tcBorders>
          </w:tcPr>
          <w:p>
            <w:pPr>
              <w:ind w:left="4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1"/>
                <w:szCs w:val="11"/>
                <w:b w:val="1"/>
                <w:bCs w:val="1"/>
                <w:color w:val="auto"/>
              </w:rPr>
              <w:t>(1)</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24.7</w:t>
            </w:r>
          </w:p>
        </w:tc>
        <w:tc>
          <w:tcPr>
            <w:tcW w:w="110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 %</w:t>
            </w:r>
          </w:p>
        </w:tc>
      </w:tr>
      <w:tr>
        <w:trPr>
          <w:trHeight w:val="188"/>
        </w:trPr>
        <w:tc>
          <w:tcPr>
            <w:tcW w:w="786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920" w:type="dxa"/>
            <w:vAlign w:val="bottom"/>
            <w:shd w:val="clear" w:color="auto" w:fill="F4F4F4"/>
          </w:tcPr>
          <w:p>
            <w:pPr>
              <w:spacing w:after="0"/>
              <w:rPr>
                <w:sz w:val="16"/>
                <w:szCs w:val="16"/>
                <w:color w:val="auto"/>
              </w:rPr>
            </w:pPr>
          </w:p>
        </w:tc>
        <w:tc>
          <w:tcPr>
            <w:tcW w:w="220" w:type="dxa"/>
            <w:vAlign w:val="bottom"/>
            <w:shd w:val="clear" w:color="auto" w:fill="F4F4F4"/>
          </w:tcPr>
          <w:p>
            <w:pPr>
              <w:spacing w:after="0"/>
              <w:rPr>
                <w:sz w:val="16"/>
                <w:szCs w:val="16"/>
                <w:color w:val="auto"/>
              </w:rPr>
            </w:pPr>
          </w:p>
        </w:tc>
        <w:tc>
          <w:tcPr>
            <w:tcW w:w="920" w:type="dxa"/>
            <w:vAlign w:val="bottom"/>
            <w:shd w:val="clear" w:color="auto" w:fill="F4F4F4"/>
          </w:tcPr>
          <w:p>
            <w:pPr>
              <w:spacing w:after="0"/>
              <w:rPr>
                <w:sz w:val="16"/>
                <w:szCs w:val="16"/>
                <w:color w:val="auto"/>
              </w:rPr>
            </w:pPr>
          </w:p>
        </w:tc>
        <w:tc>
          <w:tcPr>
            <w:tcW w:w="1100" w:type="dxa"/>
            <w:vAlign w:val="bottom"/>
            <w:shd w:val="clear" w:color="auto" w:fill="F4F4F4"/>
          </w:tcPr>
          <w:p>
            <w:pPr>
              <w:spacing w:after="0"/>
              <w:rPr>
                <w:sz w:val="16"/>
                <w:szCs w:val="16"/>
                <w:color w:val="auto"/>
              </w:rPr>
            </w:pPr>
          </w:p>
        </w:tc>
      </w:tr>
      <w:tr>
        <w:trPr>
          <w:trHeight w:val="210"/>
        </w:trPr>
        <w:tc>
          <w:tcPr>
            <w:tcW w:w="7860" w:type="dxa"/>
            <w:vAlign w:val="bottom"/>
          </w:tcPr>
          <w:p>
            <w:pPr>
              <w:ind w:left="40"/>
              <w:spacing w:after="0"/>
              <w:rPr>
                <w:sz w:val="20"/>
                <w:szCs w:val="20"/>
                <w:color w:val="auto"/>
              </w:rPr>
            </w:pPr>
            <w:r>
              <w:rPr>
                <w:rFonts w:ascii="Arial" w:cs="Arial" w:eastAsia="Arial" w:hAnsi="Arial"/>
                <w:sz w:val="14"/>
                <w:szCs w:val="14"/>
                <w:color w:val="auto"/>
              </w:rPr>
              <w:t>Shares used in computing non-GAAP diluted earnings per share</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48,455,751</w:t>
            </w:r>
          </w:p>
        </w:tc>
        <w:tc>
          <w:tcPr>
            <w:tcW w:w="220" w:type="dxa"/>
            <w:vAlign w:val="bottom"/>
          </w:tcPr>
          <w:p>
            <w:pPr>
              <w:spacing w:after="0"/>
              <w:rPr>
                <w:sz w:val="18"/>
                <w:szCs w:val="18"/>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48,051,289</w:t>
            </w:r>
          </w:p>
        </w:tc>
        <w:tc>
          <w:tcPr>
            <w:tcW w:w="1100" w:type="dxa"/>
            <w:vAlign w:val="bottom"/>
          </w:tcPr>
          <w:p>
            <w:pPr>
              <w:jc w:val="right"/>
              <w:spacing w:after="0"/>
              <w:rPr>
                <w:sz w:val="20"/>
                <w:szCs w:val="20"/>
                <w:color w:val="auto"/>
              </w:rPr>
            </w:pPr>
            <w:r>
              <w:rPr>
                <w:rFonts w:ascii="Arial" w:cs="Arial" w:eastAsia="Arial" w:hAnsi="Arial"/>
                <w:sz w:val="14"/>
                <w:szCs w:val="14"/>
                <w:color w:val="auto"/>
              </w:rPr>
              <w:t>0.8 %</w:t>
            </w:r>
          </w:p>
        </w:tc>
      </w:tr>
      <w:tr>
        <w:trPr>
          <w:trHeight w:val="222"/>
        </w:trPr>
        <w:tc>
          <w:tcPr>
            <w:tcW w:w="7860" w:type="dxa"/>
            <w:vAlign w:val="bottom"/>
            <w:shd w:val="clear" w:color="auto" w:fill="F4F4F4"/>
          </w:tcPr>
          <w:p>
            <w:pPr>
              <w:ind w:left="180"/>
              <w:spacing w:after="0"/>
              <w:rPr>
                <w:sz w:val="20"/>
                <w:szCs w:val="20"/>
                <w:color w:val="auto"/>
              </w:rPr>
            </w:pPr>
            <w:r>
              <w:rPr>
                <w:rFonts w:ascii="Arial" w:cs="Arial" w:eastAsia="Arial" w:hAnsi="Arial"/>
                <w:sz w:val="14"/>
                <w:szCs w:val="14"/>
                <w:b w:val="1"/>
                <w:bCs w:val="1"/>
                <w:color w:val="auto"/>
              </w:rPr>
              <w:t>Non-GAAP diluted earnings per share</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0.51</w:t>
            </w:r>
          </w:p>
        </w:tc>
        <w:tc>
          <w:tcPr>
            <w:tcW w:w="220" w:type="dxa"/>
            <w:vAlign w:val="bottom"/>
            <w:shd w:val="clear" w:color="auto" w:fill="F4F4F4"/>
          </w:tcPr>
          <w:p>
            <w:pPr>
              <w:jc w:val="right"/>
              <w:ind w:right="4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0.51</w:t>
            </w:r>
          </w:p>
        </w:tc>
        <w:tc>
          <w:tcPr>
            <w:tcW w:w="110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income from operations or non-GAAP net income due to rounding.</w:t>
      </w:r>
    </w:p>
    <w:p>
      <w:pPr>
        <w:spacing w:after="0" w:line="7"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15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683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88"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FFFFFF"/>
          <w:highlight w:val="darkGray"/>
        </w:rPr>
        <w:t>Three months ended</w:t>
      </w:r>
    </w:p>
    <w:tbl>
      <w:tblPr>
        <w:tblLayout w:type="fixed"/>
        <w:tblInd w:w="0" w:type="dxa"/>
        <w:tblCellMar>
          <w:top w:w="0" w:type="dxa"/>
          <w:left w:w="0" w:type="dxa"/>
          <w:bottom w:w="0" w:type="dxa"/>
          <w:right w:w="0" w:type="dxa"/>
        </w:tblCellMar>
      </w:tblPr>
      <w:tr>
        <w:trPr>
          <w:trHeight w:val="159"/>
        </w:trPr>
        <w:tc>
          <w:tcPr>
            <w:tcW w:w="7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shd w:val="clear" w:color="auto" w:fill="ACACAC"/>
          </w:tcPr>
          <w:p>
            <w:pPr>
              <w:jc w:val="right"/>
              <w:spacing w:after="0" w:line="159" w:lineRule="exact"/>
              <w:rPr>
                <w:sz w:val="20"/>
                <w:szCs w:val="20"/>
                <w:color w:val="auto"/>
              </w:rPr>
            </w:pPr>
            <w:r>
              <w:rPr>
                <w:rFonts w:ascii="Arial" w:cs="Arial" w:eastAsia="Arial" w:hAnsi="Arial"/>
                <w:sz w:val="14"/>
                <w:szCs w:val="14"/>
                <w:b w:val="1"/>
                <w:bCs w:val="1"/>
                <w:color w:val="FFFFFF"/>
                <w:highlight w:val="darkGray"/>
                <w:w w:val="99"/>
              </w:rPr>
              <w:t>March 31,</w:t>
            </w:r>
          </w:p>
        </w:tc>
        <w:tc>
          <w:tcPr>
            <w:tcW w:w="240" w:type="dxa"/>
            <w:vAlign w:val="bottom"/>
          </w:tcPr>
          <w:p>
            <w:pPr>
              <w:spacing w:after="0"/>
              <w:rPr>
                <w:sz w:val="13"/>
                <w:szCs w:val="13"/>
                <w:color w:val="auto"/>
              </w:rPr>
            </w:pP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30"/>
        </w:trPr>
        <w:tc>
          <w:tcPr>
            <w:tcW w:w="75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180" w:type="dxa"/>
            <w:vAlign w:val="bottom"/>
            <w:shd w:val="clear" w:color="auto" w:fill="ACACAC"/>
          </w:tcPr>
          <w:p>
            <w:pPr>
              <w:spacing w:after="0"/>
              <w:rPr>
                <w:sz w:val="19"/>
                <w:szCs w:val="19"/>
                <w:color w:val="auto"/>
              </w:rPr>
            </w:pPr>
          </w:p>
        </w:tc>
        <w:tc>
          <w:tcPr>
            <w:tcW w:w="1040" w:type="dxa"/>
            <w:vAlign w:val="bottom"/>
            <w:shd w:val="clear" w:color="auto" w:fill="ACACAC"/>
          </w:tcPr>
          <w:p>
            <w:pPr>
              <w:jc w:val="right"/>
              <w:ind w:right="16"/>
              <w:spacing w:after="0"/>
              <w:rPr>
                <w:sz w:val="20"/>
                <w:szCs w:val="20"/>
                <w:color w:val="auto"/>
              </w:rPr>
            </w:pPr>
            <w:r>
              <w:rPr>
                <w:rFonts w:ascii="Arial" w:cs="Arial" w:eastAsia="Arial" w:hAnsi="Arial"/>
                <w:sz w:val="14"/>
                <w:szCs w:val="14"/>
                <w:b w:val="1"/>
                <w:bCs w:val="1"/>
                <w:color w:val="FFFFFF"/>
              </w:rPr>
              <w:t>2020</w:t>
            </w:r>
          </w:p>
        </w:tc>
        <w:tc>
          <w:tcPr>
            <w:tcW w:w="440" w:type="dxa"/>
            <w:vAlign w:val="bottom"/>
            <w:shd w:val="clear" w:color="auto" w:fill="ACACAC"/>
          </w:tcPr>
          <w:p>
            <w:pPr>
              <w:spacing w:after="0"/>
              <w:rPr>
                <w:sz w:val="19"/>
                <w:szCs w:val="19"/>
                <w:color w:val="auto"/>
              </w:rPr>
            </w:pPr>
          </w:p>
        </w:tc>
        <w:tc>
          <w:tcPr>
            <w:tcW w:w="800" w:type="dxa"/>
            <w:vAlign w:val="bottom"/>
            <w:shd w:val="clear" w:color="auto" w:fill="ACACAC"/>
          </w:tcPr>
          <w:p>
            <w:pPr>
              <w:jc w:val="right"/>
              <w:ind w:right="14"/>
              <w:spacing w:after="0"/>
              <w:rPr>
                <w:sz w:val="20"/>
                <w:szCs w:val="20"/>
                <w:color w:val="auto"/>
              </w:rPr>
            </w:pPr>
            <w:r>
              <w:rPr>
                <w:rFonts w:ascii="Arial" w:cs="Arial" w:eastAsia="Arial" w:hAnsi="Arial"/>
                <w:sz w:val="14"/>
                <w:szCs w:val="14"/>
                <w:b w:val="1"/>
                <w:bCs w:val="1"/>
                <w:color w:val="FFFFFF"/>
              </w:rPr>
              <w:t>2019</w:t>
            </w:r>
          </w:p>
        </w:tc>
        <w:tc>
          <w:tcPr>
            <w:tcW w:w="340" w:type="dxa"/>
            <w:vAlign w:val="bottom"/>
            <w:shd w:val="clear" w:color="auto" w:fill="ACACAC"/>
          </w:tcPr>
          <w:p>
            <w:pPr>
              <w:spacing w:after="0"/>
              <w:rPr>
                <w:sz w:val="19"/>
                <w:szCs w:val="19"/>
                <w:color w:val="auto"/>
              </w:rPr>
            </w:pPr>
          </w:p>
        </w:tc>
        <w:tc>
          <w:tcPr>
            <w:tcW w:w="900" w:type="dxa"/>
            <w:vAlign w:val="bottom"/>
            <w:gridSpan w:val="2"/>
            <w:shd w:val="clear" w:color="auto" w:fill="ACACAC"/>
          </w:tcPr>
          <w:p>
            <w:pPr>
              <w:jc w:val="right"/>
              <w:ind w:right="240"/>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5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GAAP net cash used in operating activities</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w:t>
            </w:r>
          </w:p>
        </w:tc>
        <w:tc>
          <w:tcPr>
            <w:tcW w:w="1240" w:type="dxa"/>
            <w:vAlign w:val="bottom"/>
            <w:tcBorders>
              <w:bottom w:val="single" w:sz="8" w:color="F4F4F4"/>
            </w:tcBorders>
            <w:gridSpan w:val="3"/>
            <w:shd w:val="clear" w:color="auto" w:fill="F4F4F4"/>
          </w:tcPr>
          <w:p>
            <w:pPr>
              <w:jc w:val="right"/>
              <w:ind w:right="40"/>
              <w:spacing w:after="0"/>
              <w:rPr>
                <w:sz w:val="20"/>
                <w:szCs w:val="20"/>
                <w:color w:val="auto"/>
              </w:rPr>
            </w:pPr>
            <w:r>
              <w:rPr>
                <w:rFonts w:ascii="Arial" w:cs="Arial" w:eastAsia="Arial" w:hAnsi="Arial"/>
                <w:sz w:val="18"/>
                <w:szCs w:val="18"/>
                <w:color w:val="auto"/>
              </w:rPr>
              <w:t>144.8 %</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Less: purchase of property and equipment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148.9 %</w:t>
            </w:r>
          </w:p>
        </w:tc>
      </w:tr>
      <w:tr>
        <w:trPr>
          <w:trHeight w:val="27"/>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70"/>
        </w:trPr>
        <w:tc>
          <w:tcPr>
            <w:tcW w:w="7540" w:type="dxa"/>
            <w:vAlign w:val="bottom"/>
            <w:tcBorders>
              <w:bottom w:val="single" w:sz="8" w:color="F4F4F4"/>
            </w:tcBorders>
            <w:shd w:val="clear" w:color="auto" w:fill="F4F4F4"/>
          </w:tcPr>
          <w:p>
            <w:pPr>
              <w:ind w:left="180"/>
              <w:spacing w:after="0"/>
              <w:rPr>
                <w:sz w:val="20"/>
                <w:szCs w:val="20"/>
                <w:color w:val="auto"/>
              </w:rPr>
            </w:pPr>
            <w:r>
              <w:rPr>
                <w:rFonts w:ascii="Arial" w:cs="Arial" w:eastAsia="Arial" w:hAnsi="Arial"/>
                <w:sz w:val="18"/>
                <w:szCs w:val="18"/>
                <w:color w:val="auto"/>
              </w:rPr>
              <w:t>Less: capitalized software development costs</w:t>
            </w:r>
          </w:p>
        </w:tc>
        <w:tc>
          <w:tcPr>
            <w:tcW w:w="180" w:type="dxa"/>
            <w:vAlign w:val="bottom"/>
            <w:tcBorders>
              <w:bottom w:val="single" w:sz="8" w:color="F4F4F4"/>
            </w:tcBorders>
            <w:shd w:val="clear" w:color="auto" w:fill="F4F4F4"/>
          </w:tcPr>
          <w:p>
            <w:pPr>
              <w:spacing w:after="0"/>
              <w:rPr>
                <w:sz w:val="23"/>
                <w:szCs w:val="23"/>
                <w:color w:val="auto"/>
              </w:rPr>
            </w:pPr>
          </w:p>
        </w:tc>
        <w:tc>
          <w:tcPr>
            <w:tcW w:w="10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w:t>
            </w:r>
          </w:p>
        </w:tc>
        <w:tc>
          <w:tcPr>
            <w:tcW w:w="440" w:type="dxa"/>
            <w:vAlign w:val="bottom"/>
            <w:tcBorders>
              <w:bottom w:val="single" w:sz="8" w:color="F4F4F4"/>
            </w:tcBorders>
            <w:shd w:val="clear" w:color="auto" w:fill="F4F4F4"/>
          </w:tcPr>
          <w:p>
            <w:pPr>
              <w:spacing w:after="0"/>
              <w:rPr>
                <w:sz w:val="23"/>
                <w:szCs w:val="23"/>
                <w:color w:val="auto"/>
              </w:rPr>
            </w:pPr>
          </w:p>
        </w:tc>
        <w:tc>
          <w:tcPr>
            <w:tcW w:w="8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(11.3)</w:t>
            </w:r>
          </w:p>
        </w:tc>
        <w:tc>
          <w:tcPr>
            <w:tcW w:w="1240" w:type="dxa"/>
            <w:vAlign w:val="bottom"/>
            <w:tcBorders>
              <w:bottom w:val="single" w:sz="8" w:color="F4F4F4"/>
            </w:tcBorders>
            <w:gridSpan w:val="3"/>
            <w:shd w:val="clear" w:color="auto" w:fill="F4F4F4"/>
          </w:tcPr>
          <w:p>
            <w:pPr>
              <w:jc w:val="right"/>
              <w:ind w:right="40"/>
              <w:spacing w:after="0"/>
              <w:rPr>
                <w:sz w:val="20"/>
                <w:szCs w:val="20"/>
                <w:color w:val="auto"/>
              </w:rPr>
            </w:pPr>
            <w:r>
              <w:rPr>
                <w:rFonts w:ascii="Arial" w:cs="Arial" w:eastAsia="Arial" w:hAnsi="Arial"/>
                <w:sz w:val="18"/>
                <w:szCs w:val="18"/>
                <w:color w:val="auto"/>
              </w:rPr>
              <w:t>(3.4)%</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b w:val="1"/>
                <w:bCs w:val="1"/>
                <w:color w:val="auto"/>
              </w:rPr>
              <w:t>Non-GAAP free cash flow</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70.4 %</w:t>
            </w:r>
          </w:p>
        </w:tc>
      </w:tr>
      <w:tr>
        <w:trPr>
          <w:trHeight w:val="27"/>
        </w:trPr>
        <w:tc>
          <w:tcPr>
            <w:tcW w:w="7540" w:type="dxa"/>
            <w:vAlign w:val="bottom"/>
            <w:tcBorders>
              <w:bottom w:val="single" w:sz="8" w:color="71BF43"/>
            </w:tcBorders>
          </w:tcPr>
          <w:p>
            <w:pPr>
              <w:spacing w:after="0"/>
              <w:rPr>
                <w:sz w:val="2"/>
                <w:szCs w:val="2"/>
                <w:color w:val="auto"/>
              </w:rPr>
            </w:pPr>
          </w:p>
        </w:tc>
        <w:tc>
          <w:tcPr>
            <w:tcW w:w="180" w:type="dxa"/>
            <w:vAlign w:val="bottom"/>
            <w:tcBorders>
              <w:bottom w:val="single" w:sz="8" w:color="71BF43"/>
            </w:tcBorders>
          </w:tcPr>
          <w:p>
            <w:pPr>
              <w:spacing w:after="0"/>
              <w:rPr>
                <w:sz w:val="2"/>
                <w:szCs w:val="2"/>
                <w:color w:val="auto"/>
              </w:rPr>
            </w:pPr>
          </w:p>
        </w:tc>
        <w:tc>
          <w:tcPr>
            <w:tcW w:w="2280" w:type="dxa"/>
            <w:vAlign w:val="bottom"/>
            <w:tcBorders>
              <w:bottom w:val="single" w:sz="8" w:color="71BF43"/>
            </w:tcBorders>
            <w:gridSpan w:val="3"/>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660" w:type="dxa"/>
            <w:vAlign w:val="bottom"/>
            <w:tcBorders>
              <w:bottom w:val="single" w:sz="8" w:color="71BF43"/>
            </w:tcBorders>
          </w:tcPr>
          <w:p>
            <w:pPr>
              <w:spacing w:after="0"/>
              <w:rPr>
                <w:sz w:val="2"/>
                <w:szCs w:val="2"/>
                <w:color w:val="auto"/>
              </w:rPr>
            </w:pPr>
          </w:p>
        </w:tc>
        <w:tc>
          <w:tcPr>
            <w:tcW w:w="240" w:type="dxa"/>
            <w:vAlign w:val="bottom"/>
            <w:tcBorders>
              <w:bottom w:val="single" w:sz="8" w:color="71BF43"/>
            </w:tcBorders>
          </w:tcPr>
          <w:p>
            <w:pPr>
              <w:spacing w:after="0"/>
              <w:rPr>
                <w:sz w:val="2"/>
                <w:szCs w:val="2"/>
                <w:color w:val="auto"/>
              </w:rPr>
            </w:pPr>
          </w:p>
        </w:tc>
      </w:tr>
      <w:tr>
        <w:trPr>
          <w:trHeight w:val="549"/>
        </w:trPr>
        <w:tc>
          <w:tcPr>
            <w:tcW w:w="7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right"/>
              <w:ind w:right="374"/>
              <w:spacing w:after="0"/>
              <w:rPr>
                <w:sz w:val="20"/>
                <w:szCs w:val="20"/>
                <w:color w:val="auto"/>
              </w:rPr>
            </w:pPr>
            <w:r>
              <w:rPr>
                <w:rFonts w:ascii="Arial" w:cs="Arial" w:eastAsia="Arial" w:hAnsi="Arial"/>
                <w:sz w:val="14"/>
                <w:szCs w:val="14"/>
                <w:color w:val="auto"/>
                <w:w w:val="97"/>
              </w:rPr>
              <w:t>First Quarter 2020 Form 10-Q</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organic revenue growth</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we discuss non-GAAP organic revenue growth, non-GAAP organic revenue growth on a constant currency basis and non-GAAP organic recurring revenue growth, in analyzing our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and they include the non-GAAP revenue attributable to those companies, as if there were no acquisition-related write-downs of acquired deferred revenue to fair value as required by GAAP.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3689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368935"/>
                    </a:xfrm>
                    <a:prstGeom prst="rect">
                      <a:avLst/>
                    </a:prstGeom>
                    <a:noFill/>
                  </pic:spPr>
                </pic:pic>
              </a:graphicData>
            </a:graphic>
          </wp:anchor>
        </w:drawing>
      </w:r>
    </w:p>
    <w:p>
      <w:pPr>
        <w:spacing w:after="0" w:line="86"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FFFFFF"/>
        </w:rPr>
        <w:t>Three months ended</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March 31,</w:t>
            </w:r>
          </w:p>
        </w:tc>
      </w:tr>
      <w:tr>
        <w:trPr>
          <w:trHeight w:val="219"/>
        </w:trPr>
        <w:tc>
          <w:tcPr>
            <w:tcW w:w="874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40" w:type="dxa"/>
            <w:vAlign w:val="bottom"/>
          </w:tcPr>
          <w:p>
            <w:pPr>
              <w:spacing w:after="0"/>
              <w:rPr>
                <w:sz w:val="19"/>
                <w:szCs w:val="19"/>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FFFFFF"/>
              </w:rPr>
              <w:t>2020</w:t>
            </w:r>
          </w:p>
        </w:tc>
        <w:tc>
          <w:tcPr>
            <w:tcW w:w="300" w:type="dxa"/>
            <w:vAlign w:val="bottom"/>
          </w:tcPr>
          <w:p>
            <w:pPr>
              <w:spacing w:after="0"/>
              <w:rPr>
                <w:sz w:val="19"/>
                <w:szCs w:val="19"/>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FFFFFF"/>
              </w:rPr>
              <w:t>2019</w:t>
            </w:r>
          </w:p>
        </w:tc>
      </w:tr>
      <w:tr>
        <w:trPr>
          <w:trHeight w:val="222"/>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color w:val="auto"/>
              </w:rPr>
              <w:t>GAAP revenue</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223.6</w:t>
            </w:r>
          </w:p>
        </w:tc>
        <w:tc>
          <w:tcPr>
            <w:tcW w:w="3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215.8</w:t>
            </w:r>
          </w:p>
        </w:tc>
      </w:tr>
      <w:tr>
        <w:trPr>
          <w:trHeight w:val="264"/>
        </w:trPr>
        <w:tc>
          <w:tcPr>
            <w:tcW w:w="8740" w:type="dxa"/>
            <w:vAlign w:val="bottom"/>
          </w:tcPr>
          <w:p>
            <w:pPr>
              <w:ind w:left="40"/>
              <w:spacing w:after="0"/>
              <w:rPr>
                <w:sz w:val="20"/>
                <w:szCs w:val="20"/>
                <w:color w:val="auto"/>
              </w:rPr>
            </w:pPr>
            <w:r>
              <w:rPr>
                <w:rFonts w:ascii="Arial" w:cs="Arial" w:eastAsia="Arial" w:hAnsi="Arial"/>
                <w:sz w:val="14"/>
                <w:szCs w:val="14"/>
                <w:b w:val="1"/>
                <w:bCs w:val="1"/>
                <w:color w:val="auto"/>
              </w:rPr>
              <w:t>GAAP revenue growth</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3.6%</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8740" w:type="dxa"/>
            <w:vAlign w:val="bottom"/>
            <w:shd w:val="clear" w:color="auto" w:fill="F4F4F4"/>
          </w:tcPr>
          <w:p>
            <w:pPr>
              <w:ind w:left="180"/>
              <w:spacing w:after="0"/>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1"/>
                <w:szCs w:val="11"/>
                <w:color w:val="auto"/>
              </w:rPr>
              <w:t>(1)</w:t>
            </w:r>
          </w:p>
        </w:tc>
        <w:tc>
          <w:tcPr>
            <w:tcW w:w="440" w:type="dxa"/>
            <w:vAlign w:val="bottom"/>
            <w:tcBorders>
              <w:bottom w:val="single" w:sz="8" w:color="auto"/>
            </w:tcBorders>
            <w:shd w:val="clear" w:color="auto" w:fill="F4F4F4"/>
          </w:tcPr>
          <w:p>
            <w:pPr>
              <w:spacing w:after="0"/>
              <w:rPr>
                <w:sz w:val="18"/>
                <w:szCs w:val="18"/>
                <w:color w:val="auto"/>
              </w:rPr>
            </w:pP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F4F4F4"/>
          </w:tcPr>
          <w:p>
            <w:pPr>
              <w:spacing w:after="0"/>
              <w:rPr>
                <w:sz w:val="18"/>
                <w:szCs w:val="18"/>
                <w:color w:val="auto"/>
              </w:rPr>
            </w:pPr>
          </w:p>
        </w:tc>
        <w:tc>
          <w:tcPr>
            <w:tcW w:w="920" w:type="dxa"/>
            <w:vAlign w:val="bottom"/>
            <w:tcBorders>
              <w:bottom w:val="single" w:sz="8" w:color="auto"/>
            </w:tcBorders>
            <w:shd w:val="clear" w:color="auto" w:fill="F4F4F4"/>
          </w:tcPr>
          <w:p>
            <w:pPr>
              <w:jc w:val="right"/>
              <w:ind w:right="28"/>
              <w:spacing w:after="0"/>
              <w:rPr>
                <w:sz w:val="20"/>
                <w:szCs w:val="20"/>
                <w:color w:val="auto"/>
              </w:rPr>
            </w:pPr>
            <w:r>
              <w:rPr>
                <w:rFonts w:ascii="Arial" w:cs="Arial" w:eastAsia="Arial" w:hAnsi="Arial"/>
                <w:sz w:val="14"/>
                <w:szCs w:val="14"/>
                <w:color w:val="auto"/>
              </w:rPr>
              <w:t>0.7</w:t>
            </w:r>
          </w:p>
        </w:tc>
      </w:tr>
      <w:tr>
        <w:trPr>
          <w:trHeight w:val="210"/>
        </w:trPr>
        <w:tc>
          <w:tcPr>
            <w:tcW w:w="8740" w:type="dxa"/>
            <w:vAlign w:val="bottom"/>
            <w:tcBorders>
              <w:bottom w:val="single" w:sz="8" w:color="F4F4F4"/>
            </w:tcBorders>
          </w:tcPr>
          <w:p>
            <w:pPr>
              <w:ind w:left="40"/>
              <w:spacing w:after="0"/>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1"/>
                <w:szCs w:val="11"/>
                <w:color w:val="auto"/>
              </w:rPr>
              <w:t>(2)</w:t>
            </w:r>
          </w:p>
        </w:tc>
        <w:tc>
          <w:tcPr>
            <w:tcW w:w="4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223.6</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216.5</w:t>
            </w:r>
          </w:p>
        </w:tc>
      </w:tr>
      <w:tr>
        <w:trPr>
          <w:trHeight w:val="270"/>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Non-GAAP organic revenue growth</w:t>
            </w:r>
          </w:p>
        </w:tc>
        <w:tc>
          <w:tcPr>
            <w:tcW w:w="440" w:type="dxa"/>
            <w:vAlign w:val="bottom"/>
            <w:shd w:val="clear" w:color="auto" w:fill="F4F4F4"/>
          </w:tcPr>
          <w:p>
            <w:pPr>
              <w:spacing w:after="0"/>
              <w:rPr>
                <w:sz w:val="23"/>
                <w:szCs w:val="23"/>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3.3%</w:t>
            </w:r>
          </w:p>
        </w:tc>
        <w:tc>
          <w:tcPr>
            <w:tcW w:w="300" w:type="dxa"/>
            <w:vAlign w:val="bottom"/>
            <w:shd w:val="clear" w:color="auto" w:fill="F4F4F4"/>
          </w:tcPr>
          <w:p>
            <w:pPr>
              <w:spacing w:after="0"/>
              <w:rPr>
                <w:sz w:val="23"/>
                <w:szCs w:val="23"/>
                <w:color w:val="auto"/>
              </w:rPr>
            </w:pPr>
          </w:p>
        </w:tc>
        <w:tc>
          <w:tcPr>
            <w:tcW w:w="920" w:type="dxa"/>
            <w:vAlign w:val="bottom"/>
            <w:shd w:val="clear" w:color="auto" w:fill="F4F4F4"/>
          </w:tcPr>
          <w:p>
            <w:pPr>
              <w:spacing w:after="0"/>
              <w:rPr>
                <w:sz w:val="23"/>
                <w:szCs w:val="23"/>
                <w:color w:val="auto"/>
              </w:rPr>
            </w:pPr>
          </w:p>
        </w:tc>
      </w:tr>
      <w:tr>
        <w:trPr>
          <w:trHeight w:val="189"/>
        </w:trPr>
        <w:tc>
          <w:tcPr>
            <w:tcW w:w="8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6"/>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color w:val="auto"/>
              </w:rPr>
              <w:t xml:space="preserve">Non-GAAP organic revenue </w:t>
            </w:r>
            <w:r>
              <w:rPr>
                <w:rFonts w:ascii="Arial" w:cs="Arial" w:eastAsia="Arial" w:hAnsi="Arial"/>
                <w:sz w:val="11"/>
                <w:szCs w:val="11"/>
                <w:color w:val="auto"/>
              </w:rPr>
              <w:t>(2)</w:t>
            </w:r>
          </w:p>
        </w:tc>
        <w:tc>
          <w:tcPr>
            <w:tcW w:w="440" w:type="dxa"/>
            <w:vAlign w:val="bottom"/>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223.6</w:t>
            </w:r>
          </w:p>
        </w:tc>
        <w:tc>
          <w:tcPr>
            <w:tcW w:w="30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ind w:right="28"/>
              <w:spacing w:after="0"/>
              <w:rPr>
                <w:sz w:val="20"/>
                <w:szCs w:val="20"/>
                <w:color w:val="auto"/>
              </w:rPr>
            </w:pPr>
            <w:r>
              <w:rPr>
                <w:rFonts w:ascii="Arial" w:cs="Arial" w:eastAsia="Arial" w:hAnsi="Arial"/>
                <w:sz w:val="14"/>
                <w:szCs w:val="14"/>
                <w:color w:val="auto"/>
              </w:rPr>
              <w:t>216.5</w:t>
            </w:r>
          </w:p>
        </w:tc>
      </w:tr>
      <w:tr>
        <w:trPr>
          <w:trHeight w:val="210"/>
        </w:trPr>
        <w:tc>
          <w:tcPr>
            <w:tcW w:w="8740" w:type="dxa"/>
            <w:vAlign w:val="bottom"/>
            <w:tcBorders>
              <w:bottom w:val="single" w:sz="8" w:color="F4F4F4"/>
            </w:tcBorders>
          </w:tcPr>
          <w:p>
            <w:pPr>
              <w:ind w:left="40"/>
              <w:spacing w:after="0"/>
              <w:rPr>
                <w:sz w:val="20"/>
                <w:szCs w:val="20"/>
                <w:color w:val="auto"/>
              </w:rPr>
            </w:pPr>
            <w:r>
              <w:rPr>
                <w:rFonts w:ascii="Arial" w:cs="Arial" w:eastAsia="Arial" w:hAnsi="Arial"/>
                <w:sz w:val="14"/>
                <w:szCs w:val="14"/>
                <w:color w:val="auto"/>
              </w:rPr>
              <w:t xml:space="preserve">Foreign currency impact on Non-GAAP organic revenue </w:t>
            </w:r>
            <w:r>
              <w:rPr>
                <w:rFonts w:ascii="Arial" w:cs="Arial" w:eastAsia="Arial" w:hAnsi="Arial"/>
                <w:sz w:val="11"/>
                <w:szCs w:val="11"/>
                <w:color w:val="auto"/>
              </w:rPr>
              <w:t>(3)</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0.3</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color w:val="auto"/>
              </w:rPr>
              <w:t xml:space="preserve">Non-GAAP organic revenue on constant currency basis </w:t>
            </w:r>
            <w:r>
              <w:rPr>
                <w:rFonts w:ascii="Arial" w:cs="Arial" w:eastAsia="Arial" w:hAnsi="Arial"/>
                <w:sz w:val="11"/>
                <w:szCs w:val="11"/>
                <w:color w:val="auto"/>
              </w:rPr>
              <w:t>(3)</w:t>
            </w:r>
          </w:p>
        </w:tc>
        <w:tc>
          <w:tcPr>
            <w:tcW w:w="440" w:type="dxa"/>
            <w:vAlign w:val="bottom"/>
            <w:tcBorders>
              <w:bottom w:val="single" w:sz="8" w:color="auto"/>
            </w:tcBorders>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223.9</w:t>
            </w:r>
          </w:p>
        </w:tc>
        <w:tc>
          <w:tcPr>
            <w:tcW w:w="30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ind w:right="28"/>
              <w:spacing w:after="0"/>
              <w:rPr>
                <w:sz w:val="20"/>
                <w:szCs w:val="20"/>
                <w:color w:val="auto"/>
              </w:rPr>
            </w:pPr>
            <w:r>
              <w:rPr>
                <w:rFonts w:ascii="Arial" w:cs="Arial" w:eastAsia="Arial" w:hAnsi="Arial"/>
                <w:sz w:val="14"/>
                <w:szCs w:val="14"/>
                <w:color w:val="auto"/>
              </w:rPr>
              <w:t>216.5</w:t>
            </w:r>
          </w:p>
        </w:tc>
      </w:tr>
      <w:tr>
        <w:trPr>
          <w:trHeight w:val="263"/>
        </w:trPr>
        <w:tc>
          <w:tcPr>
            <w:tcW w:w="8740" w:type="dxa"/>
            <w:vAlign w:val="bottom"/>
          </w:tcPr>
          <w:p>
            <w:pPr>
              <w:ind w:left="4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3.4%</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95"/>
        </w:trPr>
        <w:tc>
          <w:tcPr>
            <w:tcW w:w="8740" w:type="dxa"/>
            <w:vAlign w:val="bottom"/>
            <w:shd w:val="clear" w:color="auto" w:fill="F4F4F4"/>
          </w:tcPr>
          <w:p>
            <w:pPr>
              <w:spacing w:after="0"/>
              <w:rPr>
                <w:sz w:val="16"/>
                <w:szCs w:val="16"/>
                <w:color w:val="auto"/>
              </w:rPr>
            </w:pPr>
          </w:p>
        </w:tc>
        <w:tc>
          <w:tcPr>
            <w:tcW w:w="440" w:type="dxa"/>
            <w:vAlign w:val="bottom"/>
            <w:shd w:val="clear" w:color="auto" w:fill="F4F4F4"/>
          </w:tcPr>
          <w:p>
            <w:pPr>
              <w:spacing w:after="0"/>
              <w:rPr>
                <w:sz w:val="16"/>
                <w:szCs w:val="16"/>
                <w:color w:val="auto"/>
              </w:rPr>
            </w:pPr>
          </w:p>
        </w:tc>
        <w:tc>
          <w:tcPr>
            <w:tcW w:w="840" w:type="dxa"/>
            <w:vAlign w:val="bottom"/>
            <w:shd w:val="clear" w:color="auto" w:fill="F4F4F4"/>
          </w:tcPr>
          <w:p>
            <w:pPr>
              <w:spacing w:after="0"/>
              <w:rPr>
                <w:sz w:val="16"/>
                <w:szCs w:val="16"/>
                <w:color w:val="auto"/>
              </w:rPr>
            </w:pPr>
          </w:p>
        </w:tc>
        <w:tc>
          <w:tcPr>
            <w:tcW w:w="300" w:type="dxa"/>
            <w:vAlign w:val="bottom"/>
            <w:shd w:val="clear" w:color="auto" w:fill="F4F4F4"/>
          </w:tcPr>
          <w:p>
            <w:pPr>
              <w:spacing w:after="0"/>
              <w:rPr>
                <w:sz w:val="16"/>
                <w:szCs w:val="16"/>
                <w:color w:val="auto"/>
              </w:rPr>
            </w:pPr>
          </w:p>
        </w:tc>
        <w:tc>
          <w:tcPr>
            <w:tcW w:w="920" w:type="dxa"/>
            <w:vAlign w:val="bottom"/>
            <w:shd w:val="clear" w:color="auto" w:fill="F4F4F4"/>
          </w:tcPr>
          <w:p>
            <w:pPr>
              <w:spacing w:after="0"/>
              <w:rPr>
                <w:sz w:val="16"/>
                <w:szCs w:val="16"/>
                <w:color w:val="auto"/>
              </w:rPr>
            </w:pPr>
          </w:p>
        </w:tc>
      </w:tr>
      <w:tr>
        <w:trPr>
          <w:trHeight w:val="210"/>
        </w:trPr>
        <w:tc>
          <w:tcPr>
            <w:tcW w:w="8740" w:type="dxa"/>
            <w:vAlign w:val="bottom"/>
          </w:tcPr>
          <w:p>
            <w:pPr>
              <w:ind w:left="40"/>
              <w:spacing w:after="0"/>
              <w:rPr>
                <w:sz w:val="20"/>
                <w:szCs w:val="20"/>
                <w:color w:val="auto"/>
              </w:rPr>
            </w:pPr>
            <w:r>
              <w:rPr>
                <w:rFonts w:ascii="Arial" w:cs="Arial" w:eastAsia="Arial" w:hAnsi="Arial"/>
                <w:sz w:val="14"/>
                <w:szCs w:val="14"/>
                <w:color w:val="auto"/>
              </w:rPr>
              <w:t>GAAP recurring revenue</w:t>
            </w: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204.9</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198.1</w:t>
            </w:r>
          </w:p>
        </w:tc>
      </w:tr>
      <w:tr>
        <w:trPr>
          <w:trHeight w:val="276"/>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b w:val="1"/>
                <w:bCs w:val="1"/>
                <w:color w:val="auto"/>
              </w:rPr>
              <w:t>GAAP recurring revenue growth</w:t>
            </w:r>
          </w:p>
        </w:tc>
        <w:tc>
          <w:tcPr>
            <w:tcW w:w="440" w:type="dxa"/>
            <w:vAlign w:val="bottom"/>
            <w:shd w:val="clear" w:color="auto" w:fill="F4F4F4"/>
          </w:tcPr>
          <w:p>
            <w:pPr>
              <w:spacing w:after="0"/>
              <w:rPr>
                <w:sz w:val="24"/>
                <w:szCs w:val="24"/>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3.4%</w:t>
            </w:r>
          </w:p>
        </w:tc>
        <w:tc>
          <w:tcPr>
            <w:tcW w:w="300" w:type="dxa"/>
            <w:vAlign w:val="bottom"/>
            <w:shd w:val="clear" w:color="auto" w:fill="F4F4F4"/>
          </w:tcPr>
          <w:p>
            <w:pPr>
              <w:spacing w:after="0"/>
              <w:rPr>
                <w:sz w:val="24"/>
                <w:szCs w:val="24"/>
                <w:color w:val="auto"/>
              </w:rPr>
            </w:pPr>
          </w:p>
        </w:tc>
        <w:tc>
          <w:tcPr>
            <w:tcW w:w="920" w:type="dxa"/>
            <w:vAlign w:val="bottom"/>
            <w:shd w:val="clear" w:color="auto" w:fill="F4F4F4"/>
          </w:tcPr>
          <w:p>
            <w:pPr>
              <w:spacing w:after="0"/>
              <w:rPr>
                <w:sz w:val="24"/>
                <w:szCs w:val="24"/>
                <w:color w:val="auto"/>
              </w:rPr>
            </w:pPr>
          </w:p>
        </w:tc>
      </w:tr>
      <w:tr>
        <w:trPr>
          <w:trHeight w:val="210"/>
        </w:trPr>
        <w:tc>
          <w:tcPr>
            <w:tcW w:w="8740" w:type="dxa"/>
            <w:vAlign w:val="bottom"/>
            <w:tcBorders>
              <w:bottom w:val="single" w:sz="8" w:color="F4F4F4"/>
            </w:tcBorders>
          </w:tcPr>
          <w:p>
            <w:pPr>
              <w:ind w:left="180"/>
              <w:spacing w:after="0"/>
              <w:rPr>
                <w:sz w:val="20"/>
                <w:szCs w:val="20"/>
                <w:color w:val="auto"/>
              </w:rPr>
            </w:pPr>
            <w:r>
              <w:rPr>
                <w:rFonts w:ascii="Arial" w:cs="Arial" w:eastAsia="Arial" w:hAnsi="Arial"/>
                <w:sz w:val="14"/>
                <w:szCs w:val="14"/>
                <w:color w:val="auto"/>
              </w:rPr>
              <w:t xml:space="preserve">Add: Non-GAAP acquisition-related revenue </w:t>
            </w:r>
            <w:r>
              <w:rPr>
                <w:rFonts w:ascii="Arial" w:cs="Arial" w:eastAsia="Arial" w:hAnsi="Arial"/>
                <w:sz w:val="11"/>
                <w:szCs w:val="11"/>
                <w:color w:val="auto"/>
              </w:rPr>
              <w:t>(1)</w:t>
            </w: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r>
      <w:tr>
        <w:trPr>
          <w:trHeight w:val="210"/>
        </w:trPr>
        <w:tc>
          <w:tcPr>
            <w:tcW w:w="8740" w:type="dxa"/>
            <w:vAlign w:val="bottom"/>
            <w:shd w:val="clear" w:color="auto" w:fill="F4F4F4"/>
          </w:tcPr>
          <w:p>
            <w:pPr>
              <w:ind w:left="40"/>
              <w:spacing w:after="0"/>
              <w:rPr>
                <w:sz w:val="20"/>
                <w:szCs w:val="20"/>
                <w:color w:val="auto"/>
              </w:rPr>
            </w:pPr>
            <w:r>
              <w:rPr>
                <w:rFonts w:ascii="Arial" w:cs="Arial" w:eastAsia="Arial" w:hAnsi="Arial"/>
                <w:sz w:val="14"/>
                <w:szCs w:val="14"/>
                <w:color w:val="auto"/>
              </w:rPr>
              <w:t>Non-GAAP organic recurring revenue</w:t>
            </w:r>
          </w:p>
        </w:tc>
        <w:tc>
          <w:tcPr>
            <w:tcW w:w="440" w:type="dxa"/>
            <w:vAlign w:val="bottom"/>
            <w:tcBorders>
              <w:bottom w:val="single" w:sz="8" w:color="auto"/>
            </w:tcBorders>
            <w:shd w:val="clear" w:color="auto" w:fill="F4F4F4"/>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204.9</w:t>
            </w:r>
          </w:p>
        </w:tc>
        <w:tc>
          <w:tcPr>
            <w:tcW w:w="30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ind w:right="28"/>
              <w:spacing w:after="0"/>
              <w:rPr>
                <w:sz w:val="20"/>
                <w:szCs w:val="20"/>
                <w:color w:val="auto"/>
              </w:rPr>
            </w:pPr>
            <w:r>
              <w:rPr>
                <w:rFonts w:ascii="Arial" w:cs="Arial" w:eastAsia="Arial" w:hAnsi="Arial"/>
                <w:sz w:val="14"/>
                <w:szCs w:val="14"/>
                <w:color w:val="auto"/>
              </w:rPr>
              <w:t>198.8</w:t>
            </w:r>
          </w:p>
        </w:tc>
      </w:tr>
      <w:tr>
        <w:trPr>
          <w:trHeight w:val="257"/>
        </w:trPr>
        <w:tc>
          <w:tcPr>
            <w:tcW w:w="8740" w:type="dxa"/>
            <w:vAlign w:val="bottom"/>
          </w:tcPr>
          <w:p>
            <w:pPr>
              <w:ind w:left="40"/>
              <w:spacing w:after="0"/>
              <w:rPr>
                <w:sz w:val="20"/>
                <w:szCs w:val="20"/>
                <w:color w:val="auto"/>
              </w:rPr>
            </w:pPr>
            <w:r>
              <w:rPr>
                <w:rFonts w:ascii="Arial" w:cs="Arial" w:eastAsia="Arial" w:hAnsi="Arial"/>
                <w:sz w:val="14"/>
                <w:szCs w:val="14"/>
                <w:b w:val="1"/>
                <w:bCs w:val="1"/>
                <w:color w:val="auto"/>
              </w:rPr>
              <w:t>Non-GAAP organic recurring revenue growth</w:t>
            </w:r>
          </w:p>
        </w:tc>
        <w:tc>
          <w:tcPr>
            <w:tcW w:w="4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30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7" w:lineRule="exact"/>
        <w:rPr>
          <w:sz w:val="20"/>
          <w:szCs w:val="20"/>
          <w:color w:val="auto"/>
        </w:rPr>
      </w:pPr>
    </w:p>
    <w:p>
      <w:pPr>
        <w:jc w:val="both"/>
        <w:ind w:left="340" w:hanging="332"/>
        <w:spacing w:after="0" w:line="245"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if any, acquired in the immediately preceding fiscal year, non-GAAP acquisition-related revenue reflects presentation of full-year incremental non-GAAP revenue derived from such companies, as if they were combined throughout the prior period, and it includes the non-GAAP revenue from the acquisition-related deferred revenue write-down attributable to those companies.</w:t>
      </w:r>
    </w:p>
    <w:p>
      <w:pPr>
        <w:spacing w:after="0" w:line="2"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hanging="332"/>
        <w:spacing w:after="0" w:line="24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-937895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7"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32  </w:t>
      </w:r>
      <w:r>
        <w:rPr>
          <w:sz w:val="1"/>
          <w:szCs w:val="1"/>
          <w:color w:val="auto"/>
        </w:rPr>
        <w:drawing>
          <wp:inline distT="0" distB="0" distL="0" distR="0">
            <wp:extent cx="668655" cy="10287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revenues normally fluctuate as a result of certain seasonal variations in our business. Our transaction revenue has historically been at its lowest in the first quarter due to the timing of customer fundraising initiatives and events. Our revenue from payment services has historically increased during the fourth quarter due to year-end giving.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however, do not vary significantly as a result of these factors, but do fluctuate on a quarterly basis due to varying timing of expenditures. Our cash flow from operations normally fluctuates quarterly due to the combination of the timing of customer contract renewals including renewals associated with customers of acquired companies, delivery of professional services and occurrence of customer events, the payment of bonuses, as well as merit-based salary increases, among other factors. Historically, due to lower revenues in our first quarter, combined with the payment of bonuses from the prior year in our first quarter and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merit-based salary increases, which are generally effective in April each year. In addition, deferred revenues can vary on a seasonal basis for the same reasons. These patterns may change as a result of the continued shift to online giving, growth in volume of transactions for which we process payments, or as a result of acquisitions, new market opportunities, new solution introductions or other factors. Our cash flow from financing is negatively impacted in our first quarter when most of our equity awards vest, as we pay taxes on behalf of our employees related to the settlement or exercise of equity awards.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shd w:val="clear" w:color="auto" w:fill="ACACAC"/>
          </w:tcPr>
          <w:p>
            <w:pPr>
              <w:spacing w:after="0"/>
              <w:rPr>
                <w:sz w:val="14"/>
                <w:szCs w:val="14"/>
                <w:color w:val="auto"/>
              </w:rPr>
            </w:pPr>
          </w:p>
        </w:tc>
        <w:tc>
          <w:tcPr>
            <w:tcW w:w="2680" w:type="dxa"/>
            <w:vAlign w:val="bottom"/>
            <w:shd w:val="clear" w:color="auto" w:fill="ACACAC"/>
          </w:tcPr>
          <w:p>
            <w:pPr>
              <w:spacing w:after="0"/>
              <w:rPr>
                <w:sz w:val="14"/>
                <w:szCs w:val="14"/>
                <w:color w:val="auto"/>
              </w:rPr>
            </w:pPr>
          </w:p>
        </w:tc>
        <w:tc>
          <w:tcPr>
            <w:tcW w:w="980" w:type="dxa"/>
            <w:vAlign w:val="bottom"/>
            <w:shd w:val="clear" w:color="auto" w:fill="ACACAC"/>
          </w:tcPr>
          <w:p>
            <w:pPr>
              <w:jc w:val="right"/>
              <w:ind w:right="35"/>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ACACAC"/>
          </w:tcPr>
          <w:p>
            <w:pPr>
              <w:spacing w:after="0"/>
              <w:rPr>
                <w:sz w:val="14"/>
                <w:szCs w:val="14"/>
                <w:color w:val="auto"/>
              </w:rPr>
            </w:pPr>
          </w:p>
        </w:tc>
        <w:tc>
          <w:tcPr>
            <w:tcW w:w="1460" w:type="dxa"/>
            <w:vAlign w:val="bottom"/>
            <w:shd w:val="clear" w:color="auto" w:fill="ACACAC"/>
          </w:tcPr>
          <w:p>
            <w:pPr>
              <w:jc w:val="right"/>
              <w:ind w:right="415"/>
              <w:spacing w:after="0"/>
              <w:rPr>
                <w:sz w:val="20"/>
                <w:szCs w:val="20"/>
                <w:color w:val="auto"/>
              </w:rPr>
            </w:pPr>
            <w:r>
              <w:rPr>
                <w:rFonts w:ascii="Arial" w:cs="Arial" w:eastAsia="Arial" w:hAnsi="Arial"/>
                <w:sz w:val="14"/>
                <w:szCs w:val="14"/>
                <w:b w:val="1"/>
                <w:bCs w:val="1"/>
                <w:color w:val="FFFFFF"/>
              </w:rPr>
              <w:t>December 31,</w:t>
            </w:r>
          </w:p>
        </w:tc>
        <w:tc>
          <w:tcPr>
            <w:tcW w:w="1120" w:type="dxa"/>
            <w:vAlign w:val="bottom"/>
            <w:shd w:val="clear" w:color="auto" w:fill="ACACAC"/>
          </w:tcPr>
          <w:p>
            <w:pPr>
              <w:spacing w:after="0"/>
              <w:rPr>
                <w:sz w:val="14"/>
                <w:szCs w:val="14"/>
                <w:color w:val="auto"/>
              </w:rPr>
            </w:pPr>
          </w:p>
        </w:tc>
      </w:tr>
      <w:tr>
        <w:trPr>
          <w:trHeight w:val="178"/>
        </w:trPr>
        <w:tc>
          <w:tcPr>
            <w:tcW w:w="47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highlight w:val="darkGray"/>
              </w:rPr>
              <w:t>(dollars in millions)</w:t>
            </w:r>
          </w:p>
        </w:tc>
        <w:tc>
          <w:tcPr>
            <w:tcW w:w="2680" w:type="dxa"/>
            <w:vAlign w:val="bottom"/>
            <w:tcBorders>
              <w:bottom w:val="single" w:sz="8" w:color="ACACAC"/>
            </w:tcBorders>
            <w:shd w:val="clear" w:color="auto" w:fill="ACACAC"/>
          </w:tcPr>
          <w:p>
            <w:pPr>
              <w:spacing w:after="0"/>
              <w:rPr>
                <w:sz w:val="15"/>
                <w:szCs w:val="15"/>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260" w:type="dxa"/>
            <w:vAlign w:val="bottom"/>
            <w:tcBorders>
              <w:bottom w:val="single" w:sz="8" w:color="ACACAC"/>
            </w:tcBorders>
            <w:shd w:val="clear" w:color="auto" w:fill="ACACAC"/>
          </w:tcPr>
          <w:p>
            <w:pPr>
              <w:spacing w:after="0"/>
              <w:rPr>
                <w:sz w:val="15"/>
                <w:szCs w:val="15"/>
                <w:color w:val="auto"/>
              </w:rPr>
            </w:pPr>
          </w:p>
        </w:tc>
        <w:tc>
          <w:tcPr>
            <w:tcW w:w="1460" w:type="dxa"/>
            <w:vAlign w:val="bottom"/>
            <w:tcBorders>
              <w:bottom w:val="single" w:sz="8" w:color="ACACAC"/>
            </w:tcBorders>
            <w:shd w:val="clear" w:color="auto" w:fill="ACACAC"/>
          </w:tcPr>
          <w:p>
            <w:pPr>
              <w:jc w:val="right"/>
              <w:ind w:right="375"/>
              <w:spacing w:after="0"/>
              <w:rPr>
                <w:sz w:val="20"/>
                <w:szCs w:val="20"/>
                <w:color w:val="auto"/>
              </w:rPr>
            </w:pPr>
            <w:r>
              <w:rPr>
                <w:rFonts w:ascii="Arial" w:cs="Arial" w:eastAsia="Arial" w:hAnsi="Arial"/>
                <w:sz w:val="14"/>
                <w:szCs w:val="14"/>
                <w:b w:val="1"/>
                <w:bCs w:val="1"/>
                <w:color w:val="FFFFFF"/>
              </w:rPr>
              <w:t>2019</w:t>
            </w:r>
          </w:p>
        </w:tc>
        <w:tc>
          <w:tcPr>
            <w:tcW w:w="1120" w:type="dxa"/>
            <w:vAlign w:val="bottom"/>
            <w:tcBorders>
              <w:bottom w:val="single" w:sz="8" w:color="ACACAC"/>
            </w:tcBorders>
            <w:shd w:val="clear" w:color="auto" w:fill="ACACAC"/>
          </w:tcPr>
          <w:p>
            <w:pPr>
              <w:jc w:val="right"/>
              <w:ind w:right="153"/>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Cash and cash equivalents</w:t>
            </w:r>
          </w:p>
        </w:tc>
        <w:tc>
          <w:tcPr>
            <w:tcW w:w="268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25.0</w:t>
            </w:r>
          </w:p>
        </w:tc>
        <w:tc>
          <w:tcPr>
            <w:tcW w:w="26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31.8</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(21.5)%</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35.7</w:t>
            </w:r>
          </w:p>
        </w:tc>
        <w:tc>
          <w:tcPr>
            <w:tcW w:w="260" w:type="dxa"/>
            <w:vAlign w:val="bottom"/>
          </w:tcPr>
          <w:p>
            <w:pPr>
              <w:spacing w:after="0"/>
              <w:rPr>
                <w:sz w:val="21"/>
                <w:szCs w:val="21"/>
                <w:color w:val="auto"/>
              </w:rPr>
            </w:pP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35.5</w:t>
            </w:r>
          </w:p>
        </w:tc>
        <w:tc>
          <w:tcPr>
            <w:tcW w:w="1120" w:type="dxa"/>
            <w:vAlign w:val="bottom"/>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Software development costs, net</w:t>
            </w:r>
          </w:p>
        </w:tc>
        <w:tc>
          <w:tcPr>
            <w:tcW w:w="26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105.6</w:t>
            </w:r>
          </w:p>
        </w:tc>
        <w:tc>
          <w:tcPr>
            <w:tcW w:w="26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ind w:right="375"/>
              <w:spacing w:after="0"/>
              <w:rPr>
                <w:sz w:val="20"/>
                <w:szCs w:val="20"/>
                <w:color w:val="auto"/>
              </w:rPr>
            </w:pPr>
            <w:r>
              <w:rPr>
                <w:rFonts w:ascii="Arial" w:cs="Arial" w:eastAsia="Arial" w:hAnsi="Arial"/>
                <w:sz w:val="18"/>
                <w:szCs w:val="18"/>
                <w:color w:val="auto"/>
              </w:rPr>
              <w:t>101.3</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Total carrying value of debt</w:t>
            </w:r>
          </w:p>
        </w:tc>
        <w:tc>
          <w:tcPr>
            <w:tcW w:w="26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530.9</w:t>
            </w:r>
          </w:p>
        </w:tc>
        <w:tc>
          <w:tcPr>
            <w:tcW w:w="260" w:type="dxa"/>
            <w:vAlign w:val="bottom"/>
          </w:tcPr>
          <w:p>
            <w:pPr>
              <w:spacing w:after="0"/>
              <w:rPr>
                <w:sz w:val="21"/>
                <w:szCs w:val="21"/>
                <w:color w:val="auto"/>
              </w:rPr>
            </w:pPr>
          </w:p>
        </w:tc>
        <w:tc>
          <w:tcPr>
            <w:tcW w:w="1460" w:type="dxa"/>
            <w:vAlign w:val="bottom"/>
          </w:tcPr>
          <w:p>
            <w:pPr>
              <w:jc w:val="right"/>
              <w:ind w:right="375"/>
              <w:spacing w:after="0"/>
              <w:rPr>
                <w:sz w:val="20"/>
                <w:szCs w:val="20"/>
                <w:color w:val="auto"/>
              </w:rPr>
            </w:pPr>
            <w:r>
              <w:rPr>
                <w:rFonts w:ascii="Arial" w:cs="Arial" w:eastAsia="Arial" w:hAnsi="Arial"/>
                <w:sz w:val="18"/>
                <w:szCs w:val="18"/>
                <w:color w:val="auto"/>
              </w:rPr>
              <w:t>467.1</w:t>
            </w:r>
          </w:p>
        </w:tc>
        <w:tc>
          <w:tcPr>
            <w:tcW w:w="1120" w:type="dxa"/>
            <w:vAlign w:val="bottom"/>
          </w:tcPr>
          <w:p>
            <w:pPr>
              <w:jc w:val="right"/>
              <w:spacing w:after="0"/>
              <w:rPr>
                <w:sz w:val="20"/>
                <w:szCs w:val="20"/>
                <w:color w:val="auto"/>
              </w:rPr>
            </w:pPr>
            <w:r>
              <w:rPr>
                <w:rFonts w:ascii="Arial" w:cs="Arial" w:eastAsia="Arial" w:hAnsi="Arial"/>
                <w:sz w:val="18"/>
                <w:szCs w:val="18"/>
                <w:color w:val="auto"/>
              </w:rPr>
              <w:t>13.7 %</w:t>
            </w:r>
          </w:p>
        </w:tc>
      </w:tr>
      <w:tr>
        <w:trPr>
          <w:trHeight w:val="27"/>
        </w:trPr>
        <w:tc>
          <w:tcPr>
            <w:tcW w:w="47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Working capital</w:t>
            </w:r>
          </w:p>
        </w:tc>
        <w:tc>
          <w:tcPr>
            <w:tcW w:w="26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(194.2)</w:t>
            </w:r>
          </w:p>
        </w:tc>
        <w:tc>
          <w:tcPr>
            <w:tcW w:w="26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shd w:val="clear" w:color="auto" w:fill="F4F4F4"/>
          </w:tcPr>
          <w:p>
            <w:pPr>
              <w:jc w:val="right"/>
              <w:ind w:right="315"/>
              <w:spacing w:after="0"/>
              <w:rPr>
                <w:sz w:val="20"/>
                <w:szCs w:val="20"/>
                <w:color w:val="auto"/>
              </w:rPr>
            </w:pPr>
            <w:r>
              <w:rPr>
                <w:rFonts w:ascii="Arial" w:cs="Arial" w:eastAsia="Arial" w:hAnsi="Arial"/>
                <w:sz w:val="18"/>
                <w:szCs w:val="18"/>
                <w:color w:val="auto"/>
              </w:rPr>
              <w:t>(254.3)</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23.6 %</w:t>
            </w:r>
          </w:p>
        </w:tc>
      </w:tr>
      <w:tr>
        <w:trPr>
          <w:trHeight w:val="20"/>
        </w:trPr>
        <w:tc>
          <w:tcPr>
            <w:tcW w:w="4740" w:type="dxa"/>
            <w:vAlign w:val="bottom"/>
            <w:shd w:val="clear" w:color="auto" w:fill="71BF43"/>
          </w:tcPr>
          <w:p>
            <w:pPr>
              <w:spacing w:after="0" w:line="20" w:lineRule="exact"/>
              <w:rPr>
                <w:sz w:val="1"/>
                <w:szCs w:val="1"/>
                <w:color w:val="auto"/>
              </w:rPr>
            </w:pPr>
          </w:p>
        </w:tc>
        <w:tc>
          <w:tcPr>
            <w:tcW w:w="268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260" w:type="dxa"/>
            <w:vAlign w:val="bottom"/>
            <w:shd w:val="clear" w:color="auto" w:fill="71BF43"/>
          </w:tcPr>
          <w:p>
            <w:pPr>
              <w:spacing w:after="0" w:line="20" w:lineRule="exact"/>
              <w:rPr>
                <w:sz w:val="1"/>
                <w:szCs w:val="1"/>
                <w:color w:val="auto"/>
              </w:rPr>
            </w:pPr>
          </w:p>
        </w:tc>
        <w:tc>
          <w:tcPr>
            <w:tcW w:w="14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3175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317500"/>
                    </a:xfrm>
                    <a:prstGeom prst="rect">
                      <a:avLst/>
                    </a:prstGeom>
                    <a:noFill/>
                  </pic:spPr>
                </pic:pic>
              </a:graphicData>
            </a:graphic>
          </wp:anchor>
        </w:drawing>
      </w:r>
    </w:p>
    <w:p>
      <w:pPr>
        <w:spacing w:after="0" w:line="210" w:lineRule="exact"/>
        <w:rPr>
          <w:sz w:val="20"/>
          <w:szCs w:val="20"/>
          <w:color w:val="auto"/>
        </w:rPr>
      </w:pPr>
    </w:p>
    <w:p>
      <w:pPr>
        <w:ind w:left="9080"/>
        <w:spacing w:after="0"/>
        <w:rPr>
          <w:sz w:val="20"/>
          <w:szCs w:val="20"/>
          <w:color w:val="auto"/>
        </w:rPr>
      </w:pPr>
      <w:r>
        <w:rPr>
          <w:rFonts w:ascii="Arial" w:cs="Arial" w:eastAsia="Arial" w:hAnsi="Arial"/>
          <w:sz w:val="14"/>
          <w:szCs w:val="14"/>
          <w:b w:val="1"/>
          <w:bCs w:val="1"/>
          <w:color w:val="FFFFFF"/>
          <w:highlight w:val="darkGray"/>
        </w:rPr>
        <w:t>Three months ended March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060" w:type="dxa"/>
            <w:vAlign w:val="bottom"/>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shd w:val="clear" w:color="auto" w:fill="ACACAC"/>
          </w:tcPr>
          <w:p>
            <w:pPr>
              <w:spacing w:after="0"/>
              <w:rPr>
                <w:sz w:val="19"/>
                <w:szCs w:val="19"/>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2020</w:t>
            </w:r>
          </w:p>
        </w:tc>
        <w:tc>
          <w:tcPr>
            <w:tcW w:w="460" w:type="dxa"/>
            <w:vAlign w:val="bottom"/>
            <w:shd w:val="clear" w:color="auto" w:fill="ACACAC"/>
          </w:tcPr>
          <w:p>
            <w:pPr>
              <w:spacing w:after="0"/>
              <w:rPr>
                <w:sz w:val="19"/>
                <w:szCs w:val="19"/>
                <w:color w:val="auto"/>
              </w:rPr>
            </w:pPr>
          </w:p>
        </w:tc>
        <w:tc>
          <w:tcPr>
            <w:tcW w:w="1260" w:type="dxa"/>
            <w:vAlign w:val="bottom"/>
            <w:shd w:val="clear" w:color="auto" w:fill="ACACAC"/>
          </w:tcPr>
          <w:p>
            <w:pPr>
              <w:jc w:val="right"/>
              <w:ind w:right="375"/>
              <w:spacing w:after="0"/>
              <w:rPr>
                <w:sz w:val="20"/>
                <w:szCs w:val="20"/>
                <w:color w:val="auto"/>
              </w:rPr>
            </w:pPr>
            <w:r>
              <w:rPr>
                <w:rFonts w:ascii="Arial" w:cs="Arial" w:eastAsia="Arial" w:hAnsi="Arial"/>
                <w:sz w:val="14"/>
                <w:szCs w:val="14"/>
                <w:b w:val="1"/>
                <w:bCs w:val="1"/>
                <w:color w:val="FFFFFF"/>
              </w:rPr>
              <w:t>2019</w:t>
            </w:r>
          </w:p>
        </w:tc>
        <w:tc>
          <w:tcPr>
            <w:tcW w:w="1120" w:type="dxa"/>
            <w:vAlign w:val="bottom"/>
            <w:shd w:val="clear" w:color="auto" w:fill="ACACAC"/>
          </w:tcPr>
          <w:p>
            <w:pPr>
              <w:jc w:val="right"/>
              <w:ind w:right="155"/>
              <w:spacing w:after="0"/>
              <w:rPr>
                <w:sz w:val="20"/>
                <w:szCs w:val="20"/>
                <w:color w:val="auto"/>
              </w:rPr>
            </w:pPr>
            <w:r>
              <w:rPr>
                <w:rFonts w:ascii="Arial" w:cs="Arial" w:eastAsia="Arial" w:hAnsi="Arial"/>
                <w:sz w:val="14"/>
                <w:szCs w:val="14"/>
                <w:b w:val="1"/>
                <w:bCs w:val="1"/>
                <w:color w:val="FFFFFF"/>
              </w:rPr>
              <w:t>Change</w:t>
            </w:r>
          </w:p>
        </w:tc>
      </w:tr>
      <w:tr>
        <w:trPr>
          <w:trHeight w:val="250"/>
        </w:trPr>
        <w:tc>
          <w:tcPr>
            <w:tcW w:w="70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46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F4F4F4"/>
            </w:tcBorders>
            <w:shd w:val="clear" w:color="auto" w:fill="F4F4F4"/>
          </w:tcPr>
          <w:p>
            <w:pPr>
              <w:jc w:val="right"/>
              <w:ind w:right="315"/>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144.8 %</w:t>
            </w:r>
          </w:p>
        </w:tc>
      </w:tr>
      <w:tr>
        <w:trPr>
          <w:trHeight w:val="243"/>
        </w:trPr>
        <w:tc>
          <w:tcPr>
            <w:tcW w:w="70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460" w:type="dxa"/>
            <w:vAlign w:val="bottom"/>
          </w:tcPr>
          <w:p>
            <w:pPr>
              <w:spacing w:after="0"/>
              <w:rPr>
                <w:sz w:val="21"/>
                <w:szCs w:val="21"/>
                <w:color w:val="auto"/>
              </w:rPr>
            </w:pPr>
          </w:p>
        </w:tc>
        <w:tc>
          <w:tcPr>
            <w:tcW w:w="1260" w:type="dxa"/>
            <w:vAlign w:val="bottom"/>
          </w:tcPr>
          <w:p>
            <w:pPr>
              <w:jc w:val="right"/>
              <w:ind w:right="315"/>
              <w:spacing w:after="0"/>
              <w:rPr>
                <w:sz w:val="20"/>
                <w:szCs w:val="20"/>
                <w:color w:val="auto"/>
              </w:rPr>
            </w:pPr>
            <w:r>
              <w:rPr>
                <w:rFonts w:ascii="Arial" w:cs="Arial" w:eastAsia="Arial" w:hAnsi="Arial"/>
                <w:sz w:val="18"/>
                <w:szCs w:val="18"/>
                <w:color w:val="auto"/>
              </w:rPr>
              <w:t>(121.9)</w:t>
            </w:r>
          </w:p>
        </w:tc>
        <w:tc>
          <w:tcPr>
            <w:tcW w:w="1120" w:type="dxa"/>
            <w:vAlign w:val="bottom"/>
          </w:tcPr>
          <w:p>
            <w:pPr>
              <w:jc w:val="right"/>
              <w:spacing w:after="0"/>
              <w:rPr>
                <w:sz w:val="20"/>
                <w:szCs w:val="20"/>
                <w:color w:val="auto"/>
              </w:rPr>
            </w:pPr>
            <w:r>
              <w:rPr>
                <w:rFonts w:ascii="Arial" w:cs="Arial" w:eastAsia="Arial" w:hAnsi="Arial"/>
                <w:sz w:val="18"/>
                <w:szCs w:val="18"/>
                <w:color w:val="auto"/>
              </w:rPr>
              <w:t>(88.7)%</w:t>
            </w:r>
          </w:p>
        </w:tc>
      </w:tr>
      <w:tr>
        <w:trPr>
          <w:trHeight w:val="27"/>
        </w:trPr>
        <w:tc>
          <w:tcPr>
            <w:tcW w:w="7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cash used in financing activities</w:t>
            </w:r>
          </w:p>
        </w:tc>
        <w:tc>
          <w:tcPr>
            <w:tcW w:w="460" w:type="dxa"/>
            <w:vAlign w:val="bottom"/>
            <w:tcBorders>
              <w:bottom w:val="single" w:sz="8" w:color="F4F4F4"/>
            </w:tcBorders>
            <w:shd w:val="clear" w:color="auto" w:fill="F4F4F4"/>
          </w:tcPr>
          <w:p>
            <w:pPr>
              <w:spacing w:after="0"/>
              <w:rPr>
                <w:sz w:val="21"/>
                <w:szCs w:val="21"/>
                <w:color w:val="auto"/>
              </w:rPr>
            </w:pPr>
          </w:p>
        </w:tc>
        <w:tc>
          <w:tcPr>
            <w:tcW w:w="8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(278.9)</w:t>
            </w:r>
          </w:p>
        </w:tc>
        <w:tc>
          <w:tcPr>
            <w:tcW w:w="46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tcBorders>
            <w:shd w:val="clear" w:color="auto" w:fill="F4F4F4"/>
          </w:tcPr>
          <w:p>
            <w:pPr>
              <w:jc w:val="right"/>
              <w:ind w:right="315"/>
              <w:spacing w:after="0"/>
              <w:rPr>
                <w:sz w:val="20"/>
                <w:szCs w:val="20"/>
                <w:color w:val="auto"/>
              </w:rPr>
            </w:pPr>
            <w:r>
              <w:rPr>
                <w:rFonts w:ascii="Arial" w:cs="Arial" w:eastAsia="Arial" w:hAnsi="Arial"/>
                <w:sz w:val="18"/>
                <w:szCs w:val="18"/>
                <w:color w:val="auto"/>
              </w:rPr>
              <w:t>(74.4)</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274.8 %</w:t>
            </w:r>
          </w:p>
        </w:tc>
      </w:tr>
      <w:tr>
        <w:trPr>
          <w:trHeight w:val="20"/>
        </w:trPr>
        <w:tc>
          <w:tcPr>
            <w:tcW w:w="706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88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126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r>
    </w:tbl>
    <w:p>
      <w:pPr>
        <w:spacing w:after="0" w:line="1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principal sources of liquidity are our operating cash flow, funds available under the 2017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To the extent we undertake future material acquisitions, investments or unanticipated capital expenditures, we may require additional capital. In that context, we regularly evaluate opportunities to enhance our capital structure including through potential debt or equity issuances.</w:t>
      </w:r>
    </w:p>
    <w:p>
      <w:pPr>
        <w:spacing w:after="0" w:line="326"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33</w:t>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better enable us to weather the extraordinary business challenges occasioned by the global COVID-19 pandemic, to protect the safety and welfare of our employees, and to further effect our long-term strategy to deliver the greatest value to our stockholders, we have taken several actions. These initial measures taken are expected to provide us the financial flexibility needed to manage a wide array of outcomes that may result from the pandemic and create over $300 million of additional annualized borrowing capacity. Some of these actions include the following:</w:t>
      </w:r>
    </w:p>
    <w:p>
      <w:pPr>
        <w:spacing w:after="0" w:line="63" w:lineRule="exact"/>
        <w:rPr>
          <w:sz w:val="20"/>
          <w:szCs w:val="20"/>
          <w:color w:val="auto"/>
        </w:rPr>
      </w:pPr>
    </w:p>
    <w:p>
      <w:pPr>
        <w:jc w:val="both"/>
        <w:ind w:left="500" w:hanging="168"/>
        <w:spacing w:after="0" w:line="255"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Rescinded our previously announced policy to pay an annual dividend at a rate of $0.48 per share of common stock and discontinued the declaration and payment of all cash dividends, beginning with the second quarter of 2020 and thereafter until such time, if any, as our Board of Directors may otherwise determine in its sole discretion;</w:t>
      </w:r>
    </w:p>
    <w:p>
      <w:pPr>
        <w:spacing w:after="0" w:line="2"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Temporarily suspended our 401(k) match program, whereby we have historically matched 50% of qualified U.S. employees' contributions to our 401(k) plan up to 6% of their salaries, effective with the payroll period commencing April 1, 2020;</w:t>
      </w:r>
    </w:p>
    <w:p>
      <w:pPr>
        <w:ind w:left="500" w:hanging="168"/>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Temporarily froze our hiring efforts;</w:t>
      </w:r>
    </w:p>
    <w:p>
      <w:pPr>
        <w:spacing w:after="0" w:line="9" w:lineRule="exact"/>
        <w:rPr>
          <w:rFonts w:ascii="Arial" w:cs="Arial" w:eastAsia="Arial" w:hAnsi="Arial"/>
          <w:sz w:val="18"/>
          <w:szCs w:val="18"/>
          <w:color w:val="auto"/>
        </w:rPr>
      </w:pPr>
    </w:p>
    <w:p>
      <w:pPr>
        <w:jc w:val="both"/>
        <w:ind w:left="500" w:hanging="168"/>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Michael Gianoni, our President and Chief Executive Officer, elected to forego receipt of all but that portion of his base salary necessary to fund, on a pre-tax basis, his contributions to continue to participate in our health benefits plan, effective with the payroll period commencing April 1, 2020 and until Mr. Gianoni otherwise determines;</w:t>
      </w:r>
    </w:p>
    <w:p>
      <w:pPr>
        <w:spacing w:after="0" w:line="1" w:lineRule="exact"/>
        <w:rPr>
          <w:rFonts w:ascii="Arial" w:cs="Arial" w:eastAsia="Arial" w:hAnsi="Arial"/>
          <w:sz w:val="18"/>
          <w:szCs w:val="18"/>
          <w:color w:val="auto"/>
        </w:rPr>
      </w:pPr>
    </w:p>
    <w:p>
      <w:pPr>
        <w:ind w:left="500" w:hanging="168"/>
        <w:spacing w:after="0"/>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Restricted non-essential employee travel and put in place other operating cost reductions;</w:t>
      </w:r>
    </w:p>
    <w:p>
      <w:pPr>
        <w:spacing w:after="0" w:line="9" w:lineRule="exact"/>
        <w:rPr>
          <w:rFonts w:ascii="Arial" w:cs="Arial" w:eastAsia="Arial" w:hAnsi="Arial"/>
          <w:sz w:val="18"/>
          <w:szCs w:val="18"/>
          <w:color w:val="auto"/>
        </w:rPr>
      </w:pPr>
    </w:p>
    <w:p>
      <w:pPr>
        <w:ind w:left="500" w:hanging="168"/>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of our employees with a base salary equal to or less than $75 thousand received financial support in the form of a one-time bonus of $1 thousand on April 30, 2020;</w:t>
      </w:r>
    </w:p>
    <w:p>
      <w:pPr>
        <w:ind w:left="500" w:right="20" w:hanging="168"/>
        <w:spacing w:after="0" w:line="250"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May 1, 2020, we granted RSUs to our employees that were eligible for base salary merit increases in lieu of such increases, which will vest on May 1, 2021 subject to the recipient's continued employment with us; and</w:t>
      </w:r>
    </w:p>
    <w:p>
      <w:pPr>
        <w:jc w:val="both"/>
        <w:ind w:left="500" w:hanging="168"/>
        <w:spacing w:after="0" w:line="255" w:lineRule="auto"/>
        <w:tabs>
          <w:tab w:leader="none" w:pos="5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On May 1, 2020, we granted PRSUs to our employees that were eligible for a 2020 cash bonus plan in lieu of such cash bonus, which may be earned and become eligible for vesting on May 1, 2021 subject to meeting certain performance conditions and the recipient's continued employment with us.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initial actions we have taken to date, we are continuously evaluating further possible actions in order to respond quickly to rapidly changing conditions, if needed.</w:t>
      </w:r>
    </w:p>
    <w:p>
      <w:pPr>
        <w:spacing w:after="0" w:line="11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not experienced a significant deterioration in our customers' ability to pay for our solutions or services due to COVID-19. We have received short-term payment relief requests as a result of COVID-19, most often in the form of payment deferral requests. We are evaluating each request on a case-by-case basis to assess the customer's ability to pay. Not all customer requests will ultimately result in modified payment terms, nor are we forgoing our contractual rights under customer agreements. We are continually monitoring our customer receivable balances, payment terms, and creditworthiness for changes that could have a significant impact on the collectability of our accounts receivables, our operating results and financial position.</w:t>
      </w:r>
    </w:p>
    <w:p>
      <w:pPr>
        <w:spacing w:after="0" w:line="10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March 31, 2020, our total cash and cash equivalents balance included approximately $17.5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cash provided by operating activities decreased by $14.5 million during the three months ended March 31, 2020, when compared to the same period in 2019, primarily due to a $21.0 million decrease in cash flow from operations associated with working capital, partially offset by a $6.5 million increase in net income adjusted for non-cash expenses. Throughout both periods, our cash flows from operations were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34  </w:t>
      </w:r>
      <w:r>
        <w:rPr>
          <w:sz w:val="1"/>
          <w:szCs w:val="1"/>
          <w:color w:val="auto"/>
        </w:rPr>
        <w:drawing>
          <wp:inline distT="0" distB="0" distL="0" distR="0">
            <wp:extent cx="668655" cy="10287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 The decrease in cash flow from operations associated with working capital during the three months ended March 31, 2020, when compared to the same period in 2019, was primarily due to:</w:t>
      </w:r>
    </w:p>
    <w:p>
      <w:pPr>
        <w:spacing w:after="0" w:line="130" w:lineRule="exact"/>
        <w:rPr>
          <w:sz w:val="20"/>
          <w:szCs w:val="20"/>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increase in current period bonus payments as a result of an increase in amounts accrued as of December 31, 2019 for over-performance against 2019 targets;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decrease in the current period bonus accrual upon internally announcing the replacement of cash payments for our 2020 bonus plans with performance-based equity awards;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larger decrease in deferred revenue during the first quarter of 2020 than the same period a year ago from less customer billings, as described above.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of $13.8 million decreased by $108.1 million during the three months ended March 31, 2020, when compared to the same period in 2019.</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2019, we used net cash of $109.4 million for our acquisition of YourCause and we did not make any similar investments during the same period in 2020. During the three months ended March 31, 2020, we used $10.9 million for software development costs, which was relatively consistent with cash spent during the same period in 2019. We continue to invest in our innovative cloud solutions, as well as development activities for Blackbaud SKY, our modern cloud platform.</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spent $2.9 million of cash for purchases of property and equipment during the three months ended March 31, 2020, which was up $1.7 million from cash spent during the same period in 2019. The higher cash outlays for property and equipment in 2020 were primarily driven by investments in the renovation of certain of our office spaces.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three months ended March 31, 2020, we had a net increase in borrowings of $58.6 million. Historically, due to lower revenues in our first quarter, combined with the payment of bonuses from prior year in our first quarter, our cash flow from operations has been lowest in our first quarter.</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paid $19.8 million to satisfy tax obligations of employees upon settlement of equity awards during the three months ended March 31, 2020 compared to $18.4 million during the same period in 2019. The amount of taxes paid by us on the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 In addition, during the three months ended March 31, 2020, we paid dividends of $6.0 million, which was relatively consistent with the comparable period of 2019.</w:t>
      </w:r>
    </w:p>
    <w:p>
      <w:pPr>
        <w:spacing w:after="0" w:line="1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used in financing activities associated with changes in restricted cash due to customers decreased $68.2 million during the three months ended March 31, 2020 when compared to the same period in 2019, as the amount of restricted cash held and payable by us to customers as of December 31, 2019 was larger than at the same date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Credit Facility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drawn on our credit facility from time to time to help us meet financial needs, such as financing for business acquisitions. At March 31, 2020, our available borrowing capacity under the 2017 Credit Facility was $150.9 million. The 2017 Credit Facility matures in June 2022. The 2017 Credit Facility includes an option to request additional term loans in an aggregate principal amount of up to $200.0 million.</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2020, the carrying amount of our debt under the 2017 Credit Facility was $525.8 million. Our average daily borrowings during the three months ended March 31, 2020 were $491.4 million.</w:t>
      </w:r>
    </w:p>
    <w:p>
      <w:pPr>
        <w:spacing w:after="0" w:line="332"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35</w:t>
      </w:r>
    </w:p>
    <w:p>
      <w:pPr>
        <w:sectPr>
          <w:pgSz w:w="11900" w:h="16838" w:orient="portrait"/>
          <w:cols w:equalWidth="0" w:num="1">
            <w:col w:w="11240"/>
          </w:cols>
          <w:pgMar w:left="320" w:top="118" w:right="3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our credit facility: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4440" w:type="dxa"/>
            <w:vAlign w:val="bottom"/>
            <w:tcBorders>
              <w:bottom w:val="single" w:sz="8" w:color="ACACAC"/>
            </w:tcBorders>
            <w:shd w:val="clear" w:color="auto" w:fill="ACACAC"/>
          </w:tcPr>
          <w:p>
            <w:pPr>
              <w:jc w:val="center"/>
              <w:ind w:left="716"/>
              <w:spacing w:after="0"/>
              <w:rPr>
                <w:sz w:val="20"/>
                <w:szCs w:val="20"/>
                <w:color w:val="auto"/>
              </w:rPr>
            </w:pPr>
            <w:r>
              <w:rPr>
                <w:rFonts w:ascii="Arial" w:cs="Arial" w:eastAsia="Arial" w:hAnsi="Arial"/>
                <w:sz w:val="14"/>
                <w:szCs w:val="14"/>
                <w:b w:val="1"/>
                <w:bCs w:val="1"/>
                <w:color w:val="FFFFFF"/>
                <w:w w:val="93"/>
              </w:rPr>
              <w:t>Requirement</w:t>
            </w:r>
          </w:p>
        </w:tc>
        <w:tc>
          <w:tcPr>
            <w:tcW w:w="2940" w:type="dxa"/>
            <w:vAlign w:val="bottom"/>
            <w:tcBorders>
              <w:bottom w:val="single" w:sz="8" w:color="ACACAC"/>
            </w:tcBorders>
            <w:shd w:val="clear" w:color="auto" w:fill="ACACAC"/>
          </w:tcPr>
          <w:p>
            <w:pPr>
              <w:jc w:val="center"/>
              <w:ind w:right="336"/>
              <w:spacing w:after="0"/>
              <w:rPr>
                <w:sz w:val="20"/>
                <w:szCs w:val="20"/>
                <w:color w:val="auto"/>
              </w:rPr>
            </w:pPr>
            <w:r>
              <w:rPr>
                <w:rFonts w:ascii="Arial" w:cs="Arial" w:eastAsia="Arial" w:hAnsi="Arial"/>
                <w:sz w:val="14"/>
                <w:szCs w:val="14"/>
                <w:b w:val="1"/>
                <w:bCs w:val="1"/>
                <w:color w:val="FFFFFF"/>
                <w:highlight w:val="darkGray"/>
                <w:w w:val="93"/>
              </w:rPr>
              <w:t>Ratio as of March 31, 2020</w:t>
            </w:r>
          </w:p>
        </w:tc>
      </w:tr>
      <w:tr>
        <w:trPr>
          <w:trHeight w:val="250"/>
        </w:trPr>
        <w:tc>
          <w:tcPr>
            <w:tcW w:w="386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Net Leverage Ratio</w:t>
            </w:r>
          </w:p>
        </w:tc>
        <w:tc>
          <w:tcPr>
            <w:tcW w:w="4440" w:type="dxa"/>
            <w:vAlign w:val="bottom"/>
            <w:tcBorders>
              <w:bottom w:val="single" w:sz="8" w:color="F4F4F4"/>
            </w:tcBorders>
            <w:shd w:val="clear" w:color="auto" w:fill="F4F4F4"/>
          </w:tcPr>
          <w:p>
            <w:pPr>
              <w:jc w:val="center"/>
              <w:ind w:left="716"/>
              <w:spacing w:after="0"/>
              <w:rPr>
                <w:sz w:val="20"/>
                <w:szCs w:val="20"/>
                <w:color w:val="auto"/>
              </w:rPr>
            </w:pPr>
            <w:r>
              <w:rPr>
                <w:rFonts w:ascii="Arial" w:cs="Arial" w:eastAsia="Arial" w:hAnsi="Arial"/>
                <w:sz w:val="18"/>
                <w:szCs w:val="18"/>
                <w:color w:val="auto"/>
                <w:w w:val="90"/>
              </w:rPr>
              <w:t>≤ 3.50 to 1.00</w:t>
            </w:r>
          </w:p>
        </w:tc>
        <w:tc>
          <w:tcPr>
            <w:tcW w:w="2940" w:type="dxa"/>
            <w:vAlign w:val="bottom"/>
            <w:tcBorders>
              <w:bottom w:val="single" w:sz="8" w:color="F4F4F4"/>
            </w:tcBorders>
            <w:shd w:val="clear" w:color="auto" w:fill="F4F4F4"/>
          </w:tcPr>
          <w:p>
            <w:pPr>
              <w:jc w:val="center"/>
              <w:ind w:right="356"/>
              <w:spacing w:after="0"/>
              <w:rPr>
                <w:sz w:val="20"/>
                <w:szCs w:val="20"/>
                <w:color w:val="auto"/>
              </w:rPr>
            </w:pPr>
            <w:r>
              <w:rPr>
                <w:rFonts w:ascii="Arial" w:cs="Arial" w:eastAsia="Arial" w:hAnsi="Arial"/>
                <w:sz w:val="18"/>
                <w:szCs w:val="18"/>
                <w:color w:val="auto"/>
                <w:w w:val="90"/>
              </w:rPr>
              <w:t>2.61 to 1.00</w:t>
            </w:r>
          </w:p>
        </w:tc>
      </w:tr>
      <w:tr>
        <w:trPr>
          <w:trHeight w:val="243"/>
        </w:trPr>
        <w:tc>
          <w:tcPr>
            <w:tcW w:w="3860" w:type="dxa"/>
            <w:vAlign w:val="bottom"/>
          </w:tcPr>
          <w:p>
            <w:pPr>
              <w:ind w:left="40"/>
              <w:spacing w:after="0"/>
              <w:rPr>
                <w:sz w:val="20"/>
                <w:szCs w:val="20"/>
                <w:color w:val="auto"/>
              </w:rPr>
            </w:pPr>
            <w:r>
              <w:rPr>
                <w:rFonts w:ascii="Arial" w:cs="Arial" w:eastAsia="Arial" w:hAnsi="Arial"/>
                <w:sz w:val="18"/>
                <w:szCs w:val="18"/>
                <w:color w:val="auto"/>
              </w:rPr>
              <w:t>Interest Coverage Ratio</w:t>
            </w:r>
          </w:p>
        </w:tc>
        <w:tc>
          <w:tcPr>
            <w:tcW w:w="4440" w:type="dxa"/>
            <w:vAlign w:val="bottom"/>
          </w:tcPr>
          <w:p>
            <w:pPr>
              <w:jc w:val="center"/>
              <w:ind w:left="716"/>
              <w:spacing w:after="0"/>
              <w:rPr>
                <w:sz w:val="20"/>
                <w:szCs w:val="20"/>
                <w:color w:val="auto"/>
              </w:rPr>
            </w:pPr>
            <w:r>
              <w:rPr>
                <w:rFonts w:ascii="Arial" w:cs="Arial" w:eastAsia="Arial" w:hAnsi="Arial"/>
                <w:sz w:val="18"/>
                <w:szCs w:val="18"/>
                <w:color w:val="auto"/>
                <w:w w:val="90"/>
              </w:rPr>
              <w:t>≥ 2.50 to 1.00</w:t>
            </w:r>
          </w:p>
        </w:tc>
        <w:tc>
          <w:tcPr>
            <w:tcW w:w="2940" w:type="dxa"/>
            <w:vAlign w:val="bottom"/>
          </w:tcPr>
          <w:p>
            <w:pPr>
              <w:jc w:val="center"/>
              <w:ind w:right="336"/>
              <w:spacing w:after="0"/>
              <w:rPr>
                <w:sz w:val="20"/>
                <w:szCs w:val="20"/>
                <w:color w:val="auto"/>
              </w:rPr>
            </w:pPr>
            <w:r>
              <w:rPr>
                <w:rFonts w:ascii="Arial" w:cs="Arial" w:eastAsia="Arial" w:hAnsi="Arial"/>
                <w:sz w:val="18"/>
                <w:szCs w:val="18"/>
                <w:color w:val="auto"/>
                <w:w w:val="91"/>
              </w:rPr>
              <w:t>10.02 to 1.00</w:t>
            </w:r>
          </w:p>
        </w:tc>
      </w:tr>
      <w:tr>
        <w:trPr>
          <w:trHeight w:val="27"/>
        </w:trPr>
        <w:tc>
          <w:tcPr>
            <w:tcW w:w="3860" w:type="dxa"/>
            <w:vAlign w:val="bottom"/>
            <w:tcBorders>
              <w:bottom w:val="single" w:sz="8" w:color="71BF43"/>
            </w:tcBorders>
          </w:tcPr>
          <w:p>
            <w:pPr>
              <w:spacing w:after="0"/>
              <w:rPr>
                <w:sz w:val="2"/>
                <w:szCs w:val="2"/>
                <w:color w:val="auto"/>
              </w:rPr>
            </w:pPr>
          </w:p>
        </w:tc>
        <w:tc>
          <w:tcPr>
            <w:tcW w:w="4440" w:type="dxa"/>
            <w:vAlign w:val="bottom"/>
            <w:tcBorders>
              <w:bottom w:val="single" w:sz="8" w:color="71BF43"/>
            </w:tcBorders>
          </w:tcPr>
          <w:p>
            <w:pPr>
              <w:spacing w:after="0"/>
              <w:rPr>
                <w:sz w:val="2"/>
                <w:szCs w:val="2"/>
                <w:color w:val="auto"/>
              </w:rPr>
            </w:pPr>
          </w:p>
        </w:tc>
        <w:tc>
          <w:tcPr>
            <w:tcW w:w="2940" w:type="dxa"/>
            <w:vAlign w:val="bottom"/>
            <w:tcBorders>
              <w:bottom w:val="single" w:sz="8" w:color="71BF43"/>
            </w:tcBorders>
          </w:tcPr>
          <w:p>
            <w:pPr>
              <w:spacing w:after="0"/>
              <w:rPr>
                <w:sz w:val="2"/>
                <w:szCs w:val="2"/>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2017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2017 Credit Facility, and (ii) our pro forma net leverage ratio, as set forth in the 2017 Credit Facility, must be 0.25 less than the net leverage ratio requirement at the time of dividend declaration or share repurchase. At March 31, 2020, we were in compliance with our debt covenants under the 2017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contractual obligations with future minimum commitments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80" w:type="dxa"/>
            <w:vAlign w:val="bottom"/>
            <w:shd w:val="clear" w:color="auto" w:fill="ACACAC"/>
          </w:tcPr>
          <w:p>
            <w:pPr>
              <w:spacing w:after="0"/>
              <w:rPr>
                <w:sz w:val="22"/>
                <w:szCs w:val="22"/>
                <w:color w:val="auto"/>
              </w:rPr>
            </w:pPr>
          </w:p>
        </w:tc>
        <w:tc>
          <w:tcPr>
            <w:tcW w:w="480" w:type="dxa"/>
            <w:vAlign w:val="bottom"/>
            <w:shd w:val="clear" w:color="auto" w:fill="ACACAC"/>
          </w:tcPr>
          <w:p>
            <w:pPr>
              <w:spacing w:after="0"/>
              <w:rPr>
                <w:sz w:val="22"/>
                <w:szCs w:val="22"/>
                <w:color w:val="auto"/>
              </w:rPr>
            </w:pPr>
          </w:p>
        </w:tc>
        <w:tc>
          <w:tcPr>
            <w:tcW w:w="840" w:type="dxa"/>
            <w:vAlign w:val="bottom"/>
            <w:shd w:val="clear" w:color="auto" w:fill="ACACAC"/>
          </w:tcPr>
          <w:p>
            <w:pPr>
              <w:spacing w:after="0"/>
              <w:rPr>
                <w:sz w:val="22"/>
                <w:szCs w:val="22"/>
                <w:color w:val="auto"/>
              </w:rPr>
            </w:pPr>
          </w:p>
        </w:tc>
        <w:tc>
          <w:tcPr>
            <w:tcW w:w="220" w:type="dxa"/>
            <w:vAlign w:val="bottom"/>
            <w:shd w:val="clear" w:color="auto" w:fill="ACACAC"/>
          </w:tcPr>
          <w:p>
            <w:pPr>
              <w:spacing w:after="0"/>
              <w:rPr>
                <w:sz w:val="22"/>
                <w:szCs w:val="22"/>
                <w:color w:val="auto"/>
              </w:rPr>
            </w:pPr>
          </w:p>
        </w:tc>
        <w:tc>
          <w:tcPr>
            <w:tcW w:w="1080" w:type="dxa"/>
            <w:vAlign w:val="bottom"/>
            <w:shd w:val="clear" w:color="auto" w:fill="ACACAC"/>
          </w:tcPr>
          <w:p>
            <w:pPr>
              <w:spacing w:after="0"/>
              <w:rPr>
                <w:sz w:val="22"/>
                <w:szCs w:val="22"/>
                <w:color w:val="auto"/>
              </w:rPr>
            </w:pPr>
          </w:p>
        </w:tc>
        <w:tc>
          <w:tcPr>
            <w:tcW w:w="1840" w:type="dxa"/>
            <w:vAlign w:val="bottom"/>
            <w:gridSpan w:val="3"/>
            <w:shd w:val="clear" w:color="auto" w:fill="ACACAC"/>
          </w:tcPr>
          <w:p>
            <w:pPr>
              <w:jc w:val="right"/>
              <w:ind w:right="230"/>
              <w:spacing w:after="0"/>
              <w:rPr>
                <w:sz w:val="20"/>
                <w:szCs w:val="20"/>
                <w:color w:val="auto"/>
              </w:rPr>
            </w:pPr>
            <w:r>
              <w:rPr>
                <w:rFonts w:ascii="Arial" w:cs="Arial" w:eastAsia="Arial" w:hAnsi="Arial"/>
                <w:sz w:val="14"/>
                <w:szCs w:val="14"/>
                <w:b w:val="1"/>
                <w:bCs w:val="1"/>
                <w:color w:val="FFFFFF"/>
                <w:w w:val="92"/>
              </w:rPr>
              <w:t>Payments due by period</w:t>
            </w:r>
          </w:p>
        </w:tc>
        <w:tc>
          <w:tcPr>
            <w:tcW w:w="900" w:type="dxa"/>
            <w:vAlign w:val="bottom"/>
            <w:shd w:val="clear" w:color="auto" w:fill="ACACAC"/>
          </w:tcPr>
          <w:p>
            <w:pPr>
              <w:spacing w:after="0"/>
              <w:rPr>
                <w:sz w:val="22"/>
                <w:szCs w:val="22"/>
                <w:color w:val="auto"/>
              </w:rPr>
            </w:pPr>
          </w:p>
        </w:tc>
        <w:tc>
          <w:tcPr>
            <w:tcW w:w="160" w:type="dxa"/>
            <w:vAlign w:val="bottom"/>
            <w:shd w:val="clear" w:color="auto" w:fill="ACACAC"/>
          </w:tcPr>
          <w:p>
            <w:pPr>
              <w:spacing w:after="0"/>
              <w:rPr>
                <w:sz w:val="22"/>
                <w:szCs w:val="22"/>
                <w:color w:val="auto"/>
              </w:rPr>
            </w:pPr>
          </w:p>
        </w:tc>
        <w:tc>
          <w:tcPr>
            <w:tcW w:w="1240" w:type="dxa"/>
            <w:vAlign w:val="bottom"/>
            <w:shd w:val="clear" w:color="auto" w:fill="ACACAC"/>
          </w:tcPr>
          <w:p>
            <w:pPr>
              <w:spacing w:after="0"/>
              <w:rPr>
                <w:sz w:val="22"/>
                <w:szCs w:val="22"/>
                <w:color w:val="auto"/>
              </w:rPr>
            </w:pPr>
          </w:p>
        </w:tc>
      </w:tr>
      <w:tr>
        <w:trPr>
          <w:trHeight w:val="242"/>
        </w:trPr>
        <w:tc>
          <w:tcPr>
            <w:tcW w:w="448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(in millions)</w:t>
            </w:r>
          </w:p>
        </w:tc>
        <w:tc>
          <w:tcPr>
            <w:tcW w:w="480" w:type="dxa"/>
            <w:vAlign w:val="bottom"/>
            <w:shd w:val="clear" w:color="auto" w:fill="ACACAC"/>
          </w:tcPr>
          <w:p>
            <w:pPr>
              <w:spacing w:after="0"/>
              <w:rPr>
                <w:sz w:val="21"/>
                <w:szCs w:val="21"/>
                <w:color w:val="auto"/>
              </w:rPr>
            </w:pPr>
          </w:p>
        </w:tc>
        <w:tc>
          <w:tcPr>
            <w:tcW w:w="8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20" w:type="dxa"/>
            <w:vAlign w:val="bottom"/>
            <w:shd w:val="clear" w:color="auto" w:fill="ACACAC"/>
          </w:tcPr>
          <w:p>
            <w:pPr>
              <w:spacing w:after="0"/>
              <w:rPr>
                <w:sz w:val="21"/>
                <w:szCs w:val="21"/>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w w:val="94"/>
              </w:rPr>
              <w:t>Less than 1 year</w:t>
            </w:r>
          </w:p>
        </w:tc>
        <w:tc>
          <w:tcPr>
            <w:tcW w:w="50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1-3 years</w:t>
            </w:r>
          </w:p>
        </w:tc>
        <w:tc>
          <w:tcPr>
            <w:tcW w:w="440" w:type="dxa"/>
            <w:vAlign w:val="bottom"/>
            <w:shd w:val="clear" w:color="auto" w:fill="ACACAC"/>
          </w:tcPr>
          <w:p>
            <w:pPr>
              <w:spacing w:after="0"/>
              <w:rPr>
                <w:sz w:val="21"/>
                <w:szCs w:val="21"/>
                <w:color w:val="auto"/>
              </w:rPr>
            </w:pPr>
          </w:p>
        </w:tc>
        <w:tc>
          <w:tcPr>
            <w:tcW w:w="9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3-5 years</w:t>
            </w:r>
          </w:p>
        </w:tc>
        <w:tc>
          <w:tcPr>
            <w:tcW w:w="160" w:type="dxa"/>
            <w:vAlign w:val="bottom"/>
            <w:shd w:val="clear" w:color="auto" w:fill="ACACAC"/>
          </w:tcPr>
          <w:p>
            <w:pPr>
              <w:spacing w:after="0"/>
              <w:rPr>
                <w:sz w:val="21"/>
                <w:szCs w:val="21"/>
                <w:color w:val="auto"/>
              </w:rPr>
            </w:pPr>
          </w:p>
        </w:tc>
        <w:tc>
          <w:tcPr>
            <w:tcW w:w="1240" w:type="dxa"/>
            <w:vAlign w:val="bottom"/>
            <w:shd w:val="clear" w:color="auto" w:fill="ACACAC"/>
          </w:tcPr>
          <w:p>
            <w:pPr>
              <w:jc w:val="right"/>
              <w:ind w:right="13"/>
              <w:spacing w:after="0"/>
              <w:rPr>
                <w:sz w:val="20"/>
                <w:szCs w:val="20"/>
                <w:color w:val="auto"/>
              </w:rPr>
            </w:pPr>
            <w:r>
              <w:rPr>
                <w:rFonts w:ascii="Arial" w:cs="Arial" w:eastAsia="Arial" w:hAnsi="Arial"/>
                <w:sz w:val="14"/>
                <w:szCs w:val="14"/>
                <w:b w:val="1"/>
                <w:bCs w:val="1"/>
                <w:color w:val="FFFFFF"/>
                <w:w w:val="94"/>
              </w:rPr>
              <w:t>More than 5 years</w:t>
            </w:r>
          </w:p>
        </w:tc>
      </w:tr>
      <w:tr>
        <w:trPr>
          <w:trHeight w:val="250"/>
        </w:trPr>
        <w:tc>
          <w:tcPr>
            <w:tcW w:w="448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b w:val="1"/>
                <w:bCs w:val="1"/>
                <w:color w:val="auto"/>
              </w:rPr>
              <w:t>Recorded contractual obligations:</w:t>
            </w:r>
          </w:p>
        </w:tc>
        <w:tc>
          <w:tcPr>
            <w:tcW w:w="48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16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r>
      <w:tr>
        <w:trPr>
          <w:trHeight w:val="270"/>
        </w:trPr>
        <w:tc>
          <w:tcPr>
            <w:tcW w:w="4480" w:type="dxa"/>
            <w:vAlign w:val="bottom"/>
          </w:tcPr>
          <w:p>
            <w:pPr>
              <w:ind w:left="180"/>
              <w:spacing w:after="0" w:line="270" w:lineRule="exact"/>
              <w:rPr>
                <w:sz w:val="20"/>
                <w:szCs w:val="20"/>
                <w:color w:val="auto"/>
              </w:rPr>
            </w:pPr>
            <w:r>
              <w:rPr>
                <w:rFonts w:ascii="Arial" w:cs="Arial" w:eastAsia="Arial" w:hAnsi="Arial"/>
                <w:sz w:val="18"/>
                <w:szCs w:val="18"/>
                <w:color w:val="auto"/>
              </w:rPr>
              <w:t>Debt</w:t>
            </w:r>
            <w:r>
              <w:rPr>
                <w:rFonts w:ascii="Arial" w:cs="Arial" w:eastAsia="Arial" w:hAnsi="Arial"/>
                <w:sz w:val="29"/>
                <w:szCs w:val="29"/>
                <w:color w:val="auto"/>
                <w:vertAlign w:val="superscript"/>
              </w:rPr>
              <w:t>(1)</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532.0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w:t>
            </w:r>
          </w:p>
        </w:tc>
        <w:tc>
          <w:tcPr>
            <w:tcW w:w="50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521.6</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F4F4F4"/>
          </w:tcPr>
          <w:p>
            <w:pPr>
              <w:ind w:left="180"/>
              <w:spacing w:after="0" w:line="27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9"/>
                <w:szCs w:val="29"/>
                <w:color w:val="auto"/>
                <w:vertAlign w:val="superscript"/>
              </w:rPr>
              <w:t>(2)</w:t>
            </w:r>
          </w:p>
        </w:tc>
        <w:tc>
          <w:tcPr>
            <w:tcW w:w="480" w:type="dxa"/>
            <w:vAlign w:val="bottom"/>
            <w:shd w:val="clear" w:color="auto" w:fill="F4F4F4"/>
          </w:tcPr>
          <w:p>
            <w:pPr>
              <w:spacing w:after="0"/>
              <w:rPr>
                <w:sz w:val="23"/>
                <w:szCs w:val="23"/>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4.6</w:t>
            </w: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4F4F4"/>
          </w:tcPr>
          <w:p>
            <w:pPr>
              <w:spacing w:after="0"/>
              <w:rPr>
                <w:sz w:val="23"/>
                <w:szCs w:val="23"/>
                <w:color w:val="auto"/>
              </w:rPr>
            </w:pP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line="270" w:lineRule="exact"/>
              <w:rPr>
                <w:sz w:val="20"/>
                <w:szCs w:val="20"/>
                <w:color w:val="auto"/>
              </w:rPr>
            </w:pPr>
            <w:r>
              <w:rPr>
                <w:rFonts w:ascii="Arial" w:cs="Arial" w:eastAsia="Arial" w:hAnsi="Arial"/>
                <w:sz w:val="18"/>
                <w:szCs w:val="18"/>
                <w:color w:val="auto"/>
              </w:rPr>
              <w:t>Operating leases</w:t>
            </w:r>
            <w:r>
              <w:rPr>
                <w:rFonts w:ascii="Arial" w:cs="Arial" w:eastAsia="Arial" w:hAnsi="Arial"/>
                <w:sz w:val="29"/>
                <w:szCs w:val="29"/>
                <w:color w:val="auto"/>
                <w:vertAlign w:val="superscript"/>
              </w:rPr>
              <w:t>(3)</w:t>
            </w:r>
          </w:p>
        </w:tc>
        <w:tc>
          <w:tcPr>
            <w:tcW w:w="4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155.7</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w:t>
            </w:r>
          </w:p>
        </w:tc>
        <w:tc>
          <w:tcPr>
            <w:tcW w:w="5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37.5</w:t>
            </w:r>
          </w:p>
        </w:tc>
        <w:tc>
          <w:tcPr>
            <w:tcW w:w="4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23"/>
                <w:szCs w:val="23"/>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72.7</w:t>
            </w:r>
          </w:p>
        </w:tc>
      </w:tr>
      <w:tr>
        <w:trPr>
          <w:trHeight w:val="324"/>
        </w:trPr>
        <w:tc>
          <w:tcPr>
            <w:tcW w:w="4480" w:type="dxa"/>
            <w:vAlign w:val="bottom"/>
            <w:shd w:val="clear" w:color="auto" w:fill="F4F4F4"/>
          </w:tcPr>
          <w:p>
            <w:pPr>
              <w:spacing w:after="0"/>
              <w:rPr>
                <w:sz w:val="24"/>
                <w:szCs w:val="24"/>
                <w:color w:val="auto"/>
              </w:rPr>
            </w:pPr>
          </w:p>
        </w:tc>
        <w:tc>
          <w:tcPr>
            <w:tcW w:w="480" w:type="dxa"/>
            <w:vAlign w:val="bottom"/>
            <w:shd w:val="clear" w:color="auto" w:fill="F4F4F4"/>
          </w:tcPr>
          <w:p>
            <w:pPr>
              <w:spacing w:after="0"/>
              <w:rPr>
                <w:sz w:val="24"/>
                <w:szCs w:val="24"/>
                <w:color w:val="auto"/>
              </w:rPr>
            </w:pPr>
          </w:p>
        </w:tc>
        <w:tc>
          <w:tcPr>
            <w:tcW w:w="840" w:type="dxa"/>
            <w:vAlign w:val="bottom"/>
            <w:shd w:val="clear" w:color="auto" w:fill="F4F4F4"/>
          </w:tcPr>
          <w:p>
            <w:pPr>
              <w:spacing w:after="0"/>
              <w:rPr>
                <w:sz w:val="24"/>
                <w:szCs w:val="24"/>
                <w:color w:val="auto"/>
              </w:rPr>
            </w:pPr>
          </w:p>
        </w:tc>
        <w:tc>
          <w:tcPr>
            <w:tcW w:w="220" w:type="dxa"/>
            <w:vAlign w:val="bottom"/>
            <w:shd w:val="clear" w:color="auto" w:fill="F4F4F4"/>
          </w:tcPr>
          <w:p>
            <w:pPr>
              <w:spacing w:after="0"/>
              <w:rPr>
                <w:sz w:val="24"/>
                <w:szCs w:val="24"/>
                <w:color w:val="auto"/>
              </w:rPr>
            </w:pPr>
          </w:p>
        </w:tc>
        <w:tc>
          <w:tcPr>
            <w:tcW w:w="1080" w:type="dxa"/>
            <w:vAlign w:val="bottom"/>
            <w:shd w:val="clear" w:color="auto" w:fill="F4F4F4"/>
          </w:tcPr>
          <w:p>
            <w:pPr>
              <w:spacing w:after="0"/>
              <w:rPr>
                <w:sz w:val="24"/>
                <w:szCs w:val="24"/>
                <w:color w:val="auto"/>
              </w:rPr>
            </w:pPr>
          </w:p>
        </w:tc>
        <w:tc>
          <w:tcPr>
            <w:tcW w:w="50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440" w:type="dxa"/>
            <w:vAlign w:val="bottom"/>
            <w:shd w:val="clear" w:color="auto" w:fill="F4F4F4"/>
          </w:tcPr>
          <w:p>
            <w:pPr>
              <w:spacing w:after="0"/>
              <w:rPr>
                <w:sz w:val="24"/>
                <w:szCs w:val="24"/>
                <w:color w:val="auto"/>
              </w:rPr>
            </w:pPr>
          </w:p>
        </w:tc>
        <w:tc>
          <w:tcPr>
            <w:tcW w:w="900" w:type="dxa"/>
            <w:vAlign w:val="bottom"/>
            <w:shd w:val="clear" w:color="auto" w:fill="F4F4F4"/>
          </w:tcPr>
          <w:p>
            <w:pPr>
              <w:spacing w:after="0"/>
              <w:rPr>
                <w:sz w:val="24"/>
                <w:szCs w:val="24"/>
                <w:color w:val="auto"/>
              </w:rPr>
            </w:pPr>
          </w:p>
        </w:tc>
        <w:tc>
          <w:tcPr>
            <w:tcW w:w="160" w:type="dxa"/>
            <w:vAlign w:val="bottom"/>
            <w:shd w:val="clear" w:color="auto" w:fill="F4F4F4"/>
          </w:tcPr>
          <w:p>
            <w:pPr>
              <w:spacing w:after="0"/>
              <w:rPr>
                <w:sz w:val="24"/>
                <w:szCs w:val="24"/>
                <w:color w:val="auto"/>
              </w:rPr>
            </w:pPr>
          </w:p>
        </w:tc>
        <w:tc>
          <w:tcPr>
            <w:tcW w:w="1240" w:type="dxa"/>
            <w:vAlign w:val="bottom"/>
            <w:shd w:val="clear" w:color="auto" w:fill="F4F4F4"/>
          </w:tcPr>
          <w:p>
            <w:pPr>
              <w:spacing w:after="0"/>
              <w:rPr>
                <w:sz w:val="24"/>
                <w:szCs w:val="24"/>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Unrecorded contractual obligations:</w:t>
            </w: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80" w:type="dxa"/>
            <w:vAlign w:val="bottom"/>
            <w:shd w:val="clear" w:color="auto" w:fill="F4F4F4"/>
          </w:tcPr>
          <w:p>
            <w:pPr>
              <w:ind w:left="180"/>
              <w:spacing w:after="0" w:line="270" w:lineRule="exact"/>
              <w:rPr>
                <w:sz w:val="20"/>
                <w:szCs w:val="20"/>
                <w:color w:val="auto"/>
              </w:rPr>
            </w:pPr>
            <w:r>
              <w:rPr>
                <w:rFonts w:ascii="Arial" w:cs="Arial" w:eastAsia="Arial" w:hAnsi="Arial"/>
                <w:sz w:val="18"/>
                <w:szCs w:val="18"/>
                <w:color w:val="auto"/>
              </w:rPr>
              <w:t>Interest payments on debt</w:t>
            </w:r>
            <w:r>
              <w:rPr>
                <w:rFonts w:ascii="Arial" w:cs="Arial" w:eastAsia="Arial" w:hAnsi="Arial"/>
                <w:sz w:val="29"/>
                <w:szCs w:val="29"/>
                <w:color w:val="auto"/>
                <w:vertAlign w:val="superscript"/>
              </w:rPr>
              <w:t>(4)</w:t>
            </w:r>
          </w:p>
        </w:tc>
        <w:tc>
          <w:tcPr>
            <w:tcW w:w="480" w:type="dxa"/>
            <w:vAlign w:val="bottom"/>
            <w:shd w:val="clear" w:color="auto" w:fill="F4F4F4"/>
          </w:tcPr>
          <w:p>
            <w:pPr>
              <w:spacing w:after="0"/>
              <w:rPr>
                <w:sz w:val="23"/>
                <w:szCs w:val="23"/>
                <w:color w:val="auto"/>
              </w:rPr>
            </w:pP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13.1</w:t>
            </w:r>
          </w:p>
        </w:tc>
        <w:tc>
          <w:tcPr>
            <w:tcW w:w="440" w:type="dxa"/>
            <w:vAlign w:val="bottom"/>
            <w:shd w:val="clear" w:color="auto" w:fill="F4F4F4"/>
          </w:tcPr>
          <w:p>
            <w:pPr>
              <w:spacing w:after="0"/>
              <w:rPr>
                <w:sz w:val="23"/>
                <w:szCs w:val="23"/>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F4F4F4"/>
          </w:tcPr>
          <w:p>
            <w:pPr>
              <w:spacing w:after="0"/>
              <w:rPr>
                <w:sz w:val="23"/>
                <w:szCs w:val="23"/>
                <w:color w:val="auto"/>
              </w:rPr>
            </w:pP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Borders>
              <w:bottom w:val="single" w:sz="8" w:color="F4F4F4"/>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9"/>
                <w:szCs w:val="29"/>
                <w:color w:val="auto"/>
                <w:vertAlign w:val="superscript"/>
              </w:rPr>
              <w:t>(5)</w:t>
            </w:r>
          </w:p>
        </w:tc>
        <w:tc>
          <w:tcPr>
            <w:tcW w:w="4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5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4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4480" w:type="dxa"/>
            <w:vAlign w:val="bottom"/>
            <w:shd w:val="clear" w:color="auto" w:fill="F4F4F4"/>
          </w:tcPr>
          <w:p>
            <w:pPr>
              <w:ind w:left="40"/>
              <w:spacing w:after="0"/>
              <w:rPr>
                <w:sz w:val="20"/>
                <w:szCs w:val="20"/>
                <w:color w:val="auto"/>
              </w:rPr>
            </w:pPr>
            <w:r>
              <w:rPr>
                <w:rFonts w:ascii="Arial" w:cs="Arial" w:eastAsia="Arial" w:hAnsi="Arial"/>
                <w:sz w:val="18"/>
                <w:szCs w:val="18"/>
                <w:b w:val="1"/>
                <w:bCs w:val="1"/>
                <w:color w:val="auto"/>
              </w:rPr>
              <w:t>Total contractual obligations</w:t>
            </w:r>
          </w:p>
        </w:tc>
        <w:tc>
          <w:tcPr>
            <w:tcW w:w="480" w:type="dxa"/>
            <w:vAlign w:val="bottom"/>
            <w:shd w:val="clear" w:color="auto" w:fill="F4F4F4"/>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793.4</w:t>
            </w:r>
          </w:p>
        </w:tc>
        <w:tc>
          <w:tcPr>
            <w:tcW w:w="2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8"/>
                <w:szCs w:val="18"/>
                <w:color w:val="auto"/>
              </w:rPr>
              <w:t>90.4</w:t>
            </w:r>
          </w:p>
        </w:tc>
        <w:tc>
          <w:tcPr>
            <w:tcW w:w="500" w:type="dxa"/>
            <w:vAlign w:val="bottom"/>
            <w:shd w:val="clear" w:color="auto" w:fill="F4F4F4"/>
          </w:tcPr>
          <w:p>
            <w:pPr>
              <w:jc w:val="right"/>
              <w:ind w:right="216"/>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610.6</w:t>
            </w:r>
          </w:p>
        </w:tc>
        <w:tc>
          <w:tcPr>
            <w:tcW w:w="44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w:t>
            </w:r>
          </w:p>
        </w:tc>
        <w:tc>
          <w:tcPr>
            <w:tcW w:w="1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F4F4F4"/>
          </w:tcPr>
          <w:p>
            <w:pPr>
              <w:jc w:val="right"/>
              <w:ind w:right="13"/>
              <w:spacing w:after="0"/>
              <w:rPr>
                <w:sz w:val="20"/>
                <w:szCs w:val="20"/>
                <w:color w:val="auto"/>
              </w:rPr>
            </w:pPr>
            <w:r>
              <w:rPr>
                <w:rFonts w:ascii="Arial" w:cs="Arial" w:eastAsia="Arial" w:hAnsi="Arial"/>
                <w:sz w:val="18"/>
                <w:szCs w:val="18"/>
                <w:color w:val="auto"/>
              </w:rPr>
              <w:t>72.7</w:t>
            </w:r>
          </w:p>
        </w:tc>
      </w:tr>
      <w:tr>
        <w:trPr>
          <w:trHeight w:val="27"/>
        </w:trPr>
        <w:tc>
          <w:tcPr>
            <w:tcW w:w="4480" w:type="dxa"/>
            <w:vAlign w:val="bottom"/>
            <w:shd w:val="clear" w:color="auto" w:fill="F4F4F4"/>
          </w:tcPr>
          <w:p>
            <w:pPr>
              <w:spacing w:after="0"/>
              <w:rPr>
                <w:sz w:val="2"/>
                <w:szCs w:val="2"/>
                <w:color w:val="auto"/>
              </w:rPr>
            </w:pPr>
          </w:p>
        </w:tc>
        <w:tc>
          <w:tcPr>
            <w:tcW w:w="480" w:type="dxa"/>
            <w:vAlign w:val="bottom"/>
            <w:shd w:val="clear" w:color="auto" w:fill="F4F4F4"/>
          </w:tcPr>
          <w:p>
            <w:pPr>
              <w:spacing w:after="0"/>
              <w:rPr>
                <w:sz w:val="2"/>
                <w:szCs w:val="2"/>
                <w:color w:val="auto"/>
              </w:rPr>
            </w:pPr>
          </w:p>
        </w:tc>
        <w:tc>
          <w:tcPr>
            <w:tcW w:w="840" w:type="dxa"/>
            <w:vAlign w:val="bottom"/>
            <w:shd w:val="clear" w:color="auto" w:fill="F4F4F4"/>
          </w:tcPr>
          <w:p>
            <w:pPr>
              <w:spacing w:after="0"/>
              <w:rPr>
                <w:sz w:val="2"/>
                <w:szCs w:val="2"/>
                <w:color w:val="auto"/>
              </w:rPr>
            </w:pPr>
          </w:p>
        </w:tc>
        <w:tc>
          <w:tcPr>
            <w:tcW w:w="220" w:type="dxa"/>
            <w:vAlign w:val="bottom"/>
            <w:shd w:val="clear" w:color="auto" w:fill="F4F4F4"/>
          </w:tcPr>
          <w:p>
            <w:pPr>
              <w:spacing w:after="0"/>
              <w:rPr>
                <w:sz w:val="2"/>
                <w:szCs w:val="2"/>
                <w:color w:val="auto"/>
              </w:rPr>
            </w:pPr>
          </w:p>
        </w:tc>
        <w:tc>
          <w:tcPr>
            <w:tcW w:w="1080" w:type="dxa"/>
            <w:vAlign w:val="bottom"/>
            <w:shd w:val="clear" w:color="auto" w:fill="F4F4F4"/>
          </w:tcPr>
          <w:p>
            <w:pPr>
              <w:spacing w:after="0"/>
              <w:rPr>
                <w:sz w:val="2"/>
                <w:szCs w:val="2"/>
                <w:color w:val="auto"/>
              </w:rPr>
            </w:pPr>
          </w:p>
        </w:tc>
        <w:tc>
          <w:tcPr>
            <w:tcW w:w="500" w:type="dxa"/>
            <w:vAlign w:val="bottom"/>
            <w:shd w:val="clear" w:color="auto" w:fill="F4F4F4"/>
          </w:tcPr>
          <w:p>
            <w:pPr>
              <w:spacing w:after="0"/>
              <w:rPr>
                <w:sz w:val="2"/>
                <w:szCs w:val="2"/>
                <w:color w:val="auto"/>
              </w:rPr>
            </w:pPr>
          </w:p>
        </w:tc>
        <w:tc>
          <w:tcPr>
            <w:tcW w:w="900" w:type="dxa"/>
            <w:vAlign w:val="bottom"/>
            <w:shd w:val="clear" w:color="auto" w:fill="F4F4F4"/>
          </w:tcPr>
          <w:p>
            <w:pPr>
              <w:spacing w:after="0"/>
              <w:rPr>
                <w:sz w:val="2"/>
                <w:szCs w:val="2"/>
                <w:color w:val="auto"/>
              </w:rPr>
            </w:pPr>
          </w:p>
        </w:tc>
        <w:tc>
          <w:tcPr>
            <w:tcW w:w="440" w:type="dxa"/>
            <w:vAlign w:val="bottom"/>
            <w:shd w:val="clear" w:color="auto" w:fill="F4F4F4"/>
          </w:tcPr>
          <w:p>
            <w:pPr>
              <w:spacing w:after="0"/>
              <w:rPr>
                <w:sz w:val="2"/>
                <w:szCs w:val="2"/>
                <w:color w:val="auto"/>
              </w:rPr>
            </w:pPr>
          </w:p>
        </w:tc>
        <w:tc>
          <w:tcPr>
            <w:tcW w:w="900" w:type="dxa"/>
            <w:vAlign w:val="bottom"/>
            <w:shd w:val="clear" w:color="auto" w:fill="F4F4F4"/>
          </w:tcPr>
          <w:p>
            <w:pPr>
              <w:spacing w:after="0"/>
              <w:rPr>
                <w:sz w:val="2"/>
                <w:szCs w:val="2"/>
                <w:color w:val="auto"/>
              </w:rPr>
            </w:pPr>
          </w:p>
        </w:tc>
        <w:tc>
          <w:tcPr>
            <w:tcW w:w="160" w:type="dxa"/>
            <w:vAlign w:val="bottom"/>
            <w:shd w:val="clear" w:color="auto" w:fill="F4F4F4"/>
          </w:tcPr>
          <w:p>
            <w:pPr>
              <w:spacing w:after="0"/>
              <w:rPr>
                <w:sz w:val="2"/>
                <w:szCs w:val="2"/>
                <w:color w:val="auto"/>
              </w:rPr>
            </w:pPr>
          </w:p>
        </w:tc>
        <w:tc>
          <w:tcPr>
            <w:tcW w:w="1240" w:type="dxa"/>
            <w:vAlign w:val="bottom"/>
            <w:shd w:val="clear" w:color="auto" w:fill="F4F4F4"/>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-1731010</wp:posOffset>
            </wp:positionV>
            <wp:extent cx="42862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jc w:val="both"/>
        <w:ind w:left="340" w:hanging="332"/>
        <w:spacing w:after="0" w:line="244"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principal payments only, under the following assumptions: (i) that the amounts outstanding under the 2017 Credit Facility and our other debt at March 31, 2020 will remain outstanding until maturity, with minimum payments occurring as currently scheduled, and (ii) that there are no assumed future borrowings on the 2017 Credit Facility for the purposes of determining minimum commitment amounts.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interest payment obligations related to our interest rate swap agreements.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Our commitments related to operating leases have not been reduced by sublease income, incentive payments and reimbursement of leasehold improvements.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actual interest expense recognized in our consolidated statements of comprehensive income will depend on the amount of debt, the length of time the debt is outstanding and the interest rate, which could be different from our assumptions described in (1) above.</w:t>
      </w:r>
    </w:p>
    <w:p>
      <w:pPr>
        <w:ind w:left="340" w:hanging="332"/>
        <w:spacing w:after="0" w:line="25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We have contractual obligations for third-party technology used in our solutions and for other services we purchase as part of our normal operations. In certain cases, these arrangements require a minimum annual purchase commitment by us.</w:t>
      </w:r>
    </w:p>
    <w:p>
      <w:pPr>
        <w:spacing w:after="0" w:line="1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under the 2017 Credit Facility requires periodic principal payments. The balance of the term loans and any amounts drawn on the revolving credit loans are due upon maturity of the 2017 Credit Facility in June 2022.</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total liability for uncertain tax positions as of March 31, 2020 and December 31, 2019, was $4.3 million and $4.3 million, respectively. Our accrued interest and penalties related to tax positions taken on our tax returns was $1.0 million as of March 31, 2020 and December 31, 2019.</w:t>
      </w:r>
    </w:p>
    <w:p>
      <w:pPr>
        <w:spacing w:after="0" w:line="32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Off-Balance Sheet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we did not have any off-balance sheet arrangements as defined in Item 303(a)(4)(ii) of Regulation S-K promulgated by the SEC that have, or are reasonably likely to have, a current or future effect on our financial condition, changes in our financial condition, revenues or expenses, results of operations, liquidity, capital expenditures or capital resources that is material to investors.</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36  </w:t>
      </w:r>
      <w:r>
        <w:rPr>
          <w:sz w:val="1"/>
          <w:szCs w:val="1"/>
          <w:color w:val="auto"/>
        </w:rPr>
        <w:drawing>
          <wp:inline distT="0" distB="0" distL="0" distR="0">
            <wp:extent cx="668655" cy="10287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13% of our total revenue for the three months ended March 31, 2020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$9.7 million as of March 31, 2020 and a loss of $4.0 million as of December 31, 2019.</w:t>
      </w:r>
    </w:p>
    <w:p>
      <w:pPr>
        <w:spacing w:after="0" w:line="13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three months ended March 31, 2020, foreign translation remained relatively flat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2020, the fluctuation in foreign currency exchange rates impacted our total revenue and our income from operations by an insignificant amount.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34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2020 as compared to those disclosed in “Management’s Discussion and Analysis of Financial Condition and Results of Operations” included in our Annual Report on Form 10-K for the fiscal year ended December 31, 2019.</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of our consolidated financial statements in this report.</w:t>
      </w:r>
    </w:p>
    <w:p>
      <w:pPr>
        <w:spacing w:after="0" w:line="179" w:lineRule="exact"/>
        <w:rPr>
          <w:sz w:val="20"/>
          <w:szCs w:val="20"/>
          <w:color w:val="auto"/>
        </w:rPr>
      </w:pPr>
    </w:p>
    <w:p>
      <w:pPr>
        <w:ind w:right="560"/>
        <w:spacing w:after="0" w:line="272" w:lineRule="auto"/>
        <w:rPr>
          <w:sz w:val="20"/>
          <w:szCs w:val="20"/>
          <w:color w:val="auto"/>
        </w:rPr>
      </w:pPr>
      <w:r>
        <w:rPr>
          <w:rFonts w:ascii="Arial" w:cs="Arial" w:eastAsia="Arial" w:hAnsi="Arial"/>
          <w:sz w:val="29"/>
          <w:szCs w:val="29"/>
          <w:b w:val="1"/>
          <w:bCs w:val="1"/>
          <w:color w:val="71BF43"/>
        </w:rPr>
        <w:t>ITEM 3. QUANTITATIVE AND QUALITATIVE DISCLOSURES ABOUT MARKET RISK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rates. The Financial Conduct Authority in the U.K. has stated that it plans to phase out LIBOR by the end of calendar year 2021. We do not currently anticipate a significant impact to our financial position or results of operations as a result of this action as we expect that our financial contracts currently indexed to LIBOR will either expire or be modified before the phase out occurs. Due to</w:t>
      </w:r>
    </w:p>
    <w:p>
      <w:pPr>
        <w:spacing w:after="0" w:line="338"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37</w:t>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nature of our debt, the materiality of the fair values of the derivative instruments and the highly liquid, short-term nature and level of our cash and cash equivalents as of March 31, 2020, we believe that the risk of exposure to changing interest rates for those positions is immaterial. There were no significant changes in how we manage interest rate risk between December 31, 2019 and March 31, 2020.</w:t>
      </w:r>
    </w:p>
    <w:p>
      <w:pPr>
        <w:spacing w:after="0" w:line="359"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179"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354"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March 31, 2020 with respect to our operations, which have materially affected, or are reasonably likely to materially affect, our internal control over financial reporting.</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38  </w:t>
      </w:r>
      <w:r>
        <w:rPr>
          <w:sz w:val="1"/>
          <w:szCs w:val="1"/>
          <w:color w:val="auto"/>
        </w:rPr>
        <w:drawing>
          <wp:inline distT="0" distB="0" distL="0" distR="0">
            <wp:extent cx="668655" cy="10287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260"/>
        <w:spacing w:after="0"/>
        <w:rPr>
          <w:sz w:val="20"/>
          <w:szCs w:val="20"/>
          <w:color w:val="auto"/>
        </w:rPr>
      </w:pPr>
      <w:r>
        <w:rPr>
          <w:sz w:val="1"/>
          <w:szCs w:val="1"/>
          <w:color w:val="auto"/>
        </w:rPr>
        <w:drawing>
          <wp:inline distT="0" distB="0" distL="0" distR="0">
            <wp:extent cx="188595" cy="24003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88595" cy="240030"/>
                    </a:xfrm>
                    <a:prstGeom prst="rect">
                      <a:avLst/>
                    </a:prstGeom>
                    <a:noFill/>
                    <a:ln>
                      <a:noFill/>
                    </a:ln>
                  </pic:spPr>
                </pic:pic>
              </a:graphicData>
            </a:graphic>
          </wp:inline>
        </w:drawing>
      </w:r>
      <w:r>
        <w:rPr>
          <w:rFonts w:ascii="Arial" w:cs="Arial" w:eastAsia="Arial" w:hAnsi="Arial"/>
          <w:sz w:val="40"/>
          <w:szCs w:val="40"/>
          <w:b w:val="1"/>
          <w:bCs w:val="1"/>
          <w:color w:val="50535A"/>
        </w:rPr>
        <w:t xml:space="preserve"> PART II. OTHER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light of the global COVID-19 pandemic and related developments, we are supplementing Item 1A. Risk Factors in our Annual Report on Form 10-K for the year ended December 31, 2019, as filed with the Securities and Exchange Commission on February 20, 2020 (the “Annual Report”). The following risk factor should be read in conjunction with the risk factors set forth in that Annual Report.</w:t>
      </w:r>
    </w:p>
    <w:p>
      <w:pPr>
        <w:spacing w:after="0" w:line="386"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COVID-19 pandemic (“COVID-19”) has disrupted, and is expected to continue to disrupt, our business, which is likely to adversely affect our operations and financial performance.</w:t>
      </w:r>
    </w:p>
    <w:p>
      <w:pPr>
        <w:spacing w:after="0" w:line="1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outbreak of COVID-19 in numerous countries across the globe, including each country in which we currently operate, has adversely impacted the U.S. and global economies. We have experienced disruptions to our business thus far from COVID-19, and the pandemic continues to impact each of our markets. Governmental authorities have taken, and continue to take, countermeasures to slow the outbreak, including shelter-in-place and business closure orders and large-scale restrictions on travel. Furthermore, because the pandemic is a rapidly evolving situation, we cannot anticipate with any certainty the length, scope or severity of such restrictions in the jurisdictions in which we operate.</w:t>
      </w:r>
    </w:p>
    <w:p>
      <w:pPr>
        <w:spacing w:after="0" w:line="12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of the vertical markets we serve are especially vulnerable to the global business disruption. For example, many arts and cultural organizations, including museums, performing arts centers and theaters, among others, have had to cancel events due to the COVID-19 outbreak. Many of these organizations have also suspended their operations temporarily. In addition, we believe that a number of K-12 private schools, that would ordinarily consider purchasing our cloud solutions for the 2020-2021 academic school year, are delaying their expenditures due to the uncertainty of COVID-19.</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COVID-19 will impact all of our vertical markets, across all of our geographies to some degree, but the significance and duration of the impact on our business cannot be determined at this time due to numerous uncertainties, including the ultimate geographic spread of the disease, the duration of the outbreak, travel restrictions and business closures, the effectiveness of actions taken to contain the disease and other unforeseeable consequences. This impact could include:</w:t>
      </w:r>
    </w:p>
    <w:p>
      <w:pPr>
        <w:spacing w:after="0" w:line="133"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customer demand;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relationship with, and the financial and operational capacities of our service providers, suppliers and business partners, including their ability to fulfill their obligations to 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decline in our customers' ability to use and pay for our solutions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reduced workforce availability and productivity due to working remotely using different technologies and potential health effects and concerns;</w:t>
      </w:r>
    </w:p>
    <w:p>
      <w:pPr>
        <w:spacing w:after="0" w:line="19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risks associated with our indebtedness (including available borrowing capacity, compliance with financial covenants and ability to refinance or repay indebtedness on favorable terms);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adequacy of our cash flow and earnings and other conditions which may affect our liquidity;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disruptions to our technology network and other critical systems;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charges against our goodwill and other intangible assets, operating lease right-of-use assets and other long-lived assets.</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that business disruption relating to the COVID-19 pandemic will continue to negatively impact the global economy and may materially adversely impact our business, financial condition and results of operations.</w:t>
      </w:r>
    </w:p>
    <w:p>
      <w:pPr>
        <w:spacing w:after="0" w:line="200" w:lineRule="exact"/>
        <w:rPr>
          <w:sz w:val="20"/>
          <w:szCs w:val="20"/>
          <w:color w:val="auto"/>
        </w:rPr>
      </w:pPr>
    </w:p>
    <w:p>
      <w:pPr>
        <w:spacing w:after="0" w:line="348" w:lineRule="exact"/>
        <w:rPr>
          <w:sz w:val="20"/>
          <w:szCs w:val="20"/>
          <w:color w:val="auto"/>
        </w:rPr>
      </w:pPr>
    </w:p>
    <w:p>
      <w:pPr>
        <w:ind w:left="7800"/>
        <w:spacing w:after="0"/>
        <w:rPr>
          <w:sz w:val="20"/>
          <w:szCs w:val="20"/>
          <w:color w:val="auto"/>
        </w:rPr>
      </w:pPr>
      <w:r>
        <w:rPr>
          <w:rFonts w:ascii="Arial" w:cs="Arial" w:eastAsia="Arial" w:hAnsi="Arial"/>
          <w:sz w:val="14"/>
          <w:szCs w:val="14"/>
          <w:color w:val="auto"/>
        </w:rPr>
        <w:t xml:space="preserve">First Quarter 2020 Form 10-Q  </w:t>
      </w:r>
      <w:r>
        <w:rPr>
          <w:sz w:val="1"/>
          <w:szCs w:val="1"/>
          <w:color w:val="auto"/>
        </w:rPr>
        <w:drawing>
          <wp:inline distT="0" distB="0" distL="0" distR="0">
            <wp:extent cx="668655" cy="10287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39</w:t>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54" w:lineRule="exact"/>
        <w:rPr>
          <w:sz w:val="20"/>
          <w:szCs w:val="20"/>
          <w:color w:val="auto"/>
        </w:rPr>
      </w:pPr>
    </w:p>
    <w:p>
      <w:pPr>
        <w:ind w:right="1520"/>
        <w:spacing w:after="0" w:line="272"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table provides information about shares of common stock acquired or repurchased during the three months ended March 31, 2020. All of these acquisitions were of common stock withheld by us to satisfy tax obligations of employees due upon vesting of restricted stock awards and units. The level of acquisition activity varies from period to period based upon the timing of grants and vesting as well as employee exercise decisions.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4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1440" w:type="dxa"/>
            <w:vAlign w:val="bottom"/>
            <w:gridSpan w:val="2"/>
            <w:shd w:val="clear" w:color="auto" w:fill="ACACAC"/>
          </w:tcPr>
          <w:p>
            <w:pPr>
              <w:jc w:val="right"/>
              <w:ind w:right="200"/>
              <w:spacing w:after="0"/>
              <w:rPr>
                <w:sz w:val="20"/>
                <w:szCs w:val="20"/>
                <w:color w:val="auto"/>
              </w:rPr>
            </w:pPr>
            <w:r>
              <w:rPr>
                <w:rFonts w:ascii="Arial" w:cs="Arial" w:eastAsia="Arial" w:hAnsi="Arial"/>
                <w:sz w:val="14"/>
                <w:szCs w:val="14"/>
                <w:b w:val="1"/>
                <w:bCs w:val="1"/>
                <w:color w:val="FFFFFF"/>
              </w:rPr>
              <w:t>Total number</w:t>
            </w:r>
          </w:p>
        </w:tc>
        <w:tc>
          <w:tcPr>
            <w:tcW w:w="260" w:type="dxa"/>
            <w:vAlign w:val="bottom"/>
            <w:shd w:val="clear" w:color="auto" w:fill="ACACAC"/>
          </w:tcPr>
          <w:p>
            <w:pPr>
              <w:spacing w:after="0"/>
              <w:rPr>
                <w:sz w:val="14"/>
                <w:szCs w:val="14"/>
                <w:color w:val="auto"/>
              </w:rPr>
            </w:pPr>
          </w:p>
        </w:tc>
        <w:tc>
          <w:tcPr>
            <w:tcW w:w="110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Approximate</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36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92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of shares</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dollar value</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360" w:type="dxa"/>
            <w:vAlign w:val="bottom"/>
            <w:shd w:val="clear" w:color="auto" w:fill="ACACAC"/>
          </w:tcPr>
          <w:p>
            <w:pPr>
              <w:spacing w:after="0"/>
              <w:rPr>
                <w:sz w:val="12"/>
                <w:szCs w:val="12"/>
                <w:color w:val="auto"/>
              </w:rPr>
            </w:pPr>
          </w:p>
        </w:tc>
        <w:tc>
          <w:tcPr>
            <w:tcW w:w="100" w:type="dxa"/>
            <w:vAlign w:val="bottom"/>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1020" w:type="dxa"/>
            <w:vAlign w:val="bottom"/>
            <w:gridSpan w:val="2"/>
            <w:vMerge w:val="restart"/>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Average</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purchased as</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of shares</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460" w:type="dxa"/>
            <w:vAlign w:val="bottom"/>
            <w:gridSpan w:val="2"/>
            <w:vMerge w:val="restart"/>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Total</w:t>
            </w:r>
          </w:p>
        </w:tc>
        <w:tc>
          <w:tcPr>
            <w:tcW w:w="440" w:type="dxa"/>
            <w:vAlign w:val="bottom"/>
            <w:shd w:val="clear" w:color="auto" w:fill="ACACAC"/>
          </w:tcPr>
          <w:p>
            <w:pPr>
              <w:spacing w:after="0"/>
              <w:rPr>
                <w:sz w:val="12"/>
                <w:szCs w:val="12"/>
                <w:color w:val="auto"/>
              </w:rPr>
            </w:pPr>
          </w:p>
        </w:tc>
        <w:tc>
          <w:tcPr>
            <w:tcW w:w="1020" w:type="dxa"/>
            <w:vAlign w:val="bottom"/>
            <w:gridSpan w:val="2"/>
            <w:vMerge w:val="continue"/>
            <w:shd w:val="clear" w:color="auto" w:fill="ACACAC"/>
          </w:tcPr>
          <w:p>
            <w:pPr>
              <w:spacing w:after="0"/>
              <w:rPr>
                <w:sz w:val="12"/>
                <w:szCs w:val="12"/>
                <w:color w:val="auto"/>
              </w:rPr>
            </w:pP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part of</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that may yet</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460" w:type="dxa"/>
            <w:vAlign w:val="bottom"/>
            <w:gridSpan w:val="2"/>
            <w:vMerge w:val="continue"/>
            <w:shd w:val="clear" w:color="auto" w:fill="ACACAC"/>
          </w:tcPr>
          <w:p>
            <w:pPr>
              <w:spacing w:after="0"/>
              <w:rPr>
                <w:sz w:val="12"/>
                <w:szCs w:val="12"/>
                <w:color w:val="auto"/>
              </w:rPr>
            </w:pP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price</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publicly</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be purchased</w:t>
            </w:r>
          </w:p>
        </w:tc>
        <w:tc>
          <w:tcPr>
            <w:tcW w:w="0" w:type="dxa"/>
            <w:vAlign w:val="bottom"/>
          </w:tcPr>
          <w:p>
            <w:pPr>
              <w:spacing w:after="0"/>
              <w:rPr>
                <w:sz w:val="1"/>
                <w:szCs w:val="1"/>
                <w:color w:val="auto"/>
              </w:rPr>
            </w:pPr>
          </w:p>
        </w:tc>
      </w:tr>
      <w:tr>
        <w:trPr>
          <w:trHeight w:val="148"/>
        </w:trPr>
        <w:tc>
          <w:tcPr>
            <w:tcW w:w="5520" w:type="dxa"/>
            <w:vAlign w:val="bottom"/>
            <w:shd w:val="clear" w:color="auto" w:fill="ACACAC"/>
          </w:tcPr>
          <w:p>
            <w:pPr>
              <w:spacing w:after="0"/>
              <w:rPr>
                <w:sz w:val="12"/>
                <w:szCs w:val="12"/>
                <w:color w:val="auto"/>
              </w:rPr>
            </w:pPr>
          </w:p>
        </w:tc>
        <w:tc>
          <w:tcPr>
            <w:tcW w:w="146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number</w:t>
            </w: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paid</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announced</w:t>
            </w:r>
          </w:p>
        </w:tc>
        <w:tc>
          <w:tcPr>
            <w:tcW w:w="260" w:type="dxa"/>
            <w:vAlign w:val="bottom"/>
            <w:shd w:val="clear" w:color="auto" w:fill="ACACAC"/>
          </w:tcPr>
          <w:p>
            <w:pPr>
              <w:spacing w:after="0"/>
              <w:rPr>
                <w:sz w:val="12"/>
                <w:szCs w:val="12"/>
                <w:color w:val="auto"/>
              </w:rPr>
            </w:pPr>
          </w:p>
        </w:tc>
        <w:tc>
          <w:tcPr>
            <w:tcW w:w="1100" w:type="dxa"/>
            <w:vAlign w:val="bottom"/>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under the</w:t>
            </w:r>
          </w:p>
        </w:tc>
        <w:tc>
          <w:tcPr>
            <w:tcW w:w="0" w:type="dxa"/>
            <w:vAlign w:val="bottom"/>
          </w:tcPr>
          <w:p>
            <w:pPr>
              <w:spacing w:after="0"/>
              <w:rPr>
                <w:sz w:val="1"/>
                <w:szCs w:val="1"/>
                <w:color w:val="auto"/>
              </w:rPr>
            </w:pPr>
          </w:p>
        </w:tc>
      </w:tr>
      <w:tr>
        <w:trPr>
          <w:trHeight w:val="149"/>
        </w:trPr>
        <w:tc>
          <w:tcPr>
            <w:tcW w:w="5520" w:type="dxa"/>
            <w:vAlign w:val="bottom"/>
            <w:vMerge w:val="restart"/>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46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of shares</w:t>
            </w:r>
          </w:p>
        </w:tc>
        <w:tc>
          <w:tcPr>
            <w:tcW w:w="440" w:type="dxa"/>
            <w:vAlign w:val="bottom"/>
            <w:shd w:val="clear" w:color="auto" w:fill="ACACAC"/>
          </w:tcPr>
          <w:p>
            <w:pPr>
              <w:spacing w:after="0"/>
              <w:rPr>
                <w:sz w:val="12"/>
                <w:szCs w:val="12"/>
                <w:color w:val="auto"/>
              </w:rPr>
            </w:pPr>
          </w:p>
        </w:tc>
        <w:tc>
          <w:tcPr>
            <w:tcW w:w="1020" w:type="dxa"/>
            <w:vAlign w:val="bottom"/>
            <w:gridSpan w:val="2"/>
            <w:shd w:val="clear" w:color="auto" w:fill="ACACAC"/>
          </w:tcPr>
          <w:p>
            <w:pPr>
              <w:jc w:val="right"/>
              <w:ind w:right="220"/>
              <w:spacing w:after="0" w:line="149" w:lineRule="exact"/>
              <w:rPr>
                <w:sz w:val="20"/>
                <w:szCs w:val="20"/>
                <w:color w:val="auto"/>
              </w:rPr>
            </w:pPr>
            <w:r>
              <w:rPr>
                <w:rFonts w:ascii="Arial" w:cs="Arial" w:eastAsia="Arial" w:hAnsi="Arial"/>
                <w:sz w:val="14"/>
                <w:szCs w:val="14"/>
                <w:b w:val="1"/>
                <w:bCs w:val="1"/>
                <w:color w:val="FFFFFF"/>
              </w:rPr>
              <w:t>per</w:t>
            </w:r>
          </w:p>
        </w:tc>
        <w:tc>
          <w:tcPr>
            <w:tcW w:w="1440" w:type="dxa"/>
            <w:vAlign w:val="bottom"/>
            <w:gridSpan w:val="2"/>
            <w:shd w:val="clear" w:color="auto" w:fill="ACACAC"/>
          </w:tcPr>
          <w:p>
            <w:pPr>
              <w:jc w:val="right"/>
              <w:ind w:right="200"/>
              <w:spacing w:after="0" w:line="149" w:lineRule="exact"/>
              <w:rPr>
                <w:sz w:val="20"/>
                <w:szCs w:val="20"/>
                <w:color w:val="auto"/>
              </w:rPr>
            </w:pPr>
            <w:r>
              <w:rPr>
                <w:rFonts w:ascii="Arial" w:cs="Arial" w:eastAsia="Arial" w:hAnsi="Arial"/>
                <w:sz w:val="14"/>
                <w:szCs w:val="14"/>
                <w:b w:val="1"/>
                <w:bCs w:val="1"/>
                <w:color w:val="FFFFFF"/>
              </w:rPr>
              <w:t>plans or</w:t>
            </w:r>
          </w:p>
        </w:tc>
        <w:tc>
          <w:tcPr>
            <w:tcW w:w="1360" w:type="dxa"/>
            <w:vAlign w:val="bottom"/>
            <w:gridSpan w:val="2"/>
            <w:shd w:val="clear" w:color="auto" w:fill="ACACAC"/>
          </w:tcPr>
          <w:p>
            <w:pPr>
              <w:jc w:val="right"/>
              <w:ind w:right="21"/>
              <w:spacing w:after="0" w:line="149" w:lineRule="exact"/>
              <w:rPr>
                <w:sz w:val="20"/>
                <w:szCs w:val="20"/>
                <w:color w:val="auto"/>
              </w:rPr>
            </w:pPr>
            <w:r>
              <w:rPr>
                <w:rFonts w:ascii="Arial" w:cs="Arial" w:eastAsia="Arial" w:hAnsi="Arial"/>
                <w:sz w:val="14"/>
                <w:szCs w:val="14"/>
                <w:b w:val="1"/>
                <w:bCs w:val="1"/>
                <w:color w:val="FFFFFF"/>
              </w:rPr>
              <w:t>plans or programs</w:t>
            </w:r>
          </w:p>
        </w:tc>
        <w:tc>
          <w:tcPr>
            <w:tcW w:w="0" w:type="dxa"/>
            <w:vAlign w:val="bottom"/>
          </w:tcPr>
          <w:p>
            <w:pPr>
              <w:spacing w:after="0"/>
              <w:rPr>
                <w:sz w:val="1"/>
                <w:szCs w:val="1"/>
                <w:color w:val="auto"/>
              </w:rPr>
            </w:pPr>
          </w:p>
        </w:tc>
      </w:tr>
      <w:tr>
        <w:trPr>
          <w:trHeight w:val="198"/>
        </w:trPr>
        <w:tc>
          <w:tcPr>
            <w:tcW w:w="5520" w:type="dxa"/>
            <w:vAlign w:val="bottom"/>
            <w:vMerge w:val="continue"/>
            <w:shd w:val="clear" w:color="auto" w:fill="ACACAC"/>
          </w:tcPr>
          <w:p>
            <w:pPr>
              <w:spacing w:after="0"/>
              <w:rPr>
                <w:sz w:val="17"/>
                <w:szCs w:val="17"/>
                <w:color w:val="auto"/>
              </w:rPr>
            </w:pPr>
          </w:p>
        </w:tc>
        <w:tc>
          <w:tcPr>
            <w:tcW w:w="146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purchased</w:t>
            </w:r>
          </w:p>
        </w:tc>
        <w:tc>
          <w:tcPr>
            <w:tcW w:w="440" w:type="dxa"/>
            <w:vAlign w:val="bottom"/>
            <w:shd w:val="clear" w:color="auto" w:fill="ACACAC"/>
          </w:tcPr>
          <w:p>
            <w:pPr>
              <w:spacing w:after="0"/>
              <w:rPr>
                <w:sz w:val="17"/>
                <w:szCs w:val="17"/>
                <w:color w:val="auto"/>
              </w:rPr>
            </w:pPr>
          </w:p>
        </w:tc>
        <w:tc>
          <w:tcPr>
            <w:tcW w:w="1020" w:type="dxa"/>
            <w:vAlign w:val="bottom"/>
            <w:gridSpan w:val="2"/>
            <w:shd w:val="clear" w:color="auto" w:fill="ACACAC"/>
          </w:tcPr>
          <w:p>
            <w:pPr>
              <w:jc w:val="right"/>
              <w:ind w:right="220"/>
              <w:spacing w:after="0"/>
              <w:rPr>
                <w:sz w:val="20"/>
                <w:szCs w:val="20"/>
                <w:color w:val="auto"/>
              </w:rPr>
            </w:pPr>
            <w:r>
              <w:rPr>
                <w:rFonts w:ascii="Arial" w:cs="Arial" w:eastAsia="Arial" w:hAnsi="Arial"/>
                <w:sz w:val="14"/>
                <w:szCs w:val="14"/>
                <w:b w:val="1"/>
                <w:bCs w:val="1"/>
                <w:color w:val="FFFFFF"/>
              </w:rPr>
              <w:t>share</w:t>
            </w:r>
          </w:p>
        </w:tc>
        <w:tc>
          <w:tcPr>
            <w:tcW w:w="1440" w:type="dxa"/>
            <w:vAlign w:val="bottom"/>
            <w:gridSpan w:val="2"/>
            <w:shd w:val="clear" w:color="auto" w:fill="ACACAC"/>
          </w:tcPr>
          <w:p>
            <w:pPr>
              <w:jc w:val="right"/>
              <w:ind w:right="200"/>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11"/>
                <w:szCs w:val="11"/>
                <w:b w:val="1"/>
                <w:bCs w:val="1"/>
                <w:color w:val="FFFFFF"/>
              </w:rPr>
              <w:t>(1)</w:t>
            </w:r>
          </w:p>
        </w:tc>
        <w:tc>
          <w:tcPr>
            <w:tcW w:w="260" w:type="dxa"/>
            <w:vAlign w:val="bottom"/>
            <w:shd w:val="clear" w:color="auto" w:fill="ACACAC"/>
          </w:tcPr>
          <w:p>
            <w:pPr>
              <w:spacing w:after="0"/>
              <w:rPr>
                <w:sz w:val="17"/>
                <w:szCs w:val="17"/>
                <w:color w:val="auto"/>
              </w:rPr>
            </w:pPr>
          </w:p>
        </w:tc>
        <w:tc>
          <w:tcPr>
            <w:tcW w:w="110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(in thousands)</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Beginning balance, January 1, 2020</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January 1, 2020 through January 31, 2020</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F4F4F4"/>
            </w:tcBorders>
            <w:shd w:val="clear" w:color="auto" w:fill="F4F4F4"/>
          </w:tcPr>
          <w:p>
            <w:pPr>
              <w:ind w:left="40"/>
              <w:spacing w:after="0"/>
              <w:rPr>
                <w:sz w:val="20"/>
                <w:szCs w:val="20"/>
                <w:color w:val="auto"/>
              </w:rPr>
            </w:pPr>
            <w:r>
              <w:rPr>
                <w:rFonts w:ascii="Arial" w:cs="Arial" w:eastAsia="Arial" w:hAnsi="Arial"/>
                <w:sz w:val="18"/>
                <w:szCs w:val="18"/>
                <w:color w:val="auto"/>
              </w:rPr>
              <w:t>February 1, 2020 through February 29, 2020</w:t>
            </w:r>
          </w:p>
        </w:tc>
        <w:tc>
          <w:tcPr>
            <w:tcW w:w="1360" w:type="dxa"/>
            <w:vAlign w:val="bottom"/>
            <w:tcBorders>
              <w:bottom w:val="single" w:sz="8" w:color="F4F4F4"/>
            </w:tcBorders>
            <w:shd w:val="clear" w:color="auto" w:fill="F4F4F4"/>
          </w:tcPr>
          <w:p>
            <w:pPr>
              <w:jc w:val="right"/>
              <w:ind w:right="39"/>
              <w:spacing w:after="0"/>
              <w:rPr>
                <w:sz w:val="20"/>
                <w:szCs w:val="20"/>
                <w:color w:val="auto"/>
              </w:rPr>
            </w:pPr>
            <w:r>
              <w:rPr>
                <w:rFonts w:ascii="Arial" w:cs="Arial" w:eastAsia="Arial" w:hAnsi="Arial"/>
                <w:sz w:val="18"/>
                <w:szCs w:val="18"/>
                <w:color w:val="auto"/>
              </w:rPr>
              <w:t>244,598</w:t>
            </w:r>
          </w:p>
        </w:tc>
        <w:tc>
          <w:tcPr>
            <w:tcW w:w="100" w:type="dxa"/>
            <w:vAlign w:val="bottom"/>
            <w:tcBorders>
              <w:bottom w:val="single" w:sz="8" w:color="F4F4F4"/>
            </w:tcBorders>
            <w:shd w:val="clear" w:color="auto" w:fill="F4F4F4"/>
          </w:tcPr>
          <w:p>
            <w:pPr>
              <w:spacing w:after="0"/>
              <w:rPr>
                <w:sz w:val="21"/>
                <w:szCs w:val="21"/>
                <w:color w:val="auto"/>
              </w:rPr>
            </w:pPr>
          </w:p>
        </w:tc>
        <w:tc>
          <w:tcPr>
            <w:tcW w:w="44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ind w:right="40"/>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F4F4F4"/>
            </w:tcBorders>
            <w:shd w:val="clear" w:color="auto" w:fill="F4F4F4"/>
          </w:tcPr>
          <w:p>
            <w:pPr>
              <w:spacing w:after="0"/>
              <w:rPr>
                <w:sz w:val="21"/>
                <w:szCs w:val="21"/>
                <w:color w:val="auto"/>
              </w:rPr>
            </w:pPr>
          </w:p>
        </w:tc>
        <w:tc>
          <w:tcPr>
            <w:tcW w:w="1440" w:type="dxa"/>
            <w:vAlign w:val="bottom"/>
            <w:tcBorders>
              <w:bottom w:val="single" w:sz="8" w:color="F4F4F4"/>
            </w:tcBorders>
            <w:gridSpan w:val="2"/>
            <w:shd w:val="clear" w:color="auto" w:fill="F4F4F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March 1, 2020 through March 31, 2020</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40"/>
              <w:spacing w:after="0"/>
              <w:rPr>
                <w:sz w:val="20"/>
                <w:szCs w:val="20"/>
                <w:color w:val="auto"/>
              </w:rPr>
            </w:pPr>
            <w:r>
              <w:rPr>
                <w:rFonts w:ascii="Arial" w:cs="Arial" w:eastAsia="Arial" w:hAnsi="Arial"/>
                <w:sz w:val="18"/>
                <w:szCs w:val="18"/>
                <w:color w:val="auto"/>
              </w:rPr>
              <w:t>67.91</w:t>
            </w:r>
          </w:p>
        </w:tc>
        <w:tc>
          <w:tcPr>
            <w:tcW w:w="10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shd w:val="clear" w:color="auto" w:fill="F4F4F4"/>
          </w:tcPr>
          <w:p>
            <w:pPr>
              <w:ind w:left="40"/>
              <w:spacing w:after="0"/>
              <w:rPr>
                <w:sz w:val="20"/>
                <w:szCs w:val="20"/>
                <w:color w:val="auto"/>
              </w:rPr>
            </w:pPr>
            <w:r>
              <w:rPr>
                <w:rFonts w:ascii="Arial" w:cs="Arial" w:eastAsia="Arial" w:hAnsi="Arial"/>
                <w:sz w:val="18"/>
                <w:szCs w:val="18"/>
                <w:b w:val="1"/>
                <w:bCs w:val="1"/>
                <w:color w:val="auto"/>
              </w:rPr>
              <w:t>Total</w:t>
            </w:r>
          </w:p>
        </w:tc>
        <w:tc>
          <w:tcPr>
            <w:tcW w:w="1360" w:type="dxa"/>
            <w:vAlign w:val="bottom"/>
            <w:shd w:val="clear" w:color="auto" w:fill="F4F4F4"/>
          </w:tcPr>
          <w:p>
            <w:pPr>
              <w:jc w:val="right"/>
              <w:ind w:right="39"/>
              <w:spacing w:after="0"/>
              <w:rPr>
                <w:sz w:val="20"/>
                <w:szCs w:val="20"/>
                <w:color w:val="auto"/>
              </w:rPr>
            </w:pPr>
            <w:r>
              <w:rPr>
                <w:rFonts w:ascii="Arial" w:cs="Arial" w:eastAsia="Arial" w:hAnsi="Arial"/>
                <w:sz w:val="18"/>
                <w:szCs w:val="18"/>
                <w:color w:val="auto"/>
              </w:rPr>
              <w:t>245,358</w:t>
            </w:r>
          </w:p>
        </w:tc>
        <w:tc>
          <w:tcPr>
            <w:tcW w:w="100" w:type="dxa"/>
            <w:vAlign w:val="bottom"/>
            <w:shd w:val="clear" w:color="auto" w:fill="F4F4F4"/>
          </w:tcPr>
          <w:p>
            <w:pPr>
              <w:spacing w:after="0"/>
              <w:rPr>
                <w:sz w:val="20"/>
                <w:szCs w:val="20"/>
                <w:color w:val="auto"/>
              </w:rPr>
            </w:pPr>
          </w:p>
        </w:tc>
        <w:tc>
          <w:tcPr>
            <w:tcW w:w="440" w:type="dxa"/>
            <w:vAlign w:val="bottom"/>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F4F4F4"/>
          </w:tcPr>
          <w:p>
            <w:pPr>
              <w:jc w:val="right"/>
              <w:ind w:right="40"/>
              <w:spacing w:after="0"/>
              <w:rPr>
                <w:sz w:val="20"/>
                <w:szCs w:val="20"/>
                <w:color w:val="auto"/>
              </w:rPr>
            </w:pPr>
            <w:r>
              <w:rPr>
                <w:rFonts w:ascii="Arial" w:cs="Arial" w:eastAsia="Arial" w:hAnsi="Arial"/>
                <w:sz w:val="18"/>
                <w:szCs w:val="18"/>
                <w:color w:val="auto"/>
              </w:rPr>
              <w:t>80.62</w:t>
            </w:r>
          </w:p>
        </w:tc>
        <w:tc>
          <w:tcPr>
            <w:tcW w:w="100" w:type="dxa"/>
            <w:vAlign w:val="bottom"/>
            <w:shd w:val="clear" w:color="auto" w:fill="F4F4F4"/>
          </w:tcPr>
          <w:p>
            <w:pPr>
              <w:spacing w:after="0"/>
              <w:rPr>
                <w:sz w:val="20"/>
                <w:szCs w:val="20"/>
                <w:color w:val="auto"/>
              </w:rPr>
            </w:pPr>
          </w:p>
        </w:tc>
        <w:tc>
          <w:tcPr>
            <w:tcW w:w="1440" w:type="dxa"/>
            <w:vAlign w:val="bottom"/>
            <w:gridSpan w:val="2"/>
            <w:shd w:val="clear" w:color="auto" w:fill="F4F4F4"/>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F4F4F4"/>
          </w:tcPr>
          <w:p>
            <w:pPr>
              <w:jc w:val="right"/>
              <w:ind w:right="56"/>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F4F4F4"/>
          </w:tcPr>
          <w:p>
            <w:pPr>
              <w:jc w:val="right"/>
              <w:ind w:right="21"/>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20" w:type="dxa"/>
            <w:vAlign w:val="bottom"/>
            <w:shd w:val="clear" w:color="auto" w:fill="F4F4F4"/>
          </w:tcPr>
          <w:p>
            <w:pPr>
              <w:spacing w:after="0"/>
              <w:rPr>
                <w:sz w:val="2"/>
                <w:szCs w:val="2"/>
                <w:color w:val="auto"/>
              </w:rPr>
            </w:pPr>
          </w:p>
        </w:tc>
        <w:tc>
          <w:tcPr>
            <w:tcW w:w="136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440" w:type="dxa"/>
            <w:vAlign w:val="bottom"/>
            <w:shd w:val="clear" w:color="auto" w:fill="F4F4F4"/>
          </w:tcPr>
          <w:p>
            <w:pPr>
              <w:spacing w:after="0"/>
              <w:rPr>
                <w:sz w:val="2"/>
                <w:szCs w:val="2"/>
                <w:color w:val="auto"/>
              </w:rPr>
            </w:pPr>
          </w:p>
        </w:tc>
        <w:tc>
          <w:tcPr>
            <w:tcW w:w="92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1340" w:type="dxa"/>
            <w:vAlign w:val="bottom"/>
            <w:shd w:val="clear" w:color="auto" w:fill="F4F4F4"/>
          </w:tcPr>
          <w:p>
            <w:pPr>
              <w:spacing w:after="0"/>
              <w:rPr>
                <w:sz w:val="2"/>
                <w:szCs w:val="2"/>
                <w:color w:val="auto"/>
              </w:rPr>
            </w:pPr>
          </w:p>
        </w:tc>
        <w:tc>
          <w:tcPr>
            <w:tcW w:w="100" w:type="dxa"/>
            <w:vAlign w:val="bottom"/>
            <w:shd w:val="clear" w:color="auto" w:fill="F4F4F4"/>
          </w:tcPr>
          <w:p>
            <w:pPr>
              <w:spacing w:after="0"/>
              <w:rPr>
                <w:sz w:val="2"/>
                <w:szCs w:val="2"/>
                <w:color w:val="auto"/>
              </w:rPr>
            </w:pPr>
          </w:p>
        </w:tc>
        <w:tc>
          <w:tcPr>
            <w:tcW w:w="260" w:type="dxa"/>
            <w:vAlign w:val="bottom"/>
            <w:shd w:val="clear" w:color="auto" w:fill="F4F4F4"/>
          </w:tcPr>
          <w:p>
            <w:pPr>
              <w:spacing w:after="0"/>
              <w:rPr>
                <w:sz w:val="2"/>
                <w:szCs w:val="2"/>
                <w:color w:val="auto"/>
              </w:rPr>
            </w:pPr>
          </w:p>
        </w:tc>
        <w:tc>
          <w:tcPr>
            <w:tcW w:w="1100" w:type="dxa"/>
            <w:vAlign w:val="bottom"/>
            <w:shd w:val="clear" w:color="auto" w:fill="F4F4F4"/>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340" w:right="20" w:hanging="332"/>
        <w:spacing w:after="0" w:line="26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August 2010, our Board of Directors approved a stock repurchase program that authorized us to purchase up to $50.0 million of our outstanding shares of common stock. We have not made any repurchases under the program to date, and the program does not have an expiration date.</w:t>
      </w:r>
    </w:p>
    <w:p>
      <w:pPr>
        <w:spacing w:after="0" w:line="345" w:lineRule="exact"/>
        <w:rPr>
          <w:sz w:val="20"/>
          <w:szCs w:val="20"/>
          <w:color w:val="auto"/>
        </w:rPr>
      </w:pPr>
    </w:p>
    <w:p>
      <w:pPr>
        <w:ind w:left="300"/>
        <w:spacing w:after="0"/>
        <w:rPr>
          <w:sz w:val="20"/>
          <w:szCs w:val="20"/>
          <w:color w:val="auto"/>
        </w:rPr>
      </w:pPr>
      <w:r>
        <w:rPr>
          <w:rFonts w:ascii="Arial" w:cs="Arial" w:eastAsia="Arial" w:hAnsi="Arial"/>
          <w:sz w:val="14"/>
          <w:szCs w:val="14"/>
          <w:color w:val="auto"/>
        </w:rPr>
        <w:t xml:space="preserve">40  </w:t>
      </w:r>
      <w:r>
        <w:rPr>
          <w:sz w:val="1"/>
          <w:szCs w:val="1"/>
          <w:color w:val="auto"/>
        </w:rPr>
        <w:drawing>
          <wp:inline distT="0" distB="0" distL="0" distR="0">
            <wp:extent cx="668655" cy="1028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8655" cy="102870"/>
                    </a:xfrm>
                    <a:prstGeom prst="rect">
                      <a:avLst/>
                    </a:prstGeom>
                    <a:noFill/>
                    <a:ln>
                      <a:noFill/>
                    </a:ln>
                  </pic:spPr>
                </pic:pic>
              </a:graphicData>
            </a:graphic>
          </wp:inline>
        </w:drawing>
      </w:r>
      <w:r>
        <w:rPr>
          <w:rFonts w:ascii="Arial" w:cs="Arial" w:eastAsia="Arial" w:hAnsi="Arial"/>
          <w:sz w:val="14"/>
          <w:szCs w:val="14"/>
          <w:color w:val="auto"/>
        </w:rPr>
        <w:t xml:space="preserve">  First Quarter 2020 Form 10-Q</w:t>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060" w:type="dxa"/>
            <w:vAlign w:val="bottom"/>
            <w:shd w:val="clear" w:color="auto" w:fill="ACACAC"/>
          </w:tcPr>
          <w:p>
            <w:pPr>
              <w:spacing w:after="0"/>
              <w:rPr>
                <w:sz w:val="22"/>
                <w:szCs w:val="22"/>
                <w:color w:val="auto"/>
              </w:rPr>
            </w:pPr>
          </w:p>
        </w:tc>
        <w:tc>
          <w:tcPr>
            <w:tcW w:w="2100" w:type="dxa"/>
            <w:vAlign w:val="bottom"/>
            <w:shd w:val="clear" w:color="auto" w:fill="ACACAC"/>
          </w:tcPr>
          <w:p>
            <w:pPr>
              <w:spacing w:after="0"/>
              <w:rPr>
                <w:sz w:val="22"/>
                <w:szCs w:val="22"/>
                <w:color w:val="auto"/>
              </w:rPr>
            </w:pPr>
          </w:p>
        </w:tc>
        <w:tc>
          <w:tcPr>
            <w:tcW w:w="260" w:type="dxa"/>
            <w:vAlign w:val="bottom"/>
            <w:shd w:val="clear" w:color="auto" w:fill="ACACAC"/>
          </w:tcPr>
          <w:p>
            <w:pPr>
              <w:spacing w:after="0"/>
              <w:rPr>
                <w:sz w:val="22"/>
                <w:szCs w:val="22"/>
                <w:color w:val="auto"/>
              </w:rPr>
            </w:pPr>
          </w:p>
        </w:tc>
        <w:tc>
          <w:tcPr>
            <w:tcW w:w="2760" w:type="dxa"/>
            <w:vAlign w:val="bottom"/>
            <w:shd w:val="clear" w:color="auto" w:fill="ACACAC"/>
          </w:tcPr>
          <w:p>
            <w:pPr>
              <w:spacing w:after="0"/>
              <w:rPr>
                <w:sz w:val="22"/>
                <w:szCs w:val="22"/>
                <w:color w:val="auto"/>
              </w:rPr>
            </w:pPr>
          </w:p>
        </w:tc>
        <w:tc>
          <w:tcPr>
            <w:tcW w:w="60" w:type="dxa"/>
            <w:vAlign w:val="bottom"/>
            <w:shd w:val="clear" w:color="auto" w:fill="ACACAC"/>
          </w:tcPr>
          <w:p>
            <w:pPr>
              <w:spacing w:after="0"/>
              <w:rPr>
                <w:sz w:val="22"/>
                <w:szCs w:val="22"/>
                <w:color w:val="auto"/>
              </w:rPr>
            </w:pPr>
          </w:p>
        </w:tc>
        <w:tc>
          <w:tcPr>
            <w:tcW w:w="140" w:type="dxa"/>
            <w:vAlign w:val="bottom"/>
            <w:shd w:val="clear" w:color="auto" w:fill="ACACAC"/>
          </w:tcPr>
          <w:p>
            <w:pPr>
              <w:spacing w:after="0"/>
              <w:rPr>
                <w:sz w:val="22"/>
                <w:szCs w:val="22"/>
                <w:color w:val="auto"/>
              </w:rPr>
            </w:pPr>
          </w:p>
        </w:tc>
        <w:tc>
          <w:tcPr>
            <w:tcW w:w="20" w:type="dxa"/>
            <w:vAlign w:val="bottom"/>
            <w:shd w:val="clear" w:color="auto" w:fill="ACACAC"/>
          </w:tcPr>
          <w:p>
            <w:pPr>
              <w:spacing w:after="0"/>
              <w:rPr>
                <w:sz w:val="22"/>
                <w:szCs w:val="22"/>
                <w:color w:val="auto"/>
              </w:rPr>
            </w:pPr>
          </w:p>
        </w:tc>
        <w:tc>
          <w:tcPr>
            <w:tcW w:w="100" w:type="dxa"/>
            <w:vAlign w:val="bottom"/>
            <w:shd w:val="clear" w:color="auto" w:fill="ACACAC"/>
          </w:tcPr>
          <w:p>
            <w:pPr>
              <w:spacing w:after="0"/>
              <w:rPr>
                <w:sz w:val="22"/>
                <w:szCs w:val="22"/>
                <w:color w:val="auto"/>
              </w:rPr>
            </w:pPr>
          </w:p>
        </w:tc>
        <w:tc>
          <w:tcPr>
            <w:tcW w:w="1160" w:type="dxa"/>
            <w:vAlign w:val="bottom"/>
            <w:shd w:val="clear" w:color="auto" w:fill="ACACAC"/>
          </w:tcPr>
          <w:p>
            <w:pPr>
              <w:spacing w:after="0"/>
              <w:rPr>
                <w:sz w:val="22"/>
                <w:szCs w:val="22"/>
                <w:color w:val="auto"/>
              </w:rPr>
            </w:pPr>
          </w:p>
        </w:tc>
        <w:tc>
          <w:tcPr>
            <w:tcW w:w="840" w:type="dxa"/>
            <w:vAlign w:val="bottom"/>
            <w:shd w:val="clear" w:color="auto" w:fill="ACACAC"/>
          </w:tcPr>
          <w:p>
            <w:pPr>
              <w:spacing w:after="0"/>
              <w:rPr>
                <w:sz w:val="22"/>
                <w:szCs w:val="22"/>
                <w:color w:val="auto"/>
              </w:rPr>
            </w:pPr>
          </w:p>
        </w:tc>
        <w:tc>
          <w:tcPr>
            <w:tcW w:w="1560" w:type="dxa"/>
            <w:vAlign w:val="bottom"/>
            <w:shd w:val="clear" w:color="auto" w:fill="ACACAC"/>
          </w:tcPr>
          <w:p>
            <w:pPr>
              <w:ind w:left="160"/>
              <w:spacing w:after="0"/>
              <w:rPr>
                <w:sz w:val="20"/>
                <w:szCs w:val="20"/>
                <w:color w:val="auto"/>
              </w:rPr>
            </w:pPr>
            <w:r>
              <w:rPr>
                <w:rFonts w:ascii="Arial" w:cs="Arial" w:eastAsia="Arial" w:hAnsi="Arial"/>
                <w:sz w:val="14"/>
                <w:szCs w:val="14"/>
                <w:b w:val="1"/>
                <w:bCs w:val="1"/>
                <w:color w:val="FFFFFF"/>
              </w:rPr>
              <w:t>Filed In</w:t>
            </w:r>
          </w:p>
        </w:tc>
        <w:tc>
          <w:tcPr>
            <w:tcW w:w="1180" w:type="dxa"/>
            <w:vAlign w:val="bottom"/>
            <w:shd w:val="clear" w:color="auto" w:fill="ACACAC"/>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1060" w:type="dxa"/>
            <w:vAlign w:val="bottom"/>
            <w:shd w:val="clear" w:color="auto" w:fill="ACACAC"/>
          </w:tcPr>
          <w:p>
            <w:pPr>
              <w:jc w:val="right"/>
              <w:ind w:right="93"/>
              <w:spacing w:after="0"/>
              <w:rPr>
                <w:sz w:val="20"/>
                <w:szCs w:val="20"/>
                <w:color w:val="auto"/>
              </w:rPr>
            </w:pPr>
            <w:r>
              <w:rPr>
                <w:rFonts w:ascii="Arial" w:cs="Arial" w:eastAsia="Arial" w:hAnsi="Arial"/>
                <w:sz w:val="14"/>
                <w:szCs w:val="14"/>
                <w:b w:val="1"/>
                <w:bCs w:val="1"/>
                <w:color w:val="FFFFFF"/>
              </w:rPr>
              <w:t>Exhibit</w:t>
            </w:r>
          </w:p>
        </w:tc>
        <w:tc>
          <w:tcPr>
            <w:tcW w:w="5440" w:type="dxa"/>
            <w:vAlign w:val="bottom"/>
            <w:gridSpan w:val="7"/>
            <w:vMerge w:val="restart"/>
            <w:shd w:val="clear" w:color="auto" w:fill="ACACAC"/>
          </w:tcPr>
          <w:p>
            <w:pPr>
              <w:ind w:left="1900"/>
              <w:spacing w:after="0"/>
              <w:rPr>
                <w:sz w:val="20"/>
                <w:szCs w:val="20"/>
                <w:color w:val="auto"/>
              </w:rPr>
            </w:pPr>
            <w:r>
              <w:rPr>
                <w:rFonts w:ascii="Arial" w:cs="Arial" w:eastAsia="Arial" w:hAnsi="Arial"/>
                <w:sz w:val="14"/>
                <w:szCs w:val="14"/>
                <w:b w:val="1"/>
                <w:bCs w:val="1"/>
                <w:color w:val="FFFFFF"/>
              </w:rPr>
              <w:t>Description of Document</w:t>
            </w:r>
          </w:p>
        </w:tc>
        <w:tc>
          <w:tcPr>
            <w:tcW w:w="1160" w:type="dxa"/>
            <w:vAlign w:val="bottom"/>
            <w:vMerge w:val="restart"/>
            <w:shd w:val="clear" w:color="auto" w:fill="ACACAC"/>
          </w:tcPr>
          <w:p>
            <w:pPr>
              <w:jc w:val="center"/>
              <w:spacing w:after="0"/>
              <w:rPr>
                <w:sz w:val="20"/>
                <w:szCs w:val="20"/>
                <w:color w:val="auto"/>
              </w:rPr>
            </w:pPr>
            <w:r>
              <w:rPr>
                <w:rFonts w:ascii="Arial" w:cs="Arial" w:eastAsia="Arial" w:hAnsi="Arial"/>
                <w:sz w:val="14"/>
                <w:szCs w:val="14"/>
                <w:b w:val="1"/>
                <w:bCs w:val="1"/>
                <w:color w:val="FFFFFF"/>
                <w:w w:val="96"/>
              </w:rPr>
              <w:t>Filed Herewith</w:t>
            </w:r>
          </w:p>
        </w:tc>
        <w:tc>
          <w:tcPr>
            <w:tcW w:w="840" w:type="dxa"/>
            <w:vAlign w:val="bottom"/>
            <w:vMerge w:val="restart"/>
            <w:shd w:val="clear" w:color="auto" w:fill="ACACAC"/>
          </w:tcPr>
          <w:p>
            <w:pPr>
              <w:ind w:left="340"/>
              <w:spacing w:after="0"/>
              <w:rPr>
                <w:sz w:val="20"/>
                <w:szCs w:val="20"/>
                <w:color w:val="auto"/>
              </w:rPr>
            </w:pPr>
            <w:r>
              <w:rPr>
                <w:rFonts w:ascii="Arial" w:cs="Arial" w:eastAsia="Arial" w:hAnsi="Arial"/>
                <w:sz w:val="14"/>
                <w:szCs w:val="14"/>
                <w:b w:val="1"/>
                <w:bCs w:val="1"/>
                <w:color w:val="FFFFFF"/>
              </w:rPr>
              <w:t>Form</w:t>
            </w:r>
          </w:p>
        </w:tc>
        <w:tc>
          <w:tcPr>
            <w:tcW w:w="1560" w:type="dxa"/>
            <w:vAlign w:val="bottom"/>
            <w:vMerge w:val="restart"/>
            <w:shd w:val="clear" w:color="auto" w:fill="ACACAC"/>
          </w:tcPr>
          <w:p>
            <w:pPr>
              <w:ind w:left="340"/>
              <w:spacing w:after="0"/>
              <w:rPr>
                <w:sz w:val="20"/>
                <w:szCs w:val="20"/>
                <w:color w:val="auto"/>
              </w:rPr>
            </w:pPr>
            <w:r>
              <w:rPr>
                <w:rFonts w:ascii="Arial" w:cs="Arial" w:eastAsia="Arial" w:hAnsi="Arial"/>
                <w:sz w:val="14"/>
                <w:szCs w:val="14"/>
                <w:b w:val="1"/>
                <w:bCs w:val="1"/>
                <w:color w:val="FFFFFF"/>
              </w:rPr>
              <w:t>Exhibit Number</w:t>
            </w:r>
          </w:p>
        </w:tc>
        <w:tc>
          <w:tcPr>
            <w:tcW w:w="1180" w:type="dxa"/>
            <w:vAlign w:val="bottom"/>
            <w:vMerge w:val="restart"/>
            <w:shd w:val="clear" w:color="auto" w:fill="ACACAC"/>
          </w:tcPr>
          <w:p>
            <w:pPr>
              <w:jc w:val="right"/>
              <w:ind w:right="208"/>
              <w:spacing w:after="0"/>
              <w:rPr>
                <w:sz w:val="20"/>
                <w:szCs w:val="20"/>
                <w:color w:val="auto"/>
              </w:rPr>
            </w:pPr>
            <w:r>
              <w:rPr>
                <w:rFonts w:ascii="Arial" w:cs="Arial" w:eastAsia="Arial" w:hAnsi="Arial"/>
                <w:sz w:val="14"/>
                <w:szCs w:val="14"/>
                <w:b w:val="1"/>
                <w:bCs w:val="1"/>
                <w:color w:val="FFFFFF"/>
              </w:rPr>
              <w:t>Filing Date</w:t>
            </w:r>
          </w:p>
        </w:tc>
        <w:tc>
          <w:tcPr>
            <w:tcW w:w="0" w:type="dxa"/>
            <w:vAlign w:val="bottom"/>
          </w:tcPr>
          <w:p>
            <w:pPr>
              <w:spacing w:after="0"/>
              <w:rPr>
                <w:sz w:val="1"/>
                <w:szCs w:val="1"/>
                <w:color w:val="auto"/>
              </w:rPr>
            </w:pPr>
          </w:p>
        </w:tc>
      </w:tr>
      <w:tr>
        <w:trPr>
          <w:trHeight w:val="198"/>
        </w:trPr>
        <w:tc>
          <w:tcPr>
            <w:tcW w:w="1060" w:type="dxa"/>
            <w:vAlign w:val="bottom"/>
            <w:shd w:val="clear" w:color="auto" w:fill="ACACAC"/>
          </w:tcPr>
          <w:p>
            <w:pPr>
              <w:jc w:val="right"/>
              <w:ind w:right="93"/>
              <w:spacing w:after="0"/>
              <w:rPr>
                <w:sz w:val="20"/>
                <w:szCs w:val="20"/>
                <w:color w:val="auto"/>
              </w:rPr>
            </w:pPr>
            <w:r>
              <w:rPr>
                <w:rFonts w:ascii="Arial" w:cs="Arial" w:eastAsia="Arial" w:hAnsi="Arial"/>
                <w:sz w:val="14"/>
                <w:szCs w:val="14"/>
                <w:b w:val="1"/>
                <w:bCs w:val="1"/>
                <w:color w:val="FFFFFF"/>
              </w:rPr>
              <w:t>Number</w:t>
            </w:r>
          </w:p>
        </w:tc>
        <w:tc>
          <w:tcPr>
            <w:tcW w:w="5440" w:type="dxa"/>
            <w:vAlign w:val="bottom"/>
            <w:gridSpan w:val="7"/>
            <w:vMerge w:val="continue"/>
            <w:shd w:val="clear" w:color="auto" w:fill="ACACAC"/>
          </w:tcPr>
          <w:p>
            <w:pPr>
              <w:spacing w:after="0"/>
              <w:rPr>
                <w:sz w:val="17"/>
                <w:szCs w:val="17"/>
                <w:color w:val="auto"/>
              </w:rPr>
            </w:pPr>
          </w:p>
        </w:tc>
        <w:tc>
          <w:tcPr>
            <w:tcW w:w="1160" w:type="dxa"/>
            <w:vAlign w:val="bottom"/>
            <w:vMerge w:val="continue"/>
            <w:shd w:val="clear" w:color="auto" w:fill="ACACAC"/>
          </w:tcPr>
          <w:p>
            <w:pPr>
              <w:spacing w:after="0"/>
              <w:rPr>
                <w:sz w:val="17"/>
                <w:szCs w:val="17"/>
                <w:color w:val="auto"/>
              </w:rPr>
            </w:pPr>
          </w:p>
        </w:tc>
        <w:tc>
          <w:tcPr>
            <w:tcW w:w="840" w:type="dxa"/>
            <w:vAlign w:val="bottom"/>
            <w:vMerge w:val="continue"/>
            <w:shd w:val="clear" w:color="auto" w:fill="ACACAC"/>
          </w:tcPr>
          <w:p>
            <w:pPr>
              <w:spacing w:after="0"/>
              <w:rPr>
                <w:sz w:val="17"/>
                <w:szCs w:val="17"/>
                <w:color w:val="auto"/>
              </w:rPr>
            </w:pPr>
          </w:p>
        </w:tc>
        <w:tc>
          <w:tcPr>
            <w:tcW w:w="1560" w:type="dxa"/>
            <w:vAlign w:val="bottom"/>
            <w:vMerge w:val="continue"/>
            <w:shd w:val="clear" w:color="auto" w:fill="ACACAC"/>
          </w:tcPr>
          <w:p>
            <w:pPr>
              <w:spacing w:after="0"/>
              <w:rPr>
                <w:sz w:val="17"/>
                <w:szCs w:val="17"/>
                <w:color w:val="auto"/>
              </w:rPr>
            </w:pPr>
          </w:p>
        </w:tc>
        <w:tc>
          <w:tcPr>
            <w:tcW w:w="118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45">
              <w:r>
                <w:rPr>
                  <w:rFonts w:ascii="Arial" w:cs="Arial" w:eastAsia="Arial" w:hAnsi="Arial"/>
                  <w:sz w:val="18"/>
                  <w:szCs w:val="18"/>
                  <w:u w:val="single" w:color="auto"/>
                  <w:color w:val="0000FF"/>
                </w:rPr>
                <w:t>31.1</w:t>
              </w:r>
            </w:hyperlink>
          </w:p>
        </w:tc>
        <w:tc>
          <w:tcPr>
            <w:tcW w:w="5120" w:type="dxa"/>
            <w:vAlign w:val="bottom"/>
            <w:tcBorders>
              <w:bottom w:val="single" w:sz="8" w:color="0000FF"/>
            </w:tcBorders>
            <w:gridSpan w:val="3"/>
            <w:shd w:val="clear" w:color="auto" w:fill="F4F4F4"/>
          </w:tcPr>
          <w:p>
            <w:pPr>
              <w:spacing w:after="0" w:line="202" w:lineRule="exact"/>
              <w:rPr>
                <w:rFonts w:ascii="Arial" w:cs="Arial" w:eastAsia="Arial" w:hAnsi="Arial"/>
                <w:sz w:val="18"/>
                <w:szCs w:val="18"/>
                <w:color w:val="0000FF"/>
                <w:w w:val="92"/>
              </w:rPr>
            </w:pPr>
            <w:hyperlink w:anchor="page45">
              <w:r>
                <w:rPr>
                  <w:rFonts w:ascii="Arial" w:cs="Arial" w:eastAsia="Arial" w:hAnsi="Arial"/>
                  <w:sz w:val="18"/>
                  <w:szCs w:val="18"/>
                  <w:color w:val="0000FF"/>
                  <w:w w:val="92"/>
                </w:rPr>
                <w:t>Certification by the Chief Executive Officer pursuant to Section 302 of</w:t>
              </w:r>
            </w:hyperlink>
          </w:p>
        </w:tc>
        <w:tc>
          <w:tcPr>
            <w:tcW w:w="320" w:type="dxa"/>
            <w:vAlign w:val="bottom"/>
            <w:tcBorders>
              <w:bottom w:val="single" w:sz="8" w:color="F4F4F4"/>
            </w:tcBorders>
            <w:gridSpan w:val="4"/>
            <w:shd w:val="clear" w:color="auto" w:fill="F4F4F4"/>
          </w:tcPr>
          <w:p>
            <w:pPr>
              <w:spacing w:after="0"/>
              <w:rPr>
                <w:sz w:val="17"/>
                <w:szCs w:val="17"/>
                <w:color w:val="auto"/>
              </w:rPr>
            </w:pPr>
          </w:p>
        </w:tc>
        <w:tc>
          <w:tcPr>
            <w:tcW w:w="1160" w:type="dxa"/>
            <w:vAlign w:val="bottom"/>
            <w:tcBorders>
              <w:bottom w:val="single" w:sz="8" w:color="F4F4F4"/>
            </w:tcBorders>
            <w:shd w:val="clear" w:color="auto" w:fill="F4F4F4"/>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shd w:val="clear" w:color="auto" w:fill="F4F4F4"/>
          </w:tcPr>
          <w:p>
            <w:pPr>
              <w:spacing w:after="0"/>
              <w:rPr>
                <w:sz w:val="17"/>
                <w:szCs w:val="17"/>
                <w:color w:val="auto"/>
              </w:rPr>
            </w:pPr>
          </w:p>
        </w:tc>
        <w:tc>
          <w:tcPr>
            <w:tcW w:w="5440" w:type="dxa"/>
            <w:vAlign w:val="bottom"/>
            <w:gridSpan w:val="7"/>
            <w:shd w:val="clear" w:color="auto" w:fill="F4F4F4"/>
          </w:tcPr>
          <w:p>
            <w:pPr>
              <w:spacing w:after="0" w:line="196" w:lineRule="exact"/>
              <w:rPr>
                <w:rFonts w:ascii="Arial" w:cs="Arial" w:eastAsia="Arial" w:hAnsi="Arial"/>
                <w:sz w:val="18"/>
                <w:szCs w:val="18"/>
                <w:color w:val="0000FF"/>
              </w:rPr>
            </w:pPr>
            <w:hyperlink w:anchor="page45">
              <w:r>
                <w:rPr>
                  <w:rFonts w:ascii="Arial" w:cs="Arial" w:eastAsia="Arial" w:hAnsi="Arial"/>
                  <w:sz w:val="18"/>
                  <w:szCs w:val="18"/>
                  <w:color w:val="0000FF"/>
                </w:rPr>
                <w:t>the Sarbanes-Oxley Act of 2002.</w:t>
              </w:r>
            </w:hyperlink>
          </w:p>
        </w:tc>
        <w:tc>
          <w:tcPr>
            <w:tcW w:w="1160" w:type="dxa"/>
            <w:vAlign w:val="bottom"/>
            <w:shd w:val="clear" w:color="auto" w:fill="F4F4F4"/>
          </w:tcPr>
          <w:p>
            <w:pPr>
              <w:spacing w:after="0"/>
              <w:rPr>
                <w:sz w:val="17"/>
                <w:szCs w:val="17"/>
                <w:color w:val="auto"/>
              </w:rPr>
            </w:pPr>
          </w:p>
        </w:tc>
        <w:tc>
          <w:tcPr>
            <w:tcW w:w="840" w:type="dxa"/>
            <w:vAlign w:val="bottom"/>
            <w:shd w:val="clear" w:color="auto" w:fill="F4F4F4"/>
          </w:tcPr>
          <w:p>
            <w:pPr>
              <w:spacing w:after="0"/>
              <w:rPr>
                <w:sz w:val="17"/>
                <w:szCs w:val="17"/>
                <w:color w:val="auto"/>
              </w:rPr>
            </w:pPr>
          </w:p>
        </w:tc>
        <w:tc>
          <w:tcPr>
            <w:tcW w:w="1560" w:type="dxa"/>
            <w:vAlign w:val="bottom"/>
            <w:shd w:val="clear" w:color="auto" w:fill="F4F4F4"/>
          </w:tcPr>
          <w:p>
            <w:pPr>
              <w:spacing w:after="0"/>
              <w:rPr>
                <w:sz w:val="17"/>
                <w:szCs w:val="17"/>
                <w:color w:val="auto"/>
              </w:rPr>
            </w:pPr>
          </w:p>
        </w:tc>
        <w:tc>
          <w:tcPr>
            <w:tcW w:w="1180" w:type="dxa"/>
            <w:vAlign w:val="bottom"/>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Borders>
              <w:top w:val="single" w:sz="8" w:color="F4F4F4"/>
            </w:tcBorders>
            <w:shd w:val="clear" w:color="auto" w:fill="F4F4F4"/>
          </w:tcPr>
          <w:p>
            <w:pPr>
              <w:spacing w:after="0"/>
              <w:rPr>
                <w:sz w:val="4"/>
                <w:szCs w:val="4"/>
                <w:color w:val="auto"/>
              </w:rPr>
            </w:pPr>
          </w:p>
        </w:tc>
        <w:tc>
          <w:tcPr>
            <w:tcW w:w="2100" w:type="dxa"/>
            <w:vAlign w:val="bottom"/>
            <w:tcBorders>
              <w:top w:val="single" w:sz="8" w:color="0000FF"/>
            </w:tcBorders>
            <w:shd w:val="clear" w:color="auto" w:fill="F4F4F4"/>
          </w:tcPr>
          <w:p>
            <w:pPr>
              <w:spacing w:after="0"/>
              <w:rPr>
                <w:sz w:val="4"/>
                <w:szCs w:val="4"/>
                <w:color w:val="auto"/>
              </w:rPr>
            </w:pPr>
          </w:p>
        </w:tc>
        <w:tc>
          <w:tcPr>
            <w:tcW w:w="260" w:type="dxa"/>
            <w:vAlign w:val="bottom"/>
            <w:tcBorders>
              <w:top w:val="single" w:sz="8" w:color="0000FF"/>
            </w:tcBorders>
            <w:shd w:val="clear" w:color="auto" w:fill="F4F4F4"/>
          </w:tcPr>
          <w:p>
            <w:pPr>
              <w:spacing w:after="0"/>
              <w:rPr>
                <w:sz w:val="4"/>
                <w:szCs w:val="4"/>
                <w:color w:val="auto"/>
              </w:rPr>
            </w:pPr>
          </w:p>
        </w:tc>
        <w:tc>
          <w:tcPr>
            <w:tcW w:w="2760" w:type="dxa"/>
            <w:vAlign w:val="bottom"/>
            <w:tcBorders>
              <w:top w:val="single" w:sz="8" w:color="F4F4F4"/>
            </w:tcBorders>
            <w:shd w:val="clear" w:color="auto" w:fill="F4F4F4"/>
          </w:tcPr>
          <w:p>
            <w:pPr>
              <w:spacing w:after="0"/>
              <w:rPr>
                <w:sz w:val="4"/>
                <w:szCs w:val="4"/>
                <w:color w:val="auto"/>
              </w:rPr>
            </w:pPr>
          </w:p>
        </w:tc>
        <w:tc>
          <w:tcPr>
            <w:tcW w:w="60" w:type="dxa"/>
            <w:vAlign w:val="bottom"/>
            <w:tcBorders>
              <w:top w:val="single" w:sz="8" w:color="F4F4F4"/>
            </w:tcBorders>
            <w:shd w:val="clear" w:color="auto" w:fill="F4F4F4"/>
          </w:tcPr>
          <w:p>
            <w:pPr>
              <w:spacing w:after="0"/>
              <w:rPr>
                <w:sz w:val="4"/>
                <w:szCs w:val="4"/>
                <w:color w:val="auto"/>
              </w:rPr>
            </w:pPr>
          </w:p>
        </w:tc>
        <w:tc>
          <w:tcPr>
            <w:tcW w:w="140" w:type="dxa"/>
            <w:vAlign w:val="bottom"/>
            <w:tcBorders>
              <w:top w:val="single" w:sz="8" w:color="F4F4F4"/>
            </w:tcBorders>
            <w:shd w:val="clear" w:color="auto" w:fill="F4F4F4"/>
          </w:tcPr>
          <w:p>
            <w:pPr>
              <w:spacing w:after="0"/>
              <w:rPr>
                <w:sz w:val="4"/>
                <w:szCs w:val="4"/>
                <w:color w:val="auto"/>
              </w:rPr>
            </w:pPr>
          </w:p>
        </w:tc>
        <w:tc>
          <w:tcPr>
            <w:tcW w:w="20" w:type="dxa"/>
            <w:vAlign w:val="bottom"/>
            <w:tcBorders>
              <w:top w:val="single" w:sz="8" w:color="F4F4F4"/>
            </w:tcBorders>
            <w:shd w:val="clear" w:color="auto" w:fill="F4F4F4"/>
          </w:tcPr>
          <w:p>
            <w:pPr>
              <w:spacing w:after="0"/>
              <w:rPr>
                <w:sz w:val="4"/>
                <w:szCs w:val="4"/>
                <w:color w:val="auto"/>
              </w:rPr>
            </w:pPr>
          </w:p>
        </w:tc>
        <w:tc>
          <w:tcPr>
            <w:tcW w:w="100" w:type="dxa"/>
            <w:vAlign w:val="bottom"/>
            <w:tcBorders>
              <w:top w:val="single" w:sz="8" w:color="F4F4F4"/>
            </w:tcBorders>
            <w:shd w:val="clear" w:color="auto" w:fill="F4F4F4"/>
          </w:tcPr>
          <w:p>
            <w:pPr>
              <w:spacing w:after="0"/>
              <w:rPr>
                <w:sz w:val="4"/>
                <w:szCs w:val="4"/>
                <w:color w:val="auto"/>
              </w:rPr>
            </w:pPr>
          </w:p>
        </w:tc>
        <w:tc>
          <w:tcPr>
            <w:tcW w:w="1160" w:type="dxa"/>
            <w:vAlign w:val="bottom"/>
            <w:tcBorders>
              <w:top w:val="single" w:sz="8" w:color="F4F4F4"/>
            </w:tcBorders>
            <w:shd w:val="clear" w:color="auto" w:fill="F4F4F4"/>
          </w:tcPr>
          <w:p>
            <w:pPr>
              <w:spacing w:after="0"/>
              <w:rPr>
                <w:sz w:val="4"/>
                <w:szCs w:val="4"/>
                <w:color w:val="auto"/>
              </w:rPr>
            </w:pPr>
          </w:p>
        </w:tc>
        <w:tc>
          <w:tcPr>
            <w:tcW w:w="840" w:type="dxa"/>
            <w:vAlign w:val="bottom"/>
            <w:tcBorders>
              <w:top w:val="single" w:sz="8" w:color="F4F4F4"/>
            </w:tcBorders>
            <w:shd w:val="clear" w:color="auto" w:fill="F4F4F4"/>
          </w:tcPr>
          <w:p>
            <w:pPr>
              <w:spacing w:after="0"/>
              <w:rPr>
                <w:sz w:val="4"/>
                <w:szCs w:val="4"/>
                <w:color w:val="auto"/>
              </w:rPr>
            </w:pPr>
          </w:p>
        </w:tc>
        <w:tc>
          <w:tcPr>
            <w:tcW w:w="1560" w:type="dxa"/>
            <w:vAlign w:val="bottom"/>
            <w:tcBorders>
              <w:top w:val="single" w:sz="8" w:color="F4F4F4"/>
            </w:tcBorders>
            <w:shd w:val="clear" w:color="auto" w:fill="F4F4F4"/>
          </w:tcPr>
          <w:p>
            <w:pPr>
              <w:spacing w:after="0"/>
              <w:rPr>
                <w:sz w:val="4"/>
                <w:szCs w:val="4"/>
                <w:color w:val="auto"/>
              </w:rPr>
            </w:pPr>
          </w:p>
        </w:tc>
        <w:tc>
          <w:tcPr>
            <w:tcW w:w="1180" w:type="dxa"/>
            <w:vAlign w:val="bottom"/>
            <w:tcBorders>
              <w:top w:val="single" w:sz="8" w:color="F4F4F4"/>
            </w:tcBorders>
            <w:shd w:val="clear" w:color="auto" w:fill="F4F4F4"/>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31.2</w:t>
              </w:r>
            </w:hyperlink>
          </w:p>
        </w:tc>
        <w:tc>
          <w:tcPr>
            <w:tcW w:w="5340" w:type="dxa"/>
            <w:vAlign w:val="bottom"/>
            <w:tcBorders>
              <w:bottom w:val="single" w:sz="8" w:color="0000FF"/>
            </w:tcBorders>
            <w:gridSpan w:val="6"/>
          </w:tcPr>
          <w:p>
            <w:pPr>
              <w:spacing w:after="0" w:line="202" w:lineRule="exact"/>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by the Chief Financial Officer pursuant to Section 302 of the</w:t>
              </w:r>
            </w:hyperlink>
          </w:p>
        </w:tc>
        <w:tc>
          <w:tcPr>
            <w:tcW w:w="10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spacing w:after="0"/>
              <w:rPr>
                <w:sz w:val="17"/>
                <w:szCs w:val="17"/>
                <w:color w:val="auto"/>
              </w:rPr>
            </w:pPr>
          </w:p>
        </w:tc>
        <w:tc>
          <w:tcPr>
            <w:tcW w:w="5440" w:type="dxa"/>
            <w:vAlign w:val="bottom"/>
            <w:gridSpan w:val="7"/>
          </w:tcPr>
          <w:p>
            <w:pPr>
              <w:spacing w:after="0" w:line="196" w:lineRule="exact"/>
              <w:rPr>
                <w:rFonts w:ascii="Arial" w:cs="Arial" w:eastAsia="Arial" w:hAnsi="Arial"/>
                <w:sz w:val="18"/>
                <w:szCs w:val="18"/>
                <w:color w:val="0000FF"/>
              </w:rPr>
            </w:pPr>
            <w:hyperlink w:anchor="page46">
              <w:r>
                <w:rPr>
                  <w:rFonts w:ascii="Arial" w:cs="Arial" w:eastAsia="Arial" w:hAnsi="Arial"/>
                  <w:sz w:val="18"/>
                  <w:szCs w:val="18"/>
                  <w:color w:val="0000FF"/>
                </w:rPr>
                <w:t>Sarbanes-Oxley Act of 2002.</w:t>
              </w:r>
            </w:hyperlink>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2100" w:type="dxa"/>
            <w:vAlign w:val="bottom"/>
            <w:tcBorders>
              <w:top w:val="single" w:sz="8" w:color="0000FF"/>
            </w:tcBorders>
          </w:tcPr>
          <w:p>
            <w:pPr>
              <w:spacing w:after="0"/>
              <w:rPr>
                <w:sz w:val="4"/>
                <w:szCs w:val="4"/>
                <w:color w:val="auto"/>
              </w:rPr>
            </w:pPr>
          </w:p>
        </w:tc>
        <w:tc>
          <w:tcPr>
            <w:tcW w:w="2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060" w:type="dxa"/>
            <w:vAlign w:val="bottom"/>
            <w:tcBorders>
              <w:bottom w:val="single" w:sz="8" w:color="F4F4F4"/>
            </w:tcBorders>
            <w:shd w:val="clear" w:color="auto" w:fill="F4F4F4"/>
          </w:tcPr>
          <w:p>
            <w:pPr>
              <w:jc w:val="right"/>
              <w:ind w:right="93"/>
              <w:spacing w:after="0" w:line="202" w:lineRule="exact"/>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32.1</w:t>
              </w:r>
            </w:hyperlink>
          </w:p>
        </w:tc>
        <w:tc>
          <w:tcPr>
            <w:tcW w:w="5180" w:type="dxa"/>
            <w:vAlign w:val="bottom"/>
            <w:tcBorders>
              <w:bottom w:val="single" w:sz="8" w:color="0000FF"/>
            </w:tcBorders>
            <w:gridSpan w:val="4"/>
            <w:shd w:val="clear" w:color="auto" w:fill="F4F4F4"/>
          </w:tcPr>
          <w:p>
            <w:pPr>
              <w:spacing w:after="0" w:line="202" w:lineRule="exact"/>
              <w:rPr>
                <w:rFonts w:ascii="Arial" w:cs="Arial" w:eastAsia="Arial" w:hAnsi="Arial"/>
                <w:sz w:val="18"/>
                <w:szCs w:val="18"/>
                <w:color w:val="0000FF"/>
                <w:w w:val="92"/>
              </w:rPr>
            </w:pPr>
            <w:hyperlink w:anchor="page47">
              <w:r>
                <w:rPr>
                  <w:rFonts w:ascii="Arial" w:cs="Arial" w:eastAsia="Arial" w:hAnsi="Arial"/>
                  <w:sz w:val="18"/>
                  <w:szCs w:val="18"/>
                  <w:color w:val="0000FF"/>
                  <w:w w:val="92"/>
                </w:rPr>
                <w:t>Certification by the Chief Executive Officer pursuant to 18 U.S.C. 1350</w:t>
              </w:r>
            </w:hyperlink>
          </w:p>
        </w:tc>
        <w:tc>
          <w:tcPr>
            <w:tcW w:w="260" w:type="dxa"/>
            <w:vAlign w:val="bottom"/>
            <w:tcBorders>
              <w:bottom w:val="single" w:sz="8" w:color="F4F4F4"/>
            </w:tcBorders>
            <w:gridSpan w:val="3"/>
            <w:shd w:val="clear" w:color="auto" w:fill="F4F4F4"/>
          </w:tcPr>
          <w:p>
            <w:pPr>
              <w:spacing w:after="0"/>
              <w:rPr>
                <w:sz w:val="17"/>
                <w:szCs w:val="17"/>
                <w:color w:val="auto"/>
              </w:rPr>
            </w:pPr>
          </w:p>
        </w:tc>
        <w:tc>
          <w:tcPr>
            <w:tcW w:w="1160" w:type="dxa"/>
            <w:vAlign w:val="bottom"/>
            <w:tcBorders>
              <w:bottom w:val="single" w:sz="8" w:color="F4F4F4"/>
            </w:tcBorders>
            <w:shd w:val="clear" w:color="auto" w:fill="F4F4F4"/>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F4F4F4"/>
            </w:tcBorders>
            <w:shd w:val="clear" w:color="auto" w:fill="F4F4F4"/>
          </w:tcPr>
          <w:p>
            <w:pPr>
              <w:spacing w:after="0"/>
              <w:rPr>
                <w:sz w:val="17"/>
                <w:szCs w:val="17"/>
                <w:color w:val="auto"/>
              </w:rPr>
            </w:pPr>
          </w:p>
        </w:tc>
        <w:tc>
          <w:tcPr>
            <w:tcW w:w="1560" w:type="dxa"/>
            <w:vAlign w:val="bottom"/>
            <w:tcBorders>
              <w:bottom w:val="single" w:sz="8" w:color="F4F4F4"/>
            </w:tcBorders>
            <w:shd w:val="clear" w:color="auto" w:fill="F4F4F4"/>
          </w:tcPr>
          <w:p>
            <w:pPr>
              <w:spacing w:after="0"/>
              <w:rPr>
                <w:sz w:val="17"/>
                <w:szCs w:val="17"/>
                <w:color w:val="auto"/>
              </w:rPr>
            </w:pPr>
          </w:p>
        </w:tc>
        <w:tc>
          <w:tcPr>
            <w:tcW w:w="1180" w:type="dxa"/>
            <w:vAlign w:val="bottom"/>
            <w:tcBorders>
              <w:bottom w:val="single" w:sz="8" w:color="F4F4F4"/>
            </w:tcBorders>
            <w:shd w:val="clear" w:color="auto" w:fill="F4F4F4"/>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060" w:type="dxa"/>
            <w:vAlign w:val="bottom"/>
            <w:tcBorders>
              <w:bottom w:val="single" w:sz="8" w:color="F4F4F4"/>
            </w:tcBorders>
            <w:shd w:val="clear" w:color="auto" w:fill="F4F4F4"/>
          </w:tcPr>
          <w:p>
            <w:pPr>
              <w:spacing w:after="0"/>
              <w:rPr>
                <w:sz w:val="21"/>
                <w:szCs w:val="21"/>
                <w:color w:val="auto"/>
              </w:rPr>
            </w:pPr>
          </w:p>
        </w:tc>
        <w:tc>
          <w:tcPr>
            <w:tcW w:w="5440" w:type="dxa"/>
            <w:vAlign w:val="bottom"/>
            <w:tcBorders>
              <w:bottom w:val="single" w:sz="8" w:color="F4F4F4"/>
            </w:tcBorders>
            <w:gridSpan w:val="7"/>
            <w:shd w:val="clear" w:color="auto" w:fill="F4F4F4"/>
          </w:tcPr>
          <w:p>
            <w:pPr>
              <w:spacing w:after="0"/>
              <w:rPr>
                <w:rFonts w:ascii="Arial" w:cs="Arial" w:eastAsia="Arial" w:hAnsi="Arial"/>
                <w:sz w:val="18"/>
                <w:szCs w:val="18"/>
                <w:u w:val="single" w:color="auto"/>
                <w:color w:val="0000FF"/>
                <w:w w:val="95"/>
              </w:rPr>
            </w:pPr>
            <w:hyperlink w:anchor="page47">
              <w:r>
                <w:rPr>
                  <w:rFonts w:ascii="Arial" w:cs="Arial" w:eastAsia="Arial" w:hAnsi="Arial"/>
                  <w:sz w:val="18"/>
                  <w:szCs w:val="18"/>
                  <w:u w:val="single" w:color="auto"/>
                  <w:color w:val="0000FF"/>
                  <w:w w:val="95"/>
                </w:rPr>
                <w:t>as adopted pursuant to Section 906 of the Sarbanes-Oxley Act of 2002.</w:t>
              </w:r>
            </w:hyperlink>
          </w:p>
        </w:tc>
        <w:tc>
          <w:tcPr>
            <w:tcW w:w="116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ind w:right="93"/>
              <w:spacing w:after="0" w:line="202" w:lineRule="exact"/>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32.2</w:t>
              </w:r>
            </w:hyperlink>
          </w:p>
        </w:tc>
        <w:tc>
          <w:tcPr>
            <w:tcW w:w="5440" w:type="dxa"/>
            <w:vAlign w:val="bottom"/>
            <w:gridSpan w:val="7"/>
          </w:tcPr>
          <w:p>
            <w:pPr>
              <w:spacing w:after="0" w:line="202" w:lineRule="exact"/>
              <w:rPr>
                <w:rFonts w:ascii="Arial" w:cs="Arial" w:eastAsia="Arial" w:hAnsi="Arial"/>
                <w:sz w:val="18"/>
                <w:szCs w:val="18"/>
                <w:color w:val="0000FF"/>
                <w:w w:val="93"/>
              </w:rPr>
            </w:pPr>
            <w:hyperlink w:anchor="page48">
              <w:r>
                <w:rPr>
                  <w:rFonts w:ascii="Arial" w:cs="Arial" w:eastAsia="Arial" w:hAnsi="Arial"/>
                  <w:sz w:val="18"/>
                  <w:szCs w:val="18"/>
                  <w:color w:val="0000FF"/>
                  <w:w w:val="93"/>
                </w:rPr>
                <w:t>Certification by the Chief Financial Officer pursuant to 18 U.S.C. 1350 as</w:t>
              </w:r>
            </w:hyperlink>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60" w:type="dxa"/>
            <w:vAlign w:val="bottom"/>
          </w:tcPr>
          <w:p>
            <w:pPr>
              <w:spacing w:after="0"/>
              <w:rPr>
                <w:sz w:val="20"/>
                <w:szCs w:val="20"/>
                <w:color w:val="auto"/>
              </w:rPr>
            </w:pPr>
          </w:p>
        </w:tc>
        <w:tc>
          <w:tcPr>
            <w:tcW w:w="5320" w:type="dxa"/>
            <w:vAlign w:val="bottom"/>
            <w:tcBorders>
              <w:top w:val="single" w:sz="8" w:color="0000FF"/>
            </w:tcBorders>
            <w:gridSpan w:val="5"/>
          </w:tcPr>
          <w:p>
            <w:pPr>
              <w:spacing w:after="0"/>
              <w:rPr>
                <w:rFonts w:ascii="Arial" w:cs="Arial" w:eastAsia="Arial" w:hAnsi="Arial"/>
                <w:sz w:val="18"/>
                <w:szCs w:val="18"/>
                <w:u w:val="single" w:color="auto"/>
                <w:color w:val="0000FF"/>
                <w:w w:val="97"/>
              </w:rPr>
            </w:pPr>
            <w:hyperlink w:anchor="page48">
              <w:r>
                <w:rPr>
                  <w:rFonts w:ascii="Arial" w:cs="Arial" w:eastAsia="Arial" w:hAnsi="Arial"/>
                  <w:sz w:val="18"/>
                  <w:szCs w:val="18"/>
                  <w:u w:val="single" w:color="auto"/>
                  <w:color w:val="0000FF"/>
                  <w:w w:val="97"/>
                </w:rPr>
                <w:t>adopted pursuant to Section 906 of the Sarbanes-Oxley Act of 2002.</w:t>
              </w:r>
            </w:hyperlink>
          </w:p>
        </w:tc>
        <w:tc>
          <w:tcPr>
            <w:tcW w:w="120" w:type="dxa"/>
            <w:vAlign w:val="bottom"/>
            <w:gridSpan w:val="2"/>
          </w:tcPr>
          <w:p>
            <w:pPr>
              <w:spacing w:after="0"/>
              <w:rPr>
                <w:sz w:val="20"/>
                <w:szCs w:val="20"/>
                <w:color w:val="auto"/>
              </w:rPr>
            </w:pPr>
          </w:p>
        </w:tc>
        <w:tc>
          <w:tcPr>
            <w:tcW w:w="1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shd w:val="clear" w:color="auto" w:fill="F4F4F4"/>
          </w:tcPr>
          <w:p>
            <w:pPr>
              <w:jc w:val="right"/>
              <w:ind w:right="93"/>
              <w:spacing w:after="0"/>
              <w:rPr>
                <w:sz w:val="20"/>
                <w:szCs w:val="20"/>
                <w:color w:val="auto"/>
              </w:rPr>
            </w:pPr>
            <w:r>
              <w:rPr>
                <w:rFonts w:ascii="Arial" w:cs="Arial" w:eastAsia="Arial" w:hAnsi="Arial"/>
                <w:sz w:val="18"/>
                <w:szCs w:val="18"/>
                <w:color w:val="auto"/>
              </w:rPr>
              <w:t>101.INS</w:t>
            </w:r>
          </w:p>
        </w:tc>
        <w:tc>
          <w:tcPr>
            <w:tcW w:w="5440" w:type="dxa"/>
            <w:vAlign w:val="bottom"/>
            <w:gridSpan w:val="7"/>
            <w:shd w:val="clear" w:color="auto" w:fill="F4F4F4"/>
          </w:tcPr>
          <w:p>
            <w:pPr>
              <w:spacing w:after="0"/>
              <w:rPr>
                <w:sz w:val="20"/>
                <w:szCs w:val="20"/>
                <w:color w:val="auto"/>
              </w:rPr>
            </w:pPr>
            <w:r>
              <w:rPr>
                <w:rFonts w:ascii="Arial" w:cs="Arial" w:eastAsia="Arial" w:hAnsi="Arial"/>
                <w:sz w:val="18"/>
                <w:szCs w:val="18"/>
                <w:color w:val="auto"/>
              </w:rPr>
              <w:t>Inline XBRL Instance Document - the Instance Document does not</w:t>
            </w:r>
          </w:p>
        </w:tc>
        <w:tc>
          <w:tcPr>
            <w:tcW w:w="116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shd w:val="clear" w:color="auto" w:fill="F4F4F4"/>
          </w:tcPr>
          <w:p>
            <w:pPr>
              <w:spacing w:after="0"/>
              <w:rPr>
                <w:sz w:val="19"/>
                <w:szCs w:val="19"/>
                <w:color w:val="auto"/>
              </w:rPr>
            </w:pPr>
          </w:p>
        </w:tc>
        <w:tc>
          <w:tcPr>
            <w:tcW w:w="156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F4F4F4"/>
          </w:tcPr>
          <w:p>
            <w:pPr>
              <w:spacing w:after="0"/>
              <w:rPr>
                <w:sz w:val="18"/>
                <w:szCs w:val="18"/>
                <w:color w:val="auto"/>
              </w:rPr>
            </w:pPr>
          </w:p>
        </w:tc>
        <w:tc>
          <w:tcPr>
            <w:tcW w:w="5440" w:type="dxa"/>
            <w:vAlign w:val="bottom"/>
            <w:gridSpan w:val="7"/>
            <w:shd w:val="clear" w:color="auto" w:fill="F4F4F4"/>
          </w:tcPr>
          <w:p>
            <w:pPr>
              <w:spacing w:after="0"/>
              <w:rPr>
                <w:sz w:val="20"/>
                <w:szCs w:val="20"/>
                <w:color w:val="auto"/>
              </w:rPr>
            </w:pPr>
            <w:r>
              <w:rPr>
                <w:rFonts w:ascii="Arial" w:cs="Arial" w:eastAsia="Arial" w:hAnsi="Arial"/>
                <w:sz w:val="18"/>
                <w:szCs w:val="18"/>
                <w:color w:val="auto"/>
                <w:w w:val="95"/>
              </w:rPr>
              <w:t>appear in the interactive data file because its XBRL tags are embedded</w:t>
            </w:r>
          </w:p>
        </w:tc>
        <w:tc>
          <w:tcPr>
            <w:tcW w:w="1160" w:type="dxa"/>
            <w:vAlign w:val="bottom"/>
            <w:shd w:val="clear" w:color="auto" w:fill="F4F4F4"/>
          </w:tcPr>
          <w:p>
            <w:pPr>
              <w:spacing w:after="0"/>
              <w:rPr>
                <w:sz w:val="18"/>
                <w:szCs w:val="18"/>
                <w:color w:val="auto"/>
              </w:rPr>
            </w:pPr>
          </w:p>
        </w:tc>
        <w:tc>
          <w:tcPr>
            <w:tcW w:w="840" w:type="dxa"/>
            <w:vAlign w:val="bottom"/>
            <w:shd w:val="clear" w:color="auto" w:fill="F4F4F4"/>
          </w:tcPr>
          <w:p>
            <w:pPr>
              <w:spacing w:after="0"/>
              <w:rPr>
                <w:sz w:val="18"/>
                <w:szCs w:val="18"/>
                <w:color w:val="auto"/>
              </w:rPr>
            </w:pPr>
          </w:p>
        </w:tc>
        <w:tc>
          <w:tcPr>
            <w:tcW w:w="1560" w:type="dxa"/>
            <w:vAlign w:val="bottom"/>
            <w:shd w:val="clear" w:color="auto" w:fill="F4F4F4"/>
          </w:tcPr>
          <w:p>
            <w:pPr>
              <w:spacing w:after="0"/>
              <w:rPr>
                <w:sz w:val="18"/>
                <w:szCs w:val="18"/>
                <w:color w:val="auto"/>
              </w:rPr>
            </w:pPr>
          </w:p>
        </w:tc>
        <w:tc>
          <w:tcPr>
            <w:tcW w:w="1180" w:type="dxa"/>
            <w:vAlign w:val="bottom"/>
            <w:shd w:val="clear" w:color="auto" w:fill="F4F4F4"/>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60" w:type="dxa"/>
            <w:vAlign w:val="bottom"/>
            <w:tcBorders>
              <w:bottom w:val="single" w:sz="8" w:color="F4F4F4"/>
            </w:tcBorders>
            <w:shd w:val="clear" w:color="auto" w:fill="F4F4F4"/>
          </w:tcPr>
          <w:p>
            <w:pPr>
              <w:spacing w:after="0"/>
              <w:rPr>
                <w:sz w:val="20"/>
                <w:szCs w:val="20"/>
                <w:color w:val="auto"/>
              </w:rPr>
            </w:pPr>
          </w:p>
        </w:tc>
        <w:tc>
          <w:tcPr>
            <w:tcW w:w="5440" w:type="dxa"/>
            <w:vAlign w:val="bottom"/>
            <w:tcBorders>
              <w:bottom w:val="single" w:sz="8" w:color="F4F4F4"/>
            </w:tcBorders>
            <w:gridSpan w:val="7"/>
            <w:shd w:val="clear" w:color="auto" w:fill="F4F4F4"/>
          </w:tcPr>
          <w:p>
            <w:pPr>
              <w:spacing w:after="0"/>
              <w:rPr>
                <w:sz w:val="20"/>
                <w:szCs w:val="20"/>
                <w:color w:val="auto"/>
              </w:rPr>
            </w:pPr>
            <w:r>
              <w:rPr>
                <w:rFonts w:ascii="Arial" w:cs="Arial" w:eastAsia="Arial" w:hAnsi="Arial"/>
                <w:sz w:val="18"/>
                <w:szCs w:val="18"/>
                <w:color w:val="auto"/>
              </w:rPr>
              <w:t>within the Inline XBRL Document.</w:t>
            </w:r>
          </w:p>
        </w:tc>
        <w:tc>
          <w:tcPr>
            <w:tcW w:w="1160" w:type="dxa"/>
            <w:vAlign w:val="bottom"/>
            <w:tcBorders>
              <w:bottom w:val="single" w:sz="8" w:color="F4F4F4"/>
            </w:tcBorders>
            <w:shd w:val="clear" w:color="auto" w:fill="F4F4F4"/>
          </w:tcPr>
          <w:p>
            <w:pPr>
              <w:spacing w:after="0"/>
              <w:rPr>
                <w:sz w:val="20"/>
                <w:szCs w:val="20"/>
                <w:color w:val="auto"/>
              </w:rPr>
            </w:pPr>
          </w:p>
        </w:tc>
        <w:tc>
          <w:tcPr>
            <w:tcW w:w="840" w:type="dxa"/>
            <w:vAlign w:val="bottom"/>
            <w:tcBorders>
              <w:bottom w:val="single" w:sz="8" w:color="F4F4F4"/>
            </w:tcBorders>
            <w:shd w:val="clear" w:color="auto" w:fill="F4F4F4"/>
          </w:tcPr>
          <w:p>
            <w:pPr>
              <w:spacing w:after="0"/>
              <w:rPr>
                <w:sz w:val="20"/>
                <w:szCs w:val="20"/>
                <w:color w:val="auto"/>
              </w:rPr>
            </w:pPr>
          </w:p>
        </w:tc>
        <w:tc>
          <w:tcPr>
            <w:tcW w:w="1560" w:type="dxa"/>
            <w:vAlign w:val="bottom"/>
            <w:tcBorders>
              <w:bottom w:val="single" w:sz="8" w:color="F4F4F4"/>
            </w:tcBorders>
            <w:shd w:val="clear" w:color="auto" w:fill="F4F4F4"/>
          </w:tcPr>
          <w:p>
            <w:pPr>
              <w:spacing w:after="0"/>
              <w:rPr>
                <w:sz w:val="20"/>
                <w:szCs w:val="20"/>
                <w:color w:val="auto"/>
              </w:rPr>
            </w:pPr>
          </w:p>
        </w:tc>
        <w:tc>
          <w:tcPr>
            <w:tcW w:w="1180" w:type="dxa"/>
            <w:vAlign w:val="bottom"/>
            <w:tcBorders>
              <w:bottom w:val="single" w:sz="8" w:color="F4F4F4"/>
            </w:tcBorders>
            <w:shd w:val="clear" w:color="auto" w:fill="F4F4F4"/>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101.SCH</w:t>
            </w:r>
          </w:p>
        </w:tc>
        <w:tc>
          <w:tcPr>
            <w:tcW w:w="544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F4F4F4"/>
            </w:tcBorders>
            <w:shd w:val="clear" w:color="auto" w:fill="F4F4F4"/>
          </w:tcPr>
          <w:p>
            <w:pPr>
              <w:jc w:val="right"/>
              <w:ind w:right="93"/>
              <w:spacing w:after="0"/>
              <w:rPr>
                <w:sz w:val="20"/>
                <w:szCs w:val="20"/>
                <w:color w:val="auto"/>
              </w:rPr>
            </w:pPr>
            <w:r>
              <w:rPr>
                <w:rFonts w:ascii="Arial" w:cs="Arial" w:eastAsia="Arial" w:hAnsi="Arial"/>
                <w:sz w:val="18"/>
                <w:szCs w:val="18"/>
                <w:color w:val="auto"/>
              </w:rPr>
              <w:t>101.CAL</w:t>
            </w:r>
          </w:p>
        </w:tc>
        <w:tc>
          <w:tcPr>
            <w:tcW w:w="5440" w:type="dxa"/>
            <w:vAlign w:val="bottom"/>
            <w:tcBorders>
              <w:bottom w:val="single" w:sz="8" w:color="F4F4F4"/>
            </w:tcBorders>
            <w:gridSpan w:val="7"/>
            <w:shd w:val="clear" w:color="auto" w:fill="F4F4F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116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101.DEF</w:t>
            </w:r>
          </w:p>
        </w:tc>
        <w:tc>
          <w:tcPr>
            <w:tcW w:w="544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60" w:type="dxa"/>
            <w:vAlign w:val="bottom"/>
            <w:tcBorders>
              <w:bottom w:val="single" w:sz="8" w:color="F4F4F4"/>
            </w:tcBorders>
            <w:shd w:val="clear" w:color="auto" w:fill="F4F4F4"/>
          </w:tcPr>
          <w:p>
            <w:pPr>
              <w:jc w:val="right"/>
              <w:ind w:right="93"/>
              <w:spacing w:after="0"/>
              <w:rPr>
                <w:sz w:val="20"/>
                <w:szCs w:val="20"/>
                <w:color w:val="auto"/>
              </w:rPr>
            </w:pPr>
            <w:r>
              <w:rPr>
                <w:rFonts w:ascii="Arial" w:cs="Arial" w:eastAsia="Arial" w:hAnsi="Arial"/>
                <w:sz w:val="18"/>
                <w:szCs w:val="18"/>
                <w:color w:val="auto"/>
              </w:rPr>
              <w:t>101.LAB</w:t>
            </w:r>
          </w:p>
        </w:tc>
        <w:tc>
          <w:tcPr>
            <w:tcW w:w="5440" w:type="dxa"/>
            <w:vAlign w:val="bottom"/>
            <w:tcBorders>
              <w:bottom w:val="single" w:sz="8" w:color="F4F4F4"/>
            </w:tcBorders>
            <w:gridSpan w:val="7"/>
            <w:shd w:val="clear" w:color="auto" w:fill="F4F4F4"/>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1160" w:type="dxa"/>
            <w:vAlign w:val="bottom"/>
            <w:tcBorders>
              <w:bottom w:val="single" w:sz="8" w:color="F4F4F4"/>
            </w:tcBorders>
            <w:shd w:val="clear" w:color="auto" w:fill="F4F4F4"/>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F4F4F4"/>
            </w:tcBorders>
            <w:shd w:val="clear" w:color="auto" w:fill="F4F4F4"/>
          </w:tcPr>
          <w:p>
            <w:pPr>
              <w:spacing w:after="0"/>
              <w:rPr>
                <w:sz w:val="21"/>
                <w:szCs w:val="21"/>
                <w:color w:val="auto"/>
              </w:rPr>
            </w:pPr>
          </w:p>
        </w:tc>
        <w:tc>
          <w:tcPr>
            <w:tcW w:w="15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60" w:type="dxa"/>
            <w:vAlign w:val="bottom"/>
          </w:tcPr>
          <w:p>
            <w:pPr>
              <w:jc w:val="right"/>
              <w:ind w:right="93"/>
              <w:spacing w:after="0"/>
              <w:rPr>
                <w:sz w:val="20"/>
                <w:szCs w:val="20"/>
                <w:color w:val="auto"/>
              </w:rPr>
            </w:pPr>
            <w:r>
              <w:rPr>
                <w:rFonts w:ascii="Arial" w:cs="Arial" w:eastAsia="Arial" w:hAnsi="Arial"/>
                <w:sz w:val="18"/>
                <w:szCs w:val="18"/>
                <w:color w:val="auto"/>
              </w:rPr>
              <w:t>101.PRE</w:t>
            </w:r>
          </w:p>
        </w:tc>
        <w:tc>
          <w:tcPr>
            <w:tcW w:w="5440" w:type="dxa"/>
            <w:vAlign w:val="bottom"/>
            <w:gridSpan w:val="7"/>
          </w:tcPr>
          <w:p>
            <w:pPr>
              <w:spacing w:after="0"/>
              <w:rPr>
                <w:sz w:val="20"/>
                <w:szCs w:val="20"/>
                <w:color w:val="auto"/>
              </w:rPr>
            </w:pPr>
            <w:r>
              <w:rPr>
                <w:rFonts w:ascii="Arial" w:cs="Arial" w:eastAsia="Arial" w:hAnsi="Arial"/>
                <w:sz w:val="18"/>
                <w:szCs w:val="18"/>
                <w:color w:val="auto"/>
                <w:w w:val="99"/>
              </w:rPr>
              <w:t>Inline XBRL Taxonomy Extension Presentation Linkbase Document.</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060" w:type="dxa"/>
            <w:vAlign w:val="bottom"/>
            <w:shd w:val="clear" w:color="auto" w:fill="F4F4F4"/>
          </w:tcPr>
          <w:p>
            <w:pPr>
              <w:jc w:val="right"/>
              <w:ind w:right="93"/>
              <w:spacing w:after="0"/>
              <w:rPr>
                <w:sz w:val="20"/>
                <w:szCs w:val="20"/>
                <w:color w:val="auto"/>
              </w:rPr>
            </w:pPr>
            <w:r>
              <w:rPr>
                <w:rFonts w:ascii="Arial" w:cs="Arial" w:eastAsia="Arial" w:hAnsi="Arial"/>
                <w:sz w:val="18"/>
                <w:szCs w:val="18"/>
                <w:color w:val="auto"/>
              </w:rPr>
              <w:t>104</w:t>
            </w:r>
          </w:p>
        </w:tc>
        <w:tc>
          <w:tcPr>
            <w:tcW w:w="5440" w:type="dxa"/>
            <w:vAlign w:val="bottom"/>
            <w:gridSpan w:val="7"/>
            <w:shd w:val="clear" w:color="auto" w:fill="F4F4F4"/>
          </w:tcPr>
          <w:p>
            <w:pPr>
              <w:spacing w:after="0"/>
              <w:rPr>
                <w:sz w:val="20"/>
                <w:szCs w:val="20"/>
                <w:color w:val="auto"/>
              </w:rPr>
            </w:pPr>
            <w:r>
              <w:rPr>
                <w:rFonts w:ascii="Arial" w:cs="Arial" w:eastAsia="Arial" w:hAnsi="Arial"/>
                <w:sz w:val="18"/>
                <w:szCs w:val="18"/>
                <w:color w:val="auto"/>
              </w:rPr>
              <w:t>Cover Page Interactive Data File (formatted as Inline XBRL and</w:t>
            </w:r>
          </w:p>
        </w:tc>
        <w:tc>
          <w:tcPr>
            <w:tcW w:w="116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X</w:t>
            </w:r>
          </w:p>
        </w:tc>
        <w:tc>
          <w:tcPr>
            <w:tcW w:w="840" w:type="dxa"/>
            <w:vAlign w:val="bottom"/>
            <w:shd w:val="clear" w:color="auto" w:fill="F4F4F4"/>
          </w:tcPr>
          <w:p>
            <w:pPr>
              <w:spacing w:after="0"/>
              <w:rPr>
                <w:sz w:val="19"/>
                <w:szCs w:val="19"/>
                <w:color w:val="auto"/>
              </w:rPr>
            </w:pPr>
          </w:p>
        </w:tc>
        <w:tc>
          <w:tcPr>
            <w:tcW w:w="1560" w:type="dxa"/>
            <w:vAlign w:val="bottom"/>
            <w:shd w:val="clear" w:color="auto" w:fill="F4F4F4"/>
          </w:tcPr>
          <w:p>
            <w:pPr>
              <w:spacing w:after="0"/>
              <w:rPr>
                <w:sz w:val="19"/>
                <w:szCs w:val="19"/>
                <w:color w:val="auto"/>
              </w:rPr>
            </w:pPr>
          </w:p>
        </w:tc>
        <w:tc>
          <w:tcPr>
            <w:tcW w:w="11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1060" w:type="dxa"/>
            <w:vAlign w:val="bottom"/>
            <w:tcBorders>
              <w:bottom w:val="single" w:sz="8" w:color="F4F4F4"/>
            </w:tcBorders>
            <w:shd w:val="clear" w:color="auto" w:fill="F4F4F4"/>
          </w:tcPr>
          <w:p>
            <w:pPr>
              <w:spacing w:after="0"/>
              <w:rPr>
                <w:sz w:val="22"/>
                <w:szCs w:val="22"/>
                <w:color w:val="auto"/>
              </w:rPr>
            </w:pPr>
          </w:p>
        </w:tc>
        <w:tc>
          <w:tcPr>
            <w:tcW w:w="5440" w:type="dxa"/>
            <w:vAlign w:val="bottom"/>
            <w:tcBorders>
              <w:bottom w:val="single" w:sz="8" w:color="F4F4F4"/>
            </w:tcBorders>
            <w:gridSpan w:val="7"/>
            <w:shd w:val="clear" w:color="auto" w:fill="F4F4F4"/>
          </w:tcPr>
          <w:p>
            <w:pPr>
              <w:spacing w:after="0"/>
              <w:rPr>
                <w:sz w:val="20"/>
                <w:szCs w:val="20"/>
                <w:color w:val="auto"/>
              </w:rPr>
            </w:pPr>
            <w:r>
              <w:rPr>
                <w:rFonts w:ascii="Arial" w:cs="Arial" w:eastAsia="Arial" w:hAnsi="Arial"/>
                <w:sz w:val="18"/>
                <w:szCs w:val="18"/>
                <w:color w:val="auto"/>
              </w:rPr>
              <w:t>contained in Exhibit 101).</w:t>
            </w:r>
          </w:p>
        </w:tc>
        <w:tc>
          <w:tcPr>
            <w:tcW w:w="1160" w:type="dxa"/>
            <w:vAlign w:val="bottom"/>
            <w:tcBorders>
              <w:bottom w:val="single" w:sz="8" w:color="F4F4F4"/>
            </w:tcBorders>
            <w:shd w:val="clear" w:color="auto" w:fill="F4F4F4"/>
          </w:tcPr>
          <w:p>
            <w:pPr>
              <w:spacing w:after="0"/>
              <w:rPr>
                <w:sz w:val="22"/>
                <w:szCs w:val="22"/>
                <w:color w:val="auto"/>
              </w:rPr>
            </w:pPr>
          </w:p>
        </w:tc>
        <w:tc>
          <w:tcPr>
            <w:tcW w:w="840" w:type="dxa"/>
            <w:vAlign w:val="bottom"/>
            <w:tcBorders>
              <w:bottom w:val="single" w:sz="8" w:color="F4F4F4"/>
            </w:tcBorders>
            <w:shd w:val="clear" w:color="auto" w:fill="F4F4F4"/>
          </w:tcPr>
          <w:p>
            <w:pPr>
              <w:spacing w:after="0"/>
              <w:rPr>
                <w:sz w:val="22"/>
                <w:szCs w:val="22"/>
                <w:color w:val="auto"/>
              </w:rPr>
            </w:pPr>
          </w:p>
        </w:tc>
        <w:tc>
          <w:tcPr>
            <w:tcW w:w="1560" w:type="dxa"/>
            <w:vAlign w:val="bottom"/>
            <w:tcBorders>
              <w:bottom w:val="single" w:sz="8" w:color="F4F4F4"/>
            </w:tcBorders>
            <w:shd w:val="clear" w:color="auto" w:fill="F4F4F4"/>
          </w:tcPr>
          <w:p>
            <w:pPr>
              <w:spacing w:after="0"/>
              <w:rPr>
                <w:sz w:val="22"/>
                <w:szCs w:val="22"/>
                <w:color w:val="auto"/>
              </w:rPr>
            </w:pPr>
          </w:p>
        </w:tc>
        <w:tc>
          <w:tcPr>
            <w:tcW w:w="1180" w:type="dxa"/>
            <w:vAlign w:val="bottom"/>
            <w:tcBorders>
              <w:bottom w:val="single" w:sz="8" w:color="F4F4F4"/>
            </w:tcBorders>
            <w:shd w:val="clear" w:color="auto" w:fill="F4F4F4"/>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1060" w:type="dxa"/>
            <w:vAlign w:val="bottom"/>
            <w:tcBorders>
              <w:top w:val="single" w:sz="8" w:color="71BF43"/>
            </w:tcBorders>
          </w:tcPr>
          <w:p>
            <w:pPr>
              <w:spacing w:after="0"/>
              <w:rPr>
                <w:sz w:val="24"/>
                <w:szCs w:val="24"/>
                <w:color w:val="auto"/>
              </w:rPr>
            </w:pPr>
          </w:p>
        </w:tc>
        <w:tc>
          <w:tcPr>
            <w:tcW w:w="2100" w:type="dxa"/>
            <w:vAlign w:val="bottom"/>
            <w:tcBorders>
              <w:top w:val="single" w:sz="8" w:color="71BF43"/>
            </w:tcBorders>
          </w:tcPr>
          <w:p>
            <w:pPr>
              <w:spacing w:after="0"/>
              <w:rPr>
                <w:sz w:val="24"/>
                <w:szCs w:val="24"/>
                <w:color w:val="auto"/>
              </w:rPr>
            </w:pPr>
          </w:p>
        </w:tc>
        <w:tc>
          <w:tcPr>
            <w:tcW w:w="260" w:type="dxa"/>
            <w:vAlign w:val="bottom"/>
            <w:tcBorders>
              <w:top w:val="single" w:sz="8" w:color="71BF43"/>
            </w:tcBorders>
          </w:tcPr>
          <w:p>
            <w:pPr>
              <w:spacing w:after="0"/>
              <w:rPr>
                <w:sz w:val="24"/>
                <w:szCs w:val="24"/>
                <w:color w:val="auto"/>
              </w:rPr>
            </w:pPr>
          </w:p>
        </w:tc>
        <w:tc>
          <w:tcPr>
            <w:tcW w:w="2760" w:type="dxa"/>
            <w:vAlign w:val="bottom"/>
            <w:tcBorders>
              <w:top w:val="single" w:sz="8" w:color="71BF43"/>
            </w:tcBorders>
          </w:tcPr>
          <w:p>
            <w:pPr>
              <w:spacing w:after="0"/>
              <w:rPr>
                <w:sz w:val="24"/>
                <w:szCs w:val="24"/>
                <w:color w:val="auto"/>
              </w:rPr>
            </w:pPr>
          </w:p>
        </w:tc>
        <w:tc>
          <w:tcPr>
            <w:tcW w:w="60" w:type="dxa"/>
            <w:vAlign w:val="bottom"/>
            <w:tcBorders>
              <w:top w:val="single" w:sz="8" w:color="71BF43"/>
            </w:tcBorders>
          </w:tcPr>
          <w:p>
            <w:pPr>
              <w:spacing w:after="0"/>
              <w:rPr>
                <w:sz w:val="24"/>
                <w:szCs w:val="24"/>
                <w:color w:val="auto"/>
              </w:rPr>
            </w:pPr>
          </w:p>
        </w:tc>
        <w:tc>
          <w:tcPr>
            <w:tcW w:w="140" w:type="dxa"/>
            <w:vAlign w:val="bottom"/>
            <w:tcBorders>
              <w:top w:val="single" w:sz="8" w:color="71BF43"/>
            </w:tcBorders>
          </w:tcPr>
          <w:p>
            <w:pPr>
              <w:spacing w:after="0"/>
              <w:rPr>
                <w:sz w:val="24"/>
                <w:szCs w:val="24"/>
                <w:color w:val="auto"/>
              </w:rPr>
            </w:pPr>
          </w:p>
        </w:tc>
        <w:tc>
          <w:tcPr>
            <w:tcW w:w="20" w:type="dxa"/>
            <w:vAlign w:val="bottom"/>
            <w:tcBorders>
              <w:top w:val="single" w:sz="8" w:color="71BF43"/>
            </w:tcBorders>
          </w:tcPr>
          <w:p>
            <w:pPr>
              <w:spacing w:after="0"/>
              <w:rPr>
                <w:sz w:val="24"/>
                <w:szCs w:val="24"/>
                <w:color w:val="auto"/>
              </w:rPr>
            </w:pPr>
          </w:p>
        </w:tc>
        <w:tc>
          <w:tcPr>
            <w:tcW w:w="100" w:type="dxa"/>
            <w:vAlign w:val="bottom"/>
            <w:tcBorders>
              <w:top w:val="single" w:sz="8" w:color="71BF43"/>
            </w:tcBorders>
          </w:tcPr>
          <w:p>
            <w:pPr>
              <w:spacing w:after="0"/>
              <w:rPr>
                <w:sz w:val="24"/>
                <w:szCs w:val="24"/>
                <w:color w:val="auto"/>
              </w:rPr>
            </w:pPr>
          </w:p>
        </w:tc>
        <w:tc>
          <w:tcPr>
            <w:tcW w:w="1160" w:type="dxa"/>
            <w:vAlign w:val="bottom"/>
            <w:tcBorders>
              <w:top w:val="single" w:sz="8" w:color="71BF43"/>
            </w:tcBorders>
          </w:tcPr>
          <w:p>
            <w:pPr>
              <w:spacing w:after="0"/>
              <w:rPr>
                <w:sz w:val="24"/>
                <w:szCs w:val="24"/>
                <w:color w:val="auto"/>
              </w:rPr>
            </w:pPr>
          </w:p>
        </w:tc>
        <w:tc>
          <w:tcPr>
            <w:tcW w:w="2400" w:type="dxa"/>
            <w:vAlign w:val="bottom"/>
            <w:tcBorders>
              <w:top w:val="single" w:sz="8" w:color="71BF43"/>
            </w:tcBorders>
            <w:gridSpan w:val="2"/>
          </w:tcPr>
          <w:p>
            <w:pPr>
              <w:ind w:left="140"/>
              <w:spacing w:after="0"/>
              <w:rPr>
                <w:sz w:val="20"/>
                <w:szCs w:val="20"/>
                <w:color w:val="auto"/>
              </w:rPr>
            </w:pPr>
            <w:r>
              <w:rPr>
                <w:rFonts w:ascii="Arial" w:cs="Arial" w:eastAsia="Arial" w:hAnsi="Arial"/>
                <w:sz w:val="14"/>
                <w:szCs w:val="14"/>
                <w:color w:val="auto"/>
              </w:rPr>
              <w:t>First Quarter 2020 Form 10-Q</w:t>
            </w:r>
          </w:p>
        </w:tc>
        <w:tc>
          <w:tcPr>
            <w:tcW w:w="1180" w:type="dxa"/>
            <w:vAlign w:val="bottom"/>
            <w:tcBorders>
              <w:top w:val="single" w:sz="8" w:color="71BF43"/>
            </w:tcBorders>
          </w:tcPr>
          <w:p>
            <w:pPr>
              <w:jc w:val="right"/>
              <w:ind w:right="20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-3429635</wp:posOffset>
            </wp:positionV>
            <wp:extent cx="297434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97434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-111760</wp:posOffset>
            </wp:positionV>
            <wp:extent cx="668655" cy="102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58" w:lineRule="exact"/>
        <w:rPr>
          <w:sz w:val="20"/>
          <w:szCs w:val="20"/>
          <w:color w:val="auto"/>
        </w:rPr>
      </w:pPr>
    </w:p>
    <w:p>
      <w:pPr>
        <w:ind w:left="260"/>
        <w:spacing w:after="0"/>
        <w:rPr>
          <w:sz w:val="20"/>
          <w:szCs w:val="20"/>
          <w:color w:val="auto"/>
        </w:rPr>
      </w:pPr>
      <w:r>
        <w:rPr>
          <w:sz w:val="1"/>
          <w:szCs w:val="1"/>
          <w:color w:val="auto"/>
        </w:rPr>
        <w:drawing>
          <wp:inline distT="0" distB="0" distL="0" distR="0">
            <wp:extent cx="180340" cy="2400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0340" cy="240030"/>
                    </a:xfrm>
                    <a:prstGeom prst="rect">
                      <a:avLst/>
                    </a:prstGeom>
                    <a:noFill/>
                    <a:ln>
                      <a:noFill/>
                    </a:ln>
                  </pic:spPr>
                </pic:pic>
              </a:graphicData>
            </a:graphic>
          </wp:inline>
        </w:drawing>
      </w:r>
      <w:r>
        <w:rPr>
          <w:rFonts w:ascii="Arial" w:cs="Arial" w:eastAsia="Arial" w:hAnsi="Arial"/>
          <w:sz w:val="40"/>
          <w:szCs w:val="40"/>
          <w:b w:val="1"/>
          <w:bCs w:val="1"/>
          <w:color w:val="50535A"/>
        </w:rPr>
        <w:t xml:space="preserve"> SIGNATURES</w:t>
      </w:r>
    </w:p>
    <w:p>
      <w:pPr>
        <w:spacing w:after="0" w:line="2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540" w:type="dxa"/>
            <w:vAlign w:val="bottom"/>
            <w:gridSpan w:val="2"/>
          </w:tcPr>
          <w:p>
            <w:pPr>
              <w:ind w:left="4200"/>
              <w:spacing w:after="0"/>
              <w:rPr>
                <w:sz w:val="20"/>
                <w:szCs w:val="20"/>
                <w:color w:val="auto"/>
              </w:rPr>
            </w:pPr>
            <w:r>
              <w:rPr>
                <w:rFonts w:ascii="Arial" w:cs="Arial" w:eastAsia="Arial" w:hAnsi="Arial"/>
                <w:sz w:val="18"/>
                <w:szCs w:val="18"/>
                <w:b w:val="1"/>
                <w:bCs w:val="1"/>
                <w:color w:val="auto"/>
              </w:rPr>
              <w:t>BLACKBAUD, INC.</w:t>
            </w:r>
          </w:p>
        </w:tc>
      </w:tr>
      <w:tr>
        <w:trPr>
          <w:trHeight w:val="594"/>
        </w:trPr>
        <w:tc>
          <w:tcPr>
            <w:tcW w:w="540" w:type="dxa"/>
            <w:vAlign w:val="bottom"/>
          </w:tcPr>
          <w:p>
            <w:pPr>
              <w:jc w:val="right"/>
              <w:ind w:right="56"/>
              <w:spacing w:after="0"/>
              <w:rPr>
                <w:sz w:val="20"/>
                <w:szCs w:val="20"/>
                <w:color w:val="auto"/>
              </w:rPr>
            </w:pPr>
            <w:r>
              <w:rPr>
                <w:rFonts w:ascii="Arial" w:cs="Arial" w:eastAsia="Arial" w:hAnsi="Arial"/>
                <w:sz w:val="18"/>
                <w:szCs w:val="18"/>
                <w:color w:val="auto"/>
                <w:w w:val="88"/>
              </w:rPr>
              <w:t>Date:</w:t>
            </w:r>
          </w:p>
        </w:tc>
        <w:tc>
          <w:tcPr>
            <w:tcW w:w="1100" w:type="dxa"/>
            <w:vAlign w:val="bottom"/>
          </w:tcPr>
          <w:p>
            <w:pPr>
              <w:ind w:left="140"/>
              <w:spacing w:after="0"/>
              <w:rPr>
                <w:sz w:val="20"/>
                <w:szCs w:val="20"/>
                <w:color w:val="auto"/>
              </w:rPr>
            </w:pPr>
            <w:r>
              <w:rPr>
                <w:rFonts w:ascii="Arial" w:cs="Arial" w:eastAsia="Arial" w:hAnsi="Arial"/>
                <w:sz w:val="18"/>
                <w:szCs w:val="18"/>
                <w:color w:val="auto"/>
                <w:w w:val="94"/>
              </w:rPr>
              <w:t>May 7, 2020</w:t>
            </w:r>
          </w:p>
        </w:tc>
        <w:tc>
          <w:tcPr>
            <w:tcW w:w="4620" w:type="dxa"/>
            <w:vAlign w:val="bottom"/>
          </w:tcPr>
          <w:p>
            <w:pPr>
              <w:ind w:left="4200"/>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color w:val="auto"/>
              </w:rPr>
              <w:t>/s/ Michael P. Gianoni</w:t>
            </w:r>
          </w:p>
        </w:tc>
      </w:tr>
      <w:tr>
        <w:trPr>
          <w:trHeight w:val="27"/>
        </w:trPr>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70"/>
        </w:trPr>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91"/>
        </w:trPr>
        <w:tc>
          <w:tcPr>
            <w:tcW w:w="540" w:type="dxa"/>
            <w:vAlign w:val="bottom"/>
          </w:tcPr>
          <w:p>
            <w:pPr>
              <w:jc w:val="right"/>
              <w:ind w:right="56"/>
              <w:spacing w:after="0"/>
              <w:rPr>
                <w:sz w:val="20"/>
                <w:szCs w:val="20"/>
                <w:color w:val="auto"/>
              </w:rPr>
            </w:pPr>
            <w:r>
              <w:rPr>
                <w:rFonts w:ascii="Arial" w:cs="Arial" w:eastAsia="Arial" w:hAnsi="Arial"/>
                <w:sz w:val="18"/>
                <w:szCs w:val="18"/>
                <w:color w:val="auto"/>
                <w:w w:val="88"/>
              </w:rPr>
              <w:t>Date:</w:t>
            </w:r>
          </w:p>
        </w:tc>
        <w:tc>
          <w:tcPr>
            <w:tcW w:w="1100" w:type="dxa"/>
            <w:vAlign w:val="bottom"/>
          </w:tcPr>
          <w:p>
            <w:pPr>
              <w:ind w:left="140"/>
              <w:spacing w:after="0"/>
              <w:rPr>
                <w:sz w:val="20"/>
                <w:szCs w:val="20"/>
                <w:color w:val="auto"/>
              </w:rPr>
            </w:pPr>
            <w:r>
              <w:rPr>
                <w:rFonts w:ascii="Arial" w:cs="Arial" w:eastAsia="Arial" w:hAnsi="Arial"/>
                <w:sz w:val="18"/>
                <w:szCs w:val="18"/>
                <w:color w:val="auto"/>
                <w:w w:val="94"/>
              </w:rPr>
              <w:t>May 7, 2020</w:t>
            </w:r>
          </w:p>
        </w:tc>
        <w:tc>
          <w:tcPr>
            <w:tcW w:w="4620" w:type="dxa"/>
            <w:vAlign w:val="bottom"/>
          </w:tcPr>
          <w:p>
            <w:pPr>
              <w:ind w:left="4200"/>
              <w:spacing w:after="0"/>
              <w:rPr>
                <w:sz w:val="20"/>
                <w:szCs w:val="20"/>
                <w:color w:val="auto"/>
              </w:rPr>
            </w:pPr>
            <w:r>
              <w:rPr>
                <w:rFonts w:ascii="Arial" w:cs="Arial" w:eastAsia="Arial" w:hAnsi="Arial"/>
                <w:sz w:val="18"/>
                <w:szCs w:val="18"/>
                <w:color w:val="auto"/>
              </w:rPr>
              <w:t>By:</w:t>
            </w:r>
          </w:p>
        </w:tc>
        <w:tc>
          <w:tcPr>
            <w:tcW w:w="4920" w:type="dxa"/>
            <w:vAlign w:val="bottom"/>
          </w:tcPr>
          <w:p>
            <w:pPr>
              <w:ind w:left="20"/>
              <w:spacing w:after="0"/>
              <w:rPr>
                <w:sz w:val="20"/>
                <w:szCs w:val="20"/>
                <w:color w:val="auto"/>
              </w:rPr>
            </w:pPr>
            <w:r>
              <w:rPr>
                <w:rFonts w:ascii="Arial" w:cs="Arial" w:eastAsia="Arial" w:hAnsi="Arial"/>
                <w:sz w:val="18"/>
                <w:szCs w:val="18"/>
                <w:color w:val="auto"/>
              </w:rPr>
              <w:t>/s/ Anthony W. Boor</w:t>
            </w:r>
          </w:p>
        </w:tc>
      </w:tr>
      <w:tr>
        <w:trPr>
          <w:trHeight w:val="27"/>
        </w:trPr>
        <w:tc>
          <w:tcPr>
            <w:tcW w:w="5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Anthony W. Boor</w:t>
            </w:r>
          </w:p>
        </w:tc>
      </w:tr>
      <w:tr>
        <w:trPr>
          <w:trHeight w:val="270"/>
        </w:trPr>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5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620" w:type="dxa"/>
            <w:vAlign w:val="bottom"/>
          </w:tcPr>
          <w:p>
            <w:pPr>
              <w:spacing w:after="0"/>
              <w:rPr>
                <w:sz w:val="23"/>
                <w:szCs w:val="23"/>
                <w:color w:val="auto"/>
              </w:rPr>
            </w:pPr>
          </w:p>
        </w:tc>
        <w:tc>
          <w:tcPr>
            <w:tcW w:w="49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798"/>
        </w:trPr>
        <w:tc>
          <w:tcPr>
            <w:tcW w:w="540" w:type="dxa"/>
            <w:vAlign w:val="bottom"/>
          </w:tcPr>
          <w:p>
            <w:pPr>
              <w:jc w:val="right"/>
              <w:ind w:right="56"/>
              <w:spacing w:after="0"/>
              <w:rPr>
                <w:sz w:val="20"/>
                <w:szCs w:val="20"/>
                <w:color w:val="auto"/>
              </w:rPr>
            </w:pPr>
            <w:r>
              <w:rPr>
                <w:rFonts w:ascii="Arial" w:cs="Arial" w:eastAsia="Arial" w:hAnsi="Arial"/>
                <w:sz w:val="14"/>
                <w:szCs w:val="14"/>
                <w:color w:val="auto"/>
              </w:rPr>
              <w:t>42</w:t>
            </w:r>
          </w:p>
        </w:tc>
        <w:tc>
          <w:tcPr>
            <w:tcW w:w="1100" w:type="dxa"/>
            <w:vAlign w:val="bottom"/>
          </w:tcPr>
          <w:p>
            <w:pPr>
              <w:spacing w:after="0"/>
              <w:rPr>
                <w:sz w:val="24"/>
                <w:szCs w:val="24"/>
                <w:color w:val="auto"/>
              </w:rPr>
            </w:pPr>
          </w:p>
        </w:tc>
        <w:tc>
          <w:tcPr>
            <w:tcW w:w="4620" w:type="dxa"/>
            <w:vAlign w:val="bottom"/>
          </w:tcPr>
          <w:p>
            <w:pPr>
              <w:ind w:left="40"/>
              <w:spacing w:after="0"/>
              <w:rPr>
                <w:sz w:val="20"/>
                <w:szCs w:val="20"/>
                <w:color w:val="auto"/>
              </w:rPr>
            </w:pPr>
            <w:r>
              <w:rPr>
                <w:rFonts w:ascii="Arial" w:cs="Arial" w:eastAsia="Arial" w:hAnsi="Arial"/>
                <w:sz w:val="14"/>
                <w:szCs w:val="14"/>
                <w:color w:val="auto"/>
              </w:rPr>
              <w:t>First Quarter 2020 Form 10-Q</w:t>
            </w:r>
          </w:p>
        </w:tc>
        <w:tc>
          <w:tcPr>
            <w:tcW w:w="4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-111760</wp:posOffset>
            </wp:positionV>
            <wp:extent cx="668655" cy="1028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8655" cy="10287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8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P. Gianoni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980" w:right="10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80"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308" w:lineRule="auto"/>
        <w:tabs>
          <w:tab w:leader="none" w:pos="980" w:val="left"/>
        </w:tabs>
        <w:numPr>
          <w:ilvl w:val="1"/>
          <w:numId w:val="4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520" w:hanging="324"/>
        <w:spacing w:after="0" w:line="277" w:lineRule="auto"/>
        <w:tabs>
          <w:tab w:leader="none" w:pos="9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40"/>
        <w:spacing w:after="0"/>
        <w:tabs>
          <w:tab w:leader="none" w:pos="700" w:val="left"/>
          <w:tab w:leader="none" w:pos="58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37535"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Anthony W. Boor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connection with the Quarterly Report on Form 10-Q of Blackbaud, Inc. (the “Company”) for the period ended March 31, 2020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11"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 w:leader="none" w:pos="582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Michael P. Gianoni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Blackbaud, Inc.</w:t>
      </w:r>
    </w:p>
    <w:p>
      <w:pPr>
        <w:spacing w:after="0" w:line="153"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color w:val="auto"/>
        </w:rPr>
        <w:t>In connection with the Quarterly Report on Form 10-Q of Blackbaud, Inc. (the “Company”) for the period ended March 31, 2020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9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700" w:val="left"/>
          <w:tab w:leader="none" w:pos="5820" w:val="left"/>
          <w:tab w:leader="none" w:pos="62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7,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W. Boor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31750</wp:posOffset>
            </wp:positionV>
            <wp:extent cx="31375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Anthony W. Boor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88"/>
    </w:lvl>
  </w:abstractNum>
  <w:abstractNum w:abstractNumId="3">
    <w:nsid w:val="B03E0C6"/>
    <w:multiLevelType w:val="hybridMultilevel"/>
    <w:lvl w:ilvl="0">
      <w:lvlJc w:val="left"/>
      <w:lvlText w:val="%1"/>
      <w:numFmt w:val="decimal"/>
      <w:start w:val="102"/>
    </w:lvl>
  </w:abstractNum>
  <w:abstractNum w:abstractNumId="4">
    <w:nsid w:val="189A769B"/>
    <w:multiLevelType w:val="hybridMultilevel"/>
    <w:lvl w:ilvl="0">
      <w:lvlJc w:val="left"/>
      <w:lvlText w:val="\emdash "/>
      <w:numFmt w:val="bullet"/>
      <w:start w:val="1"/>
    </w:lvl>
  </w:abstractNum>
  <w:abstractNum w:abstractNumId="5">
    <w:nsid w:val="54E49EB4"/>
    <w:multiLevelType w:val="hybridMultilevel"/>
    <w:lvl w:ilvl="0">
      <w:lvlJc w:val="left"/>
      <w:lvlText w:val="1"/>
      <w:numFmt w:val="bullet"/>
      <w:start w:val="1"/>
    </w:lvl>
  </w:abstractNum>
  <w:abstractNum w:abstractNumId="6">
    <w:nsid w:val="71F32454"/>
    <w:multiLevelType w:val="hybridMultilevel"/>
    <w:lvl w:ilvl="0">
      <w:lvlJc w:val="left"/>
      <w:lvlText w:val="(%1)"/>
      <w:numFmt w:val="decimal"/>
      <w:start w:val="1"/>
    </w:lvl>
  </w:abstractNum>
  <w:abstractNum w:abstractNumId="7">
    <w:nsid w:val="2CA88611"/>
    <w:multiLevelType w:val="hybridMultilevel"/>
    <w:lvl w:ilvl="0">
      <w:lvlJc w:val="left"/>
      <w:lvlText w:val="(%1)"/>
      <w:numFmt w:val="decimal"/>
      <w:start w:val="1"/>
    </w:lvl>
    <w:lvl w:ilvl="1">
      <w:lvlJc w:val="left"/>
      <w:lvlText w:val="%2."/>
      <w:numFmt w:val="decimal"/>
      <w:start w:val="3"/>
    </w:lvl>
  </w:abstractNum>
  <w:abstractNum w:abstractNumId="8">
    <w:nsid w:val="836C40E"/>
    <w:multiLevelType w:val="hybridMultilevel"/>
    <w:lvl w:ilvl="0">
      <w:lvlJc w:val="left"/>
      <w:lvlText w:val="•"/>
      <w:numFmt w:val="bullet"/>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
      <w:numFmt w:val="bullet"/>
      <w:start w:val="1"/>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lowerRoman"/>
      <w:start w:val="2"/>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1."/>
      <w:numFmt w:val="decimal"/>
    </w:lvl>
    <w:lvl w:ilvl="1">
      <w:lvlJc w:val="left"/>
      <w:lvlText w:val="1"/>
      <w:numFmt w:val="bullet"/>
      <w:start w:val="1"/>
    </w:lvl>
  </w:abstractNum>
  <w:abstractNum w:abstractNumId="18">
    <w:nsid w:val="3006C83E"/>
    <w:multiLevelType w:val="hybridMultilevel"/>
    <w:lvl w:ilvl="0">
      <w:lvlJc w:val="left"/>
      <w:lvlText w:val="%1."/>
      <w:numFmt w:val="decimal"/>
      <w:start w:val="4"/>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1."/>
      <w:numFmt w:val="decimal"/>
      <w:start w:val="1"/>
    </w:lvl>
  </w:abstractNum>
  <w:abstractNum w:abstractNumId="23">
    <w:nsid w:val="5072367"/>
    <w:multiLevelType w:val="hybridMultilevel"/>
    <w:lvl w:ilvl="0">
      <w:lvlJc w:val="left"/>
      <w:lvlText w:val="%1."/>
      <w:numFmt w:val="decimal"/>
      <w:start w:val="2"/>
    </w:lvl>
  </w:abstractNum>
  <w:abstractNum w:abstractNumId="24">
    <w:nsid w:val="3804823E"/>
    <w:multiLevelType w:val="hybridMultilevel"/>
    <w:lvl w:ilvl="0">
      <w:lvlJc w:val="left"/>
      <w:lvlText w:val="%1."/>
      <w:numFmt w:val="decimal"/>
      <w:start w:val="3"/>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1)"/>
      <w:numFmt w:val="decimal"/>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1)"/>
      <w:numFmt w:val="decimal"/>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1)"/>
      <w:numFmt w:val="decimal"/>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2020-05-07T06:54:39Z</dcterms:created>
  <dcterms:modified xsi:type="dcterms:W3CDTF">2020-05-07T06:54:39Z</dcterms:modified>
</cp:coreProperties>
</file>