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Calibri;sans-serif" w:hAnsi="Calibri;sans-serif"/>
          <w:b/>
          <w:color w:val="51555C"/>
          <w:sz w:val="22"/>
        </w:rPr>
      </w:pPr>
      <w:r>
        <w:rPr>
          <w:rFonts w:ascii="Calibri;sans-serif" w:hAnsi="Calibri;sans-serif"/>
          <w:b/>
          <w:color w:val="51555C"/>
          <w:sz w:val="22"/>
        </w:rPr>
        <w:t>UNITED STATES</w:t>
      </w:r>
    </w:p>
    <w:p>
      <w:pPr>
        <w:pStyle w:val="TextBody"/>
        <w:bidi w:val="0"/>
        <w:spacing w:lineRule="auto" w:line="288" w:before="0" w:after="0"/>
        <w:jc w:val="center"/>
        <w:rPr>
          <w:rFonts w:ascii="Calibri;sans-serif" w:hAnsi="Calibri;sans-serif"/>
          <w:b/>
          <w:color w:val="51555C"/>
          <w:sz w:val="22"/>
        </w:rPr>
      </w:pPr>
      <w:r>
        <w:rPr>
          <w:rFonts w:ascii="Calibri;sans-serif" w:hAnsi="Calibri;sans-serif"/>
          <w:b/>
          <w:color w:val="51555C"/>
          <w:sz w:val="22"/>
        </w:rPr>
        <w:t>SECURITIES AND EXCHANGE COMMISSION</w:t>
      </w:r>
    </w:p>
    <w:p>
      <w:pPr>
        <w:pStyle w:val="TextBody"/>
        <w:bidi w:val="0"/>
        <w:spacing w:lineRule="auto" w:line="288" w:before="180" w:after="283"/>
        <w:jc w:val="center"/>
        <w:rPr>
          <w:rFonts w:ascii="Calibri;sans-serif" w:hAnsi="Calibri;sans-serif"/>
          <w:b w:val="false"/>
          <w:color w:val="51555C"/>
          <w:sz w:val="20"/>
        </w:rPr>
      </w:pPr>
      <w:r>
        <w:rPr>
          <w:rFonts w:ascii="Calibri;sans-serif" w:hAnsi="Calibri;sans-serif"/>
          <w:b w:val="false"/>
          <w:color w:val="51555C"/>
          <w:sz w:val="20"/>
        </w:rPr>
        <w:t>Washington, D.C. 20549</w:t>
      </w:r>
    </w:p>
    <w:p>
      <w:pPr>
        <w:pStyle w:val="TextBody"/>
        <w:bidi w:val="0"/>
        <w:spacing w:lineRule="auto" w:line="288" w:before="120" w:after="120"/>
        <w:jc w:val="center"/>
        <w:rPr>
          <w:rFonts w:ascii="Calibri;sans-serif" w:hAnsi="Calibri;sans-serif"/>
          <w:b/>
          <w:color w:val="51555C"/>
          <w:sz w:val="28"/>
        </w:rPr>
      </w:pPr>
      <w:r>
        <w:rPr>
          <w:rFonts w:ascii="Calibri;sans-serif" w:hAnsi="Calibri;sans-serif"/>
          <w:b/>
          <w:color w:val="51555C"/>
          <w:sz w:val="28"/>
        </w:rPr>
        <w:t>FORM 10-Q</w:t>
      </w:r>
    </w:p>
    <w:tbl>
      <w:tblPr>
        <w:tblW w:w="8172" w:type="dxa"/>
        <w:jc w:val="left"/>
        <w:tblInd w:w="0" w:type="dxa"/>
        <w:tblLayout w:type="fixed"/>
        <w:tblCellMar>
          <w:top w:w="28" w:type="dxa"/>
          <w:left w:w="28" w:type="dxa"/>
          <w:bottom w:w="28" w:type="dxa"/>
          <w:right w:w="28" w:type="dxa"/>
        </w:tblCellMar>
      </w:tblPr>
      <w:tblGrid>
        <w:gridCol w:w="124"/>
        <w:gridCol w:w="109"/>
        <w:gridCol w:w="109"/>
        <w:gridCol w:w="2287"/>
        <w:gridCol w:w="2287"/>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7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For the quarterly period ended September 30, 2023</w:t>
            </w:r>
          </w:p>
        </w:tc>
      </w:tr>
    </w:tbl>
    <w:p>
      <w:pPr>
        <w:pStyle w:val="TextBody"/>
        <w:bidi w:val="0"/>
        <w:spacing w:lineRule="auto" w:line="288" w:before="0" w:after="0"/>
        <w:jc w:val="center"/>
        <w:rPr>
          <w:rFonts w:ascii="Calibri;sans-serif" w:hAnsi="Calibri;sans-serif"/>
          <w:b/>
          <w:color w:val="51555C"/>
          <w:sz w:val="18"/>
        </w:rPr>
      </w:pPr>
      <w:r>
        <w:rPr>
          <w:rFonts w:ascii="Calibri;sans-serif" w:hAnsi="Calibri;sans-serif"/>
          <w:b/>
          <w:color w:val="51555C"/>
          <w:sz w:val="18"/>
        </w:rPr>
        <w:t>or</w:t>
      </w:r>
    </w:p>
    <w:tbl>
      <w:tblPr>
        <w:tblW w:w="8201" w:type="dxa"/>
        <w:jc w:val="left"/>
        <w:tblInd w:w="0" w:type="dxa"/>
        <w:tblLayout w:type="fixed"/>
        <w:tblCellMar>
          <w:top w:w="28" w:type="dxa"/>
          <w:left w:w="28" w:type="dxa"/>
          <w:bottom w:w="28" w:type="dxa"/>
          <w:right w:w="28" w:type="dxa"/>
        </w:tblCellMar>
      </w:tblPr>
      <w:tblGrid>
        <w:gridCol w:w="124"/>
        <w:gridCol w:w="109"/>
        <w:gridCol w:w="109"/>
        <w:gridCol w:w="2297"/>
        <w:gridCol w:w="2297"/>
        <w:gridCol w:w="32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7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8"/>
              </w:rPr>
              <w:t xml:space="preserve">For the transition period from </w:t>
            </w:r>
            <w:r>
              <w:rPr>
                <w:color w:val="51555C"/>
                <w:u w:val="single"/>
              </w:rPr>
              <w:t>                   </w:t>
            </w:r>
            <w:r>
              <w:rPr>
                <w:color w:val="51555C"/>
              </w:rPr>
              <w:t> </w:t>
            </w:r>
            <w:r>
              <w:rPr>
                <w:rFonts w:ascii="Calibri;sans-serif" w:hAnsi="Calibri;sans-serif"/>
                <w:b w:val="false"/>
                <w:color w:val="51555C"/>
                <w:sz w:val="18"/>
              </w:rPr>
              <w:t xml:space="preserve">to </w:t>
            </w:r>
            <w:r>
              <w:rPr>
                <w:color w:val="51555C"/>
                <w:u w:val="single"/>
              </w:rPr>
              <w:t>                    </w:t>
            </w:r>
            <w:r>
              <w:rPr>
                <w:rFonts w:ascii="Calibri;sans-serif" w:hAnsi="Calibri;sans-serif"/>
                <w:b w:val="false"/>
                <w:color w:val="51555C"/>
                <w:sz w:val="18"/>
              </w:rPr>
              <w:t>.</w:t>
            </w:r>
          </w:p>
        </w:tc>
      </w:tr>
    </w:tbl>
    <w:p>
      <w:pPr>
        <w:pStyle w:val="TextBody"/>
        <w:bidi w:val="0"/>
        <w:spacing w:lineRule="auto" w:line="288" w:before="60" w:after="283"/>
        <w:jc w:val="center"/>
        <w:rPr/>
      </w:pPr>
      <w:r>
        <w:rPr>
          <w:rFonts w:ascii="Calibri;sans-serif" w:hAnsi="Calibri;sans-serif"/>
          <w:b w:val="false"/>
          <w:color w:val="51555C"/>
          <w:sz w:val="18"/>
        </w:rPr>
        <w:t xml:space="preserve">Commission file number: </w:t>
      </w:r>
      <w:r>
        <w:rPr>
          <w:rFonts w:ascii="Calibri;sans-serif" w:hAnsi="Calibri;sans-serif"/>
          <w:b/>
          <w:color w:val="51555C"/>
          <w:sz w:val="18"/>
        </w:rPr>
        <w:t>000-50600</w:t>
      </w:r>
      <w:r>
        <w:rPr>
          <w:color w:val="51555C"/>
        </w:rPr>
        <w:t xml:space="preserve"> </w:t>
      </w:r>
    </w:p>
    <w:tbl>
      <w:tblPr>
        <w:tblW w:w="5090" w:type="dxa"/>
        <w:jc w:val="left"/>
        <w:tblInd w:w="0" w:type="dxa"/>
        <w:tblLayout w:type="fixed"/>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Calibri;sans-serif" w:hAnsi="Calibri;sans-serif"/>
          <w:b/>
          <w:color w:val="51555C"/>
          <w:sz w:val="40"/>
        </w:rPr>
        <w:t>Blackbaud, Inc.</w:t>
      </w:r>
      <w:r>
        <w:rPr>
          <w:color w:val="51555C"/>
        </w:rPr>
        <w:t xml:space="preserve"> </w:t>
      </w:r>
    </w:p>
    <w:p>
      <w:pPr>
        <w:pStyle w:val="TextBody"/>
        <w:bidi w:val="0"/>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(Exact name of registrant as specified in its charter)</w:t>
      </w:r>
    </w:p>
    <w:tbl>
      <w:tblPr>
        <w:tblW w:w="7169" w:type="dxa"/>
        <w:jc w:val="left"/>
        <w:tblInd w:w="0" w:type="dxa"/>
        <w:tblLayout w:type="fixed"/>
        <w:tblCellMar>
          <w:top w:w="28" w:type="dxa"/>
          <w:left w:w="28" w:type="dxa"/>
          <w:bottom w:w="28" w:type="dxa"/>
          <w:right w:w="28" w:type="dxa"/>
        </w:tblCellMar>
      </w:tblPr>
      <w:tblGrid>
        <w:gridCol w:w="1620"/>
        <w:gridCol w:w="1428"/>
        <w:gridCol w:w="1436"/>
        <w:gridCol w:w="783"/>
        <w:gridCol w:w="783"/>
        <w:gridCol w:w="1119"/>
      </w:tblGrid>
      <w:tr>
        <w:trPr/>
        <w:tc>
          <w:tcPr>
            <w:tcW w:w="162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Delaware</w:t>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11-2617163</w:t>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(State or other jurisdiction of incorporation or organization)</w:t>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(I.R.S. Employer Identification No.)</w:t>
            </w:r>
          </w:p>
        </w:tc>
      </w:tr>
    </w:tbl>
    <w:p>
      <w:pPr>
        <w:pStyle w:val="TextBody"/>
        <w:bidi w:val="0"/>
        <w:spacing w:lineRule="auto" w:line="288" w:before="0" w:after="0"/>
        <w:jc w:val="center"/>
        <w:rPr>
          <w:rFonts w:ascii="Calibri;sans-serif" w:hAnsi="Calibri;sans-serif"/>
          <w:b/>
          <w:color w:val="51555C"/>
          <w:sz w:val="18"/>
        </w:rPr>
      </w:pPr>
      <w:r>
        <w:rPr>
          <w:rFonts w:ascii="Calibri;sans-serif" w:hAnsi="Calibri;sans-serif"/>
          <w:b/>
          <w:color w:val="51555C"/>
          <w:sz w:val="18"/>
        </w:rPr>
        <w:t xml:space="preserve">65 Fairchild Street </w:t>
      </w:r>
    </w:p>
    <w:p>
      <w:pPr>
        <w:pStyle w:val="TextBody"/>
        <w:bidi w:val="0"/>
        <w:spacing w:lineRule="auto" w:line="288" w:before="0" w:after="0"/>
        <w:jc w:val="center"/>
        <w:rPr>
          <w:rFonts w:ascii="Calibri;sans-serif" w:hAnsi="Calibri;sans-serif"/>
          <w:b/>
          <w:color w:val="51555C"/>
          <w:sz w:val="18"/>
        </w:rPr>
      </w:pPr>
      <w:r>
        <w:rPr>
          <w:rFonts w:ascii="Calibri;sans-serif" w:hAnsi="Calibri;sans-serif"/>
          <w:b/>
          <w:color w:val="51555C"/>
          <w:sz w:val="18"/>
        </w:rPr>
        <w:t xml:space="preserve">Charleston, South Carolina 29492 </w:t>
      </w:r>
    </w:p>
    <w:p>
      <w:pPr>
        <w:pStyle w:val="TextBody"/>
        <w:bidi w:val="0"/>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(Address of principal executive offices, including zip code)</w:t>
      </w:r>
    </w:p>
    <w:p>
      <w:pPr>
        <w:pStyle w:val="TextBody"/>
        <w:bidi w:val="0"/>
        <w:spacing w:lineRule="auto" w:line="288" w:before="0" w:after="0"/>
        <w:jc w:val="center"/>
        <w:rPr/>
      </w:pPr>
      <w:r>
        <w:rPr>
          <w:rFonts w:ascii="Calibri;sans-serif" w:hAnsi="Calibri;sans-serif"/>
          <w:b/>
          <w:color w:val="51555C"/>
          <w:sz w:val="18"/>
        </w:rPr>
        <w:t>(843) 216-6200</w:t>
      </w:r>
      <w:r>
        <w:rPr>
          <w:color w:val="51555C"/>
        </w:rPr>
        <w:t xml:space="preserve"> </w:t>
      </w:r>
    </w:p>
    <w:p>
      <w:pPr>
        <w:pStyle w:val="TextBody"/>
        <w:bidi w:val="0"/>
        <w:spacing w:lineRule="auto" w:line="288" w:before="0" w:after="0"/>
        <w:jc w:val="center"/>
        <w:rPr>
          <w:rFonts w:ascii="Calibri;sans-serif" w:hAnsi="Calibri;sans-serif"/>
          <w:b w:val="false"/>
          <w:color w:val="51555C"/>
          <w:sz w:val="18"/>
        </w:rPr>
      </w:pPr>
      <w:r>
        <w:rPr>
          <w:rFonts w:ascii="Calibri;sans-serif" w:hAnsi="Calibri;sans-serif"/>
          <w:b w:val="false"/>
          <w:color w:val="51555C"/>
          <w:sz w:val="18"/>
        </w:rPr>
        <w:t>(Registrant’s telephone number, including area code)</w:t>
      </w:r>
    </w:p>
    <w:tbl>
      <w:tblPr>
        <w:tblW w:w="7470" w:type="dxa"/>
        <w:jc w:val="left"/>
        <w:tblInd w:w="0" w:type="dxa"/>
        <w:tblLayout w:type="fixed"/>
        <w:tblCellMar>
          <w:top w:w="28" w:type="dxa"/>
          <w:left w:w="28" w:type="dxa"/>
          <w:bottom w:w="28" w:type="dxa"/>
          <w:right w:w="28" w:type="dxa"/>
        </w:tblCellMar>
      </w:tblPr>
      <w:tblGrid>
        <w:gridCol w:w="929"/>
        <w:gridCol w:w="818"/>
        <w:gridCol w:w="818"/>
        <w:gridCol w:w="480"/>
        <w:gridCol w:w="480"/>
        <w:gridCol w:w="480"/>
        <w:gridCol w:w="1016"/>
        <w:gridCol w:w="1016"/>
        <w:gridCol w:w="1433"/>
      </w:tblGrid>
      <w:tr>
        <w:trPr/>
        <w:tc>
          <w:tcPr>
            <w:tcW w:w="9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Securities Registered Pursuant to Section 12(b) of the Act:</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Title of Each Class</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u w:val="single"/>
              </w:rPr>
            </w:pPr>
            <w:r>
              <w:rPr>
                <w:rFonts w:ascii="Calibri;sans-serif" w:hAnsi="Calibri;sans-serif"/>
                <w:b w:val="false"/>
                <w:color w:val="51555C"/>
                <w:sz w:val="18"/>
                <w:u w:val="single"/>
              </w:rPr>
              <w:t>Name of Each Exchange on which Registered</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Common Stock, $0.001 Par Value</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BLKB</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Nasdaq Global Select Market</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Preferred Stock Purchase Rights</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N/A</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18"/>
              </w:rPr>
            </w:pPr>
            <w:r>
              <w:rPr>
                <w:rFonts w:ascii="Calibri;sans-serif" w:hAnsi="Calibri;sans-serif"/>
                <w:b/>
                <w:color w:val="51555C"/>
                <w:sz w:val="18"/>
              </w:rPr>
              <w:t>Nasdaq Global Select Market</w:t>
            </w:r>
          </w:p>
        </w:tc>
      </w:tr>
      <w:tr>
        <w:trPr/>
        <w:tc>
          <w:tcPr>
            <w:tcW w:w="2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jc w:val="both"/>
        <w:rPr/>
      </w:pPr>
      <w:r>
        <w:rPr>
          <w:rFonts w:ascii="Calibri;sans-serif" w:hAnsi="Calibri;sans-serif"/>
          <w:b w:val="false"/>
          <w:color w:val="51555C"/>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51555C"/>
        </w:rPr>
        <w:t xml:space="preserve">    </w:t>
      </w:r>
    </w:p>
    <w:p>
      <w:pPr>
        <w:pStyle w:val="TextBody"/>
        <w:bidi w:val="0"/>
        <w:spacing w:lineRule="auto" w:line="288" w:before="0" w:after="0"/>
        <w:jc w:val="left"/>
        <w:rPr/>
      </w:pPr>
      <w:r>
        <w:rPr>
          <w:rFonts w:ascii="Calibri;sans-serif" w:hAnsi="Calibri;sans-serif"/>
          <w:b w:val="false"/>
          <w:color w:val="51555C"/>
          <w:sz w:val="18"/>
        </w:rPr>
        <w:t>Yes</w:t>
      </w:r>
      <w:r>
        <w:rPr>
          <w:color w:val="51555C"/>
        </w:rPr>
        <w:t>  ☑   </w:t>
      </w:r>
      <w:r>
        <w:rPr>
          <w:rFonts w:ascii="Calibri;sans-serif" w:hAnsi="Calibri;sans-serif"/>
          <w:b w:val="false"/>
          <w:color w:val="51555C"/>
          <w:sz w:val="18"/>
        </w:rPr>
        <w:t>No</w:t>
      </w:r>
      <w:r>
        <w:rPr>
          <w:color w:val="51555C"/>
        </w:rPr>
        <w:t>  ☐</w:t>
      </w:r>
    </w:p>
    <w:p>
      <w:pPr>
        <w:pStyle w:val="TextBody"/>
        <w:bidi w:val="0"/>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288" w:before="0" w:after="0"/>
        <w:jc w:val="left"/>
        <w:rPr/>
      </w:pPr>
      <w:r>
        <w:rPr>
          <w:rFonts w:ascii="Calibri;sans-serif" w:hAnsi="Calibri;sans-serif"/>
          <w:b w:val="false"/>
          <w:color w:val="51555C"/>
          <w:sz w:val="18"/>
        </w:rPr>
        <w:t>Yes</w:t>
      </w:r>
      <w:r>
        <w:rPr>
          <w:color w:val="51555C"/>
        </w:rPr>
        <w:t>  ☑   </w:t>
      </w:r>
      <w:r>
        <w:rPr>
          <w:rFonts w:ascii="Calibri;sans-serif" w:hAnsi="Calibri;sans-serif"/>
          <w:b w:val="false"/>
          <w:color w:val="51555C"/>
          <w:sz w:val="18"/>
        </w:rPr>
        <w:t>No</w:t>
      </w:r>
      <w:r>
        <w:rPr>
          <w:color w:val="51555C"/>
        </w:rPr>
        <w:t>  ☐</w:t>
      </w:r>
    </w:p>
    <w:p>
      <w:pPr>
        <w:pStyle w:val="TextBody"/>
        <w:bidi w:val="0"/>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2" w:type="dxa"/>
        <w:jc w:val="left"/>
        <w:tblInd w:w="0" w:type="dxa"/>
        <w:tblLayout w:type="fixed"/>
        <w:tblCellMar>
          <w:top w:w="28" w:type="dxa"/>
          <w:left w:w="28" w:type="dxa"/>
          <w:bottom w:w="28" w:type="dxa"/>
          <w:right w:w="28" w:type="dxa"/>
        </w:tblCellMar>
      </w:tblPr>
      <w:tblGrid>
        <w:gridCol w:w="635"/>
        <w:gridCol w:w="559"/>
        <w:gridCol w:w="561"/>
        <w:gridCol w:w="109"/>
        <w:gridCol w:w="109"/>
        <w:gridCol w:w="109"/>
        <w:gridCol w:w="109"/>
        <w:gridCol w:w="109"/>
        <w:gridCol w:w="109"/>
        <w:gridCol w:w="699"/>
        <w:gridCol w:w="699"/>
        <w:gridCol w:w="703"/>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bl>
    <w:p>
      <w:pPr>
        <w:pStyle w:val="TextBody"/>
        <w:bidi w:val="0"/>
        <w:spacing w:lineRule="auto" w:line="288" w:before="0" w:after="0"/>
        <w:jc w:val="both"/>
        <w:rPr/>
      </w:pPr>
      <w:r>
        <w:rPr>
          <w:rFonts w:ascii="Calibri;sans-serif" w:hAnsi="Calibri;sans-serif"/>
          <w:b w:val="false"/>
          <w:color w:val="51555C"/>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51555C"/>
        </w:rPr>
        <w:t xml:space="preserve"> ☐</w:t>
      </w:r>
    </w:p>
    <w:p>
      <w:pPr>
        <w:pStyle w:val="TextBody"/>
        <w:bidi w:val="0"/>
        <w:spacing w:lineRule="auto" w:line="288" w:before="120" w:after="283"/>
        <w:jc w:val="both"/>
        <w:rPr/>
      </w:pPr>
      <w:r>
        <w:rPr>
          <w:rFonts w:ascii="Calibri;sans-serif" w:hAnsi="Calibri;sans-serif"/>
          <w:b w:val="false"/>
          <w:color w:val="51555C"/>
          <w:sz w:val="18"/>
        </w:rPr>
        <w:t>Indicate by check mark whether registrant is a shell company (as defined in Rule 12b-2 of the Exchange Act).</w:t>
      </w:r>
      <w:r>
        <w:rPr>
          <w:color w:val="51555C"/>
        </w:rPr>
        <w:t>    </w:t>
      </w:r>
    </w:p>
    <w:p>
      <w:pPr>
        <w:pStyle w:val="TextBody"/>
        <w:bidi w:val="0"/>
        <w:spacing w:lineRule="auto" w:line="288" w:before="0" w:after="0"/>
        <w:jc w:val="left"/>
        <w:rPr/>
      </w:pPr>
      <w:r>
        <w:rPr>
          <w:rFonts w:ascii="Calibri;sans-serif" w:hAnsi="Calibri;sans-serif"/>
          <w:b w:val="false"/>
          <w:color w:val="51555C"/>
          <w:sz w:val="18"/>
        </w:rPr>
        <w:t>Yes</w:t>
      </w:r>
      <w:r>
        <w:rPr>
          <w:color w:val="51555C"/>
        </w:rPr>
        <w:t xml:space="preserve"> ☐  </w:t>
      </w:r>
      <w:r>
        <w:rPr>
          <w:rFonts w:ascii="Calibri;sans-serif" w:hAnsi="Calibri;sans-serif"/>
          <w:b w:val="false"/>
          <w:color w:val="51555C"/>
          <w:sz w:val="18"/>
        </w:rPr>
        <w:t>No</w:t>
      </w:r>
      <w:r>
        <w:rPr>
          <w:color w:val="51555C"/>
        </w:rPr>
        <w:t>  ☑    </w:t>
      </w:r>
    </w:p>
    <w:p>
      <w:pPr>
        <w:pStyle w:val="TextBody"/>
        <w:bidi w:val="0"/>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The number of shares of the registrant’s Common Stock outstanding as of October 30, 2023 was 53,852,615.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Calibri;sans-serif" w:hAnsi="Calibri;sans-serif"/>
          <w:b/>
          <w:color w:val="50535A"/>
          <w:sz w:val="44"/>
        </w:rPr>
      </w:pPr>
      <w:r>
        <w:rPr>
          <w:rFonts w:ascii="Calibri;sans-serif" w:hAnsi="Calibri;sans-serif"/>
          <w:b/>
          <w:color w:val="50535A"/>
          <w:sz w:val="44"/>
        </w:rPr>
        <w:t>TABLE OF CONTENTS</w:t>
      </w:r>
    </w:p>
    <w:tbl>
      <w:tblPr>
        <w:tblW w:w="10205" w:type="dxa"/>
        <w:jc w:val="left"/>
        <w:tblInd w:w="0" w:type="dxa"/>
        <w:tblLayout w:type="fixed"/>
        <w:tblCellMar>
          <w:top w:w="28" w:type="dxa"/>
          <w:left w:w="28" w:type="dxa"/>
          <w:bottom w:w="28" w:type="dxa"/>
          <w:right w:w="28" w:type="dxa"/>
        </w:tblCellMar>
      </w:tblPr>
      <w:tblGrid>
        <w:gridCol w:w="1214"/>
        <w:gridCol w:w="1066"/>
        <w:gridCol w:w="1066"/>
        <w:gridCol w:w="2172"/>
        <w:gridCol w:w="2137"/>
        <w:gridCol w:w="2156"/>
        <w:gridCol w:w="114"/>
        <w:gridCol w:w="114"/>
        <w:gridCol w:w="166"/>
      </w:tblGrid>
      <w:tr>
        <w:trPr/>
        <w:tc>
          <w:tcPr>
            <w:tcW w:w="121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19">
              <w:r>
                <w:rPr>
                  <w:rStyle w:val="InternetLink"/>
                  <w:rFonts w:ascii="Calibri;sans-serif" w:hAnsi="Calibri;sans-serif"/>
                  <w:b/>
                  <w:strike w:val="false"/>
                  <w:dstrike w:val="false"/>
                  <w:color w:val="004054"/>
                  <w:sz w:val="22"/>
                  <w:u w:val="none"/>
                  <w:effect w:val="none"/>
                </w:rPr>
                <w:t>CAUTIONARY STATEMENT REGARDING FORWARD-LOOKING STATEMENTS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19">
              <w:r>
                <w:rPr>
                  <w:rStyle w:val="InternetLink"/>
                  <w:rFonts w:ascii="Calibri;sans-serif" w:hAnsi="Calibri;sans-serif"/>
                  <w:b/>
                  <w:strike w:val="false"/>
                  <w:dstrike w:val="false"/>
                  <w:color w:val="004054"/>
                  <w:sz w:val="22"/>
                  <w:u w:val="none"/>
                  <w:effect w:val="none"/>
                </w:rPr>
                <w:t>2</w:t>
              </w:r>
            </w:hyperlink>
          </w:p>
        </w:tc>
      </w:tr>
      <w:tr>
        <w:trPr/>
        <w:tc>
          <w:tcPr>
            <w:tcW w:w="3346"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6465"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2">
              <w:r>
                <w:rPr>
                  <w:rStyle w:val="InternetLink"/>
                  <w:rFonts w:ascii="Calibri;sans-serif" w:hAnsi="Calibri;sans-serif"/>
                  <w:b/>
                  <w:strike w:val="false"/>
                  <w:dstrike w:val="false"/>
                  <w:color w:val="004054"/>
                  <w:sz w:val="22"/>
                  <w:u w:val="none"/>
                  <w:effect w:val="none"/>
                </w:rPr>
                <w:t>PART I.</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2">
              <w:r>
                <w:rPr>
                  <w:rStyle w:val="InternetLink"/>
                  <w:rFonts w:ascii="Calibri;sans-serif" w:hAnsi="Calibri;sans-serif"/>
                  <w:b/>
                  <w:strike w:val="false"/>
                  <w:dstrike w:val="false"/>
                  <w:color w:val="004054"/>
                  <w:sz w:val="22"/>
                  <w:u w:val="none"/>
                  <w:effect w:val="none"/>
                </w:rPr>
                <w:t>FINANCIAL INFORMATION</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2">
              <w:r>
                <w:rPr>
                  <w:rStyle w:val="InternetLink"/>
                  <w:rFonts w:ascii="Calibri;sans-serif" w:hAnsi="Calibri;sans-serif"/>
                  <w:b/>
                  <w:strike w:val="false"/>
                  <w:dstrike w:val="false"/>
                  <w:color w:val="004054"/>
                  <w:sz w:val="22"/>
                  <w:u w:val="none"/>
                  <w:effect w:val="none"/>
                </w:rPr>
                <w:t>3</w:t>
              </w:r>
            </w:hyperlink>
          </w:p>
        </w:tc>
      </w:tr>
      <w:tr>
        <w:trPr/>
        <w:tc>
          <w:tcPr>
            <w:tcW w:w="334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5">
              <w:r>
                <w:rPr>
                  <w:rStyle w:val="InternetLink"/>
                  <w:rFonts w:ascii="Calibri;sans-serif" w:hAnsi="Calibri;sans-serif"/>
                  <w:b w:val="false"/>
                  <w:strike w:val="false"/>
                  <w:dstrike w:val="false"/>
                  <w:color w:val="51555C"/>
                  <w:sz w:val="20"/>
                  <w:u w:val="none"/>
                  <w:effect w:val="non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5">
              <w:r>
                <w:rPr>
                  <w:rStyle w:val="InternetLink"/>
                  <w:rFonts w:ascii="Calibri;sans-serif" w:hAnsi="Calibri;sans-serif"/>
                  <w:b w:val="false"/>
                  <w:strike w:val="false"/>
                  <w:dstrike w:val="false"/>
                  <w:color w:val="51555C"/>
                  <w:sz w:val="20"/>
                  <w:u w:val="none"/>
                  <w:effect w:val="none"/>
                </w:rPr>
                <w:t>Financial statements</w:t>
              </w:r>
            </w:hyperlink>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8">
              <w:r>
                <w:rPr>
                  <w:rStyle w:val="InternetLink"/>
                  <w:rFonts w:ascii="Calibri;sans-serif" w:hAnsi="Calibri;sans-serif"/>
                  <w:b w:val="false"/>
                  <w:strike w:val="false"/>
                  <w:dstrike w:val="false"/>
                  <w:color w:val="51555C"/>
                  <w:sz w:val="20"/>
                  <w:u w:val="none"/>
                  <w:effect w:val="none"/>
                </w:rPr>
                <w:t>Condensed Consolidated Balance Sheets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28">
              <w:r>
                <w:rPr>
                  <w:rStyle w:val="InternetLink"/>
                  <w:rFonts w:ascii="Calibri;sans-serif" w:hAnsi="Calibri;sans-serif"/>
                  <w:b w:val="false"/>
                  <w:strike w:val="false"/>
                  <w:dstrike w:val="false"/>
                  <w:color w:val="000000"/>
                  <w:sz w:val="20"/>
                  <w:u w:val="none"/>
                  <w:effect w:val="none"/>
                </w:rPr>
                <w:t>3</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31">
              <w:r>
                <w:rPr>
                  <w:rStyle w:val="InternetLink"/>
                  <w:rFonts w:ascii="Calibri;sans-serif" w:hAnsi="Calibri;sans-serif"/>
                  <w:b w:val="false"/>
                  <w:strike w:val="false"/>
                  <w:dstrike w:val="false"/>
                  <w:color w:val="51555C"/>
                  <w:sz w:val="20"/>
                  <w:u w:val="none"/>
                  <w:effect w:val="none"/>
                </w:rPr>
                <w:t xml:space="preserve">Condensed Consolidated Statements of Comprehensive </w:t>
              </w:r>
            </w:hyperlink>
            <w:r>
              <w:rPr>
                <w:rFonts w:ascii="Calibri;sans-serif" w:hAnsi="Calibri;sans-serif"/>
                <w:b w:val="false"/>
                <w:color w:val="51555C"/>
                <w:sz w:val="20"/>
              </w:rPr>
              <w:t>Income (Loss)</w:t>
            </w:r>
            <w:hyperlink w:anchor="i9fc2f01d4d454122a00115b63cf3f9d0_31">
              <w:r>
                <w:rPr>
                  <w:rStyle w:val="InternetLink"/>
                  <w:rFonts w:ascii="Calibri;sans-serif" w:hAnsi="Calibri;sans-serif"/>
                  <w:b w:val="false"/>
                  <w:strike w:val="false"/>
                  <w:dstrike w:val="false"/>
                  <w:color w:val="51555C"/>
                  <w:sz w:val="20"/>
                  <w:u w:val="none"/>
                  <w:effect w:val="none"/>
                </w:rPr>
                <w:t xml:space="preserve">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31">
              <w:r>
                <w:rPr>
                  <w:rStyle w:val="InternetLink"/>
                  <w:rFonts w:ascii="Calibri;sans-serif" w:hAnsi="Calibri;sans-serif"/>
                  <w:b w:val="false"/>
                  <w:strike w:val="false"/>
                  <w:dstrike w:val="false"/>
                  <w:color w:val="000000"/>
                  <w:sz w:val="20"/>
                  <w:u w:val="none"/>
                  <w:effect w:val="none"/>
                </w:rPr>
                <w:t>4</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34">
              <w:r>
                <w:rPr>
                  <w:rStyle w:val="InternetLink"/>
                  <w:rFonts w:ascii="Calibri;sans-serif" w:hAnsi="Calibri;sans-serif"/>
                  <w:b w:val="false"/>
                  <w:strike w:val="false"/>
                  <w:dstrike w:val="false"/>
                  <w:color w:val="51555C"/>
                  <w:sz w:val="20"/>
                  <w:u w:val="none"/>
                  <w:effect w:val="none"/>
                </w:rPr>
                <w:t>Condensed Consolidated Statements of Cash Flows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34">
              <w:r>
                <w:rPr>
                  <w:rStyle w:val="InternetLink"/>
                  <w:rFonts w:ascii="Calibri;sans-serif" w:hAnsi="Calibri;sans-serif"/>
                  <w:b w:val="false"/>
                  <w:strike w:val="false"/>
                  <w:dstrike w:val="false"/>
                  <w:color w:val="000000"/>
                  <w:sz w:val="20"/>
                  <w:u w:val="none"/>
                  <w:effect w:val="none"/>
                </w:rPr>
                <w:t>5</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37">
              <w:r>
                <w:rPr>
                  <w:rStyle w:val="InternetLink"/>
                  <w:rFonts w:ascii="Calibri;sans-serif" w:hAnsi="Calibri;sans-serif"/>
                  <w:b w:val="false"/>
                  <w:strike w:val="false"/>
                  <w:dstrike w:val="false"/>
                  <w:color w:val="51555C"/>
                  <w:sz w:val="20"/>
                  <w:u w:val="none"/>
                  <w:effect w:val="none"/>
                </w:rPr>
                <w:t>Condensed Consolidated Statements of Stockholders’ Equity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37">
              <w:r>
                <w:rPr>
                  <w:rStyle w:val="InternetLink"/>
                  <w:rFonts w:ascii="Calibri;sans-serif" w:hAnsi="Calibri;sans-serif"/>
                  <w:b w:val="false"/>
                  <w:strike w:val="false"/>
                  <w:dstrike w:val="false"/>
                  <w:color w:val="000000"/>
                  <w:sz w:val="20"/>
                  <w:u w:val="none"/>
                  <w:effect w:val="none"/>
                </w:rPr>
                <w:t>6</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40">
              <w:r>
                <w:rPr>
                  <w:rStyle w:val="InternetLink"/>
                  <w:rFonts w:ascii="Calibri;sans-serif" w:hAnsi="Calibri;sans-serif"/>
                  <w:b w:val="false"/>
                  <w:strike w:val="false"/>
                  <w:dstrike w:val="false"/>
                  <w:color w:val="51555C"/>
                  <w:sz w:val="20"/>
                  <w:u w:val="none"/>
                  <w:effect w:val="none"/>
                </w:rPr>
                <w:t>Notes to Condensed Consolidated Financial Statements (Unaudited)</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40">
              <w:r>
                <w:rPr>
                  <w:rStyle w:val="InternetLink"/>
                  <w:rFonts w:ascii="Calibri;sans-serif" w:hAnsi="Calibri;sans-serif"/>
                  <w:b w:val="false"/>
                  <w:strike w:val="false"/>
                  <w:dstrike w:val="false"/>
                  <w:color w:val="000000"/>
                  <w:sz w:val="20"/>
                  <w:u w:val="none"/>
                  <w:effect w:val="none"/>
                </w:rPr>
                <w:t>8</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106">
              <w:r>
                <w:rPr>
                  <w:rStyle w:val="InternetLink"/>
                  <w:rFonts w:ascii="Calibri;sans-serif" w:hAnsi="Calibri;sans-serif"/>
                  <w:b w:val="false"/>
                  <w:strike w:val="false"/>
                  <w:dstrike w:val="false"/>
                  <w:color w:val="51555C"/>
                  <w:sz w:val="20"/>
                  <w:u w:val="none"/>
                  <w:effect w:val="non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106">
              <w:r>
                <w:rPr>
                  <w:rStyle w:val="InternetLink"/>
                  <w:rFonts w:ascii="Calibri;sans-serif" w:hAnsi="Calibri;sans-serif"/>
                  <w:b w:val="false"/>
                  <w:strike w:val="false"/>
                  <w:dstrike w:val="false"/>
                  <w:color w:val="51555C"/>
                  <w:sz w:val="20"/>
                  <w:u w:val="none"/>
                  <w:effect w:val="none"/>
                </w:rPr>
                <w:t>Management's discussion and analysis of financial condition and results of operations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106">
              <w:r>
                <w:rPr>
                  <w:rStyle w:val="InternetLink"/>
                  <w:rFonts w:ascii="Calibri;sans-serif" w:hAnsi="Calibri;sans-serif"/>
                  <w:b w:val="false"/>
                  <w:strike w:val="false"/>
                  <w:dstrike w:val="false"/>
                  <w:color w:val="000000"/>
                  <w:sz w:val="20"/>
                  <w:u w:val="none"/>
                  <w:effect w:val="none"/>
                </w:rPr>
                <w:t>25</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196">
              <w:r>
                <w:rPr>
                  <w:rStyle w:val="InternetLink"/>
                  <w:rFonts w:ascii="Calibri;sans-serif" w:hAnsi="Calibri;sans-serif"/>
                  <w:b w:val="false"/>
                  <w:strike w:val="false"/>
                  <w:dstrike w:val="false"/>
                  <w:color w:val="51555C"/>
                  <w:sz w:val="20"/>
                  <w:u w:val="none"/>
                  <w:effect w:val="none"/>
                </w:rPr>
                <w:t>Item 3.</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196">
              <w:r>
                <w:rPr>
                  <w:rStyle w:val="InternetLink"/>
                  <w:rFonts w:ascii="Calibri;sans-serif" w:hAnsi="Calibri;sans-serif"/>
                  <w:b w:val="false"/>
                  <w:strike w:val="false"/>
                  <w:dstrike w:val="false"/>
                  <w:color w:val="51555C"/>
                  <w:sz w:val="20"/>
                  <w:u w:val="none"/>
                  <w:effect w:val="none"/>
                </w:rPr>
                <w:t>Quantitative and qualitative disclosures about market risk</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196">
              <w:r>
                <w:rPr>
                  <w:rStyle w:val="InternetLink"/>
                  <w:rFonts w:ascii="Calibri;sans-serif" w:hAnsi="Calibri;sans-serif"/>
                  <w:b w:val="false"/>
                  <w:strike w:val="false"/>
                  <w:dstrike w:val="false"/>
                  <w:color w:val="000000"/>
                  <w:sz w:val="20"/>
                  <w:u w:val="none"/>
                  <w:effect w:val="none"/>
                </w:rPr>
                <w:t>48</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199">
              <w:r>
                <w:rPr>
                  <w:rStyle w:val="InternetLink"/>
                  <w:rFonts w:ascii="Calibri;sans-serif" w:hAnsi="Calibri;sans-serif"/>
                  <w:b w:val="false"/>
                  <w:strike w:val="false"/>
                  <w:dstrike w:val="false"/>
                  <w:color w:val="51555C"/>
                  <w:sz w:val="20"/>
                  <w:u w:val="none"/>
                  <w:effect w:val="none"/>
                </w:rPr>
                <w:t>Item 4.</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199">
              <w:r>
                <w:rPr>
                  <w:rStyle w:val="InternetLink"/>
                  <w:rFonts w:ascii="Calibri;sans-serif" w:hAnsi="Calibri;sans-serif"/>
                  <w:b w:val="false"/>
                  <w:strike w:val="false"/>
                  <w:dstrike w:val="false"/>
                  <w:color w:val="51555C"/>
                  <w:sz w:val="20"/>
                  <w:u w:val="none"/>
                  <w:effect w:val="none"/>
                </w:rPr>
                <w:t>Controls and procedures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199">
              <w:r>
                <w:rPr>
                  <w:rStyle w:val="InternetLink"/>
                  <w:rFonts w:ascii="Calibri;sans-serif" w:hAnsi="Calibri;sans-serif"/>
                  <w:b w:val="false"/>
                  <w:strike w:val="false"/>
                  <w:dstrike w:val="false"/>
                  <w:color w:val="000000"/>
                  <w:sz w:val="20"/>
                  <w:u w:val="none"/>
                  <w:effect w:val="none"/>
                </w:rPr>
                <w:t>48</w:t>
              </w:r>
            </w:hyperlink>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02">
              <w:r>
                <w:rPr>
                  <w:rStyle w:val="InternetLink"/>
                  <w:rFonts w:ascii="Calibri;sans-serif" w:hAnsi="Calibri;sans-serif"/>
                  <w:b/>
                  <w:strike w:val="false"/>
                  <w:dstrike w:val="false"/>
                  <w:color w:val="004054"/>
                  <w:sz w:val="22"/>
                  <w:u w:val="none"/>
                  <w:effect w:val="none"/>
                </w:rPr>
                <w:t>PART II.</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02">
              <w:r>
                <w:rPr>
                  <w:rStyle w:val="InternetLink"/>
                  <w:rFonts w:ascii="Calibri;sans-serif" w:hAnsi="Calibri;sans-serif"/>
                  <w:b/>
                  <w:strike w:val="false"/>
                  <w:dstrike w:val="false"/>
                  <w:color w:val="004054"/>
                  <w:sz w:val="22"/>
                  <w:u w:val="none"/>
                  <w:effect w:val="none"/>
                </w:rPr>
                <w:t>OTHER INFORMATION</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02">
              <w:r>
                <w:rPr>
                  <w:rStyle w:val="InternetLink"/>
                  <w:rFonts w:ascii="Calibri;sans-serif" w:hAnsi="Calibri;sans-serif"/>
                  <w:b/>
                  <w:strike w:val="false"/>
                  <w:dstrike w:val="false"/>
                  <w:color w:val="004054"/>
                  <w:sz w:val="22"/>
                  <w:u w:val="none"/>
                  <w:effect w:val="none"/>
                </w:rPr>
                <w:t>50</w:t>
              </w:r>
            </w:hyperlink>
          </w:p>
        </w:tc>
      </w:tr>
      <w:tr>
        <w:trPr/>
        <w:tc>
          <w:tcPr>
            <w:tcW w:w="334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05">
              <w:r>
                <w:rPr>
                  <w:rStyle w:val="InternetLink"/>
                  <w:rFonts w:ascii="Calibri;sans-serif" w:hAnsi="Calibri;sans-serif"/>
                  <w:b w:val="false"/>
                  <w:strike w:val="false"/>
                  <w:dstrike w:val="false"/>
                  <w:color w:val="51555C"/>
                  <w:sz w:val="20"/>
                  <w:u w:val="none"/>
                  <w:effect w:val="non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05">
              <w:r>
                <w:rPr>
                  <w:rStyle w:val="InternetLink"/>
                  <w:rFonts w:ascii="Calibri;sans-serif" w:hAnsi="Calibri;sans-serif"/>
                  <w:b w:val="false"/>
                  <w:strike w:val="false"/>
                  <w:dstrike w:val="false"/>
                  <w:color w:val="51555C"/>
                  <w:sz w:val="20"/>
                  <w:u w:val="none"/>
                  <w:effect w:val="none"/>
                </w:rPr>
                <w:t>Legal proceedings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205">
              <w:r>
                <w:rPr>
                  <w:rStyle w:val="InternetLink"/>
                  <w:rFonts w:ascii="Calibri;sans-serif" w:hAnsi="Calibri;sans-serif"/>
                  <w:b w:val="false"/>
                  <w:strike w:val="false"/>
                  <w:dstrike w:val="false"/>
                  <w:color w:val="000000"/>
                  <w:sz w:val="20"/>
                  <w:u w:val="none"/>
                  <w:effect w:val="none"/>
                </w:rPr>
                <w:t>50</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08">
              <w:r>
                <w:rPr>
                  <w:rStyle w:val="InternetLink"/>
                  <w:rFonts w:ascii="Calibri;sans-serif" w:hAnsi="Calibri;sans-serif"/>
                  <w:b w:val="false"/>
                  <w:strike w:val="false"/>
                  <w:dstrike w:val="false"/>
                  <w:color w:val="51555C"/>
                  <w:sz w:val="20"/>
                  <w:u w:val="none"/>
                  <w:effect w:val="none"/>
                </w:rPr>
                <w:t>Item 1A.</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08">
              <w:r>
                <w:rPr>
                  <w:rStyle w:val="InternetLink"/>
                  <w:rFonts w:ascii="Calibri;sans-serif" w:hAnsi="Calibri;sans-serif"/>
                  <w:b w:val="false"/>
                  <w:strike w:val="false"/>
                  <w:dstrike w:val="false"/>
                  <w:color w:val="51555C"/>
                  <w:sz w:val="20"/>
                  <w:u w:val="none"/>
                  <w:effect w:val="none"/>
                </w:rPr>
                <w:t>Risk factors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208">
              <w:r>
                <w:rPr>
                  <w:rStyle w:val="InternetLink"/>
                  <w:rFonts w:ascii="Calibri;sans-serif" w:hAnsi="Calibri;sans-serif"/>
                  <w:b w:val="false"/>
                  <w:strike w:val="false"/>
                  <w:dstrike w:val="false"/>
                  <w:color w:val="000000"/>
                  <w:sz w:val="20"/>
                  <w:u w:val="none"/>
                  <w:effect w:val="none"/>
                </w:rPr>
                <w:t>50</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11">
              <w:r>
                <w:rPr>
                  <w:rStyle w:val="InternetLink"/>
                  <w:rFonts w:ascii="Calibri;sans-serif" w:hAnsi="Calibri;sans-serif"/>
                  <w:b w:val="false"/>
                  <w:strike w:val="false"/>
                  <w:dstrike w:val="false"/>
                  <w:color w:val="51555C"/>
                  <w:sz w:val="20"/>
                  <w:u w:val="none"/>
                  <w:effect w:val="non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11">
              <w:r>
                <w:rPr>
                  <w:rStyle w:val="InternetLink"/>
                  <w:rFonts w:ascii="Calibri;sans-serif" w:hAnsi="Calibri;sans-serif"/>
                  <w:b w:val="false"/>
                  <w:strike w:val="false"/>
                  <w:dstrike w:val="false"/>
                  <w:color w:val="51555C"/>
                  <w:sz w:val="20"/>
                  <w:u w:val="none"/>
                  <w:effect w:val="none"/>
                </w:rPr>
                <w:t>Unregistered sales of equity securities and use of proceeds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211">
              <w:r>
                <w:rPr>
                  <w:rStyle w:val="InternetLink"/>
                  <w:rFonts w:ascii="Calibri;sans-serif" w:hAnsi="Calibri;sans-serif"/>
                  <w:b w:val="false"/>
                  <w:strike w:val="false"/>
                  <w:dstrike w:val="false"/>
                  <w:color w:val="000000"/>
                  <w:sz w:val="20"/>
                  <w:u w:val="none"/>
                  <w:effect w:val="none"/>
                </w:rPr>
                <w:t>54</w:t>
              </w:r>
            </w:hyperlink>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214">
              <w:r>
                <w:rPr>
                  <w:rStyle w:val="InternetLink"/>
                  <w:rFonts w:ascii="Calibri;sans-serif" w:hAnsi="Calibri;sans-serif"/>
                  <w:b w:val="false"/>
                  <w:strike w:val="false"/>
                  <w:dstrike w:val="false"/>
                  <w:color w:val="51555C"/>
                  <w:sz w:val="20"/>
                  <w:u w:val="none"/>
                  <w:effect w:val="none"/>
                </w:rPr>
                <w:t>Item 5.</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214">
              <w:r>
                <w:rPr>
                  <w:rStyle w:val="InternetLink"/>
                  <w:rFonts w:ascii="Calibri;sans-serif" w:hAnsi="Calibri;sans-serif"/>
                  <w:b w:val="false"/>
                  <w:strike w:val="false"/>
                  <w:dstrike w:val="false"/>
                  <w:color w:val="51555C"/>
                  <w:sz w:val="20"/>
                  <w:u w:val="none"/>
                  <w:effect w:val="none"/>
                </w:rPr>
                <w:t>Other information</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214">
              <w:r>
                <w:rPr>
                  <w:rStyle w:val="InternetLink"/>
                  <w:rFonts w:ascii="Calibri;sans-serif" w:hAnsi="Calibri;sans-serif"/>
                  <w:b w:val="false"/>
                  <w:strike w:val="false"/>
                  <w:dstrike w:val="false"/>
                  <w:color w:val="000000"/>
                  <w:sz w:val="20"/>
                  <w:u w:val="none"/>
                  <w:effect w:val="none"/>
                </w:rPr>
                <w:t>54</w:t>
              </w:r>
            </w:hyperlink>
          </w:p>
        </w:tc>
      </w:tr>
      <w:tr>
        <w:trPr/>
        <w:tc>
          <w:tcPr>
            <w:tcW w:w="3346" w:type="dxa"/>
            <w:gridSpan w:val="3"/>
            <w:tcBorders/>
            <w:vAlign w:val="center"/>
          </w:tcPr>
          <w:p>
            <w:pPr>
              <w:pStyle w:val="TableContents"/>
              <w:bidi w:val="0"/>
              <w:spacing w:before="0" w:after="283"/>
              <w:jc w:val="left"/>
              <w:rPr>
                <w:sz w:val="4"/>
                <w:szCs w:val="4"/>
              </w:rPr>
            </w:pPr>
            <w:r>
              <w:rPr>
                <w:sz w:val="4"/>
                <w:szCs w:val="4"/>
              </w:rPr>
            </w:r>
          </w:p>
        </w:tc>
        <w:tc>
          <w:tcPr>
            <w:tcW w:w="6465" w:type="dxa"/>
            <w:gridSpan w:val="3"/>
            <w:tcBorders/>
            <w:vAlign w:val="center"/>
          </w:tcPr>
          <w:p>
            <w:pPr>
              <w:pStyle w:val="TableContents"/>
              <w:bidi w:val="0"/>
              <w:spacing w:before="0" w:after="283"/>
              <w:jc w:val="left"/>
              <w:rPr>
                <w:sz w:val="4"/>
                <w:szCs w:val="4"/>
              </w:rPr>
            </w:pPr>
            <w:r>
              <w:rPr>
                <w:sz w:val="4"/>
                <w:szCs w:val="4"/>
              </w:rPr>
            </w:r>
          </w:p>
        </w:tc>
        <w:tc>
          <w:tcPr>
            <w:tcW w:w="394" w:type="dxa"/>
            <w:gridSpan w:val="3"/>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20">
              <w:r>
                <w:rPr>
                  <w:rStyle w:val="InternetLink"/>
                  <w:rFonts w:ascii="Calibri;sans-serif" w:hAnsi="Calibri;sans-serif"/>
                  <w:b w:val="false"/>
                  <w:strike w:val="false"/>
                  <w:dstrike w:val="false"/>
                  <w:color w:val="51555C"/>
                  <w:sz w:val="20"/>
                  <w:u w:val="none"/>
                  <w:effect w:val="none"/>
                </w:rPr>
                <w:t>Item 6.</w:t>
              </w:r>
            </w:hyperlink>
          </w:p>
        </w:tc>
        <w:tc>
          <w:tcPr>
            <w:tcW w:w="64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fc2f01d4d454122a00115b63cf3f9d0_220">
              <w:r>
                <w:rPr>
                  <w:rStyle w:val="InternetLink"/>
                  <w:rFonts w:ascii="Calibri;sans-serif" w:hAnsi="Calibri;sans-serif"/>
                  <w:b w:val="false"/>
                  <w:strike w:val="false"/>
                  <w:dstrike w:val="false"/>
                  <w:color w:val="51555C"/>
                  <w:sz w:val="20"/>
                  <w:u w:val="none"/>
                  <w:effect w:val="none"/>
                </w:rPr>
                <w:t>Exhibits</w:t>
              </w:r>
            </w:hyperlink>
          </w:p>
        </w:tc>
        <w:tc>
          <w:tcPr>
            <w:tcW w:w="394"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9fc2f01d4d454122a00115b63cf3f9d0_220">
              <w:r>
                <w:rPr>
                  <w:rStyle w:val="InternetLink"/>
                  <w:rFonts w:ascii="Calibri;sans-serif" w:hAnsi="Calibri;sans-serif"/>
                  <w:b w:val="false"/>
                  <w:strike w:val="false"/>
                  <w:dstrike w:val="false"/>
                  <w:color w:val="000000"/>
                  <w:sz w:val="20"/>
                  <w:u w:val="none"/>
                  <w:effect w:val="none"/>
                </w:rPr>
                <w:t>55</w:t>
              </w:r>
            </w:hyperlink>
          </w:p>
        </w:tc>
      </w:tr>
      <w:tr>
        <w:trPr/>
        <w:tc>
          <w:tcPr>
            <w:tcW w:w="9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9fc2f01d4d454122a00115b63cf3f9d0_223">
              <w:r>
                <w:rPr>
                  <w:rStyle w:val="InternetLink"/>
                  <w:rFonts w:ascii="Calibri;sans-serif" w:hAnsi="Calibri;sans-serif"/>
                  <w:b/>
                  <w:strike w:val="false"/>
                  <w:dstrike w:val="false"/>
                  <w:color w:val="004054"/>
                  <w:sz w:val="22"/>
                  <w:u w:val="none"/>
                  <w:effect w:val="none"/>
                </w:rPr>
                <w:t>SIGNATURES</w:t>
              </w:r>
            </w:hyperlink>
          </w:p>
        </w:tc>
        <w:tc>
          <w:tcPr>
            <w:tcW w:w="39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9fc2f01d4d454122a00115b63cf3f9d0_223">
              <w:r>
                <w:rPr>
                  <w:rStyle w:val="InternetLink"/>
                  <w:rFonts w:ascii="Calibri;sans-serif" w:hAnsi="Calibri;sans-serif"/>
                  <w:b/>
                  <w:strike w:val="false"/>
                  <w:dstrike w:val="false"/>
                  <w:color w:val="004054"/>
                  <w:sz w:val="22"/>
                  <w:u w:val="none"/>
                  <w:effect w:val="none"/>
                </w:rPr>
                <w:t>56</w:t>
              </w:r>
            </w:hyperlink>
          </w:p>
        </w:tc>
      </w:tr>
    </w:tbl>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91540"/>
                <wp:effectExtent l="0" t="0" r="0" b="0"/>
                <wp:wrapNone/>
                <wp:docPr id="3" name="Frame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818" w:type="dxa"/>
                              <w:jc w:val="center"/>
                              <w:tblInd w:w="0" w:type="dxa"/>
                              <w:tblLayout w:type="fixed"/>
                              <w:tblCellMar>
                                <w:top w:w="28" w:type="dxa"/>
                                <w:left w:w="28" w:type="dxa"/>
                                <w:bottom w:w="28" w:type="dxa"/>
                                <w:right w:w="28" w:type="dxa"/>
                              </w:tblCellMar>
                            </w:tblPr>
                            <w:tblGrid>
                              <w:gridCol w:w="788"/>
                              <w:gridCol w:w="690"/>
                              <w:gridCol w:w="697"/>
                              <w:gridCol w:w="423"/>
                              <w:gridCol w:w="423"/>
                              <w:gridCol w:w="42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818" w:type="dxa"/>
                        <w:jc w:val="center"/>
                        <w:tblInd w:w="0" w:type="dxa"/>
                        <w:tblLayout w:type="fixed"/>
                        <w:tblCellMar>
                          <w:top w:w="28" w:type="dxa"/>
                          <w:left w:w="28" w:type="dxa"/>
                          <w:bottom w:w="28" w:type="dxa"/>
                          <w:right w:w="28" w:type="dxa"/>
                        </w:tblCellMar>
                      </w:tblPr>
                      <w:tblGrid>
                        <w:gridCol w:w="788"/>
                        <w:gridCol w:w="690"/>
                        <w:gridCol w:w="697"/>
                        <w:gridCol w:w="423"/>
                        <w:gridCol w:w="423"/>
                        <w:gridCol w:w="42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3"/>
        <w:gridCol w:w="173"/>
        <w:gridCol w:w="175"/>
        <w:gridCol w:w="2735"/>
        <w:gridCol w:w="2735"/>
        <w:gridCol w:w="3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p>
        </w:tc>
        <w:tc>
          <w:tcPr>
            <w:tcW w:w="9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0535A"/>
                <w:sz w:val="44"/>
              </w:rPr>
            </w:pPr>
            <w:r>
              <w:rPr>
                <w:rFonts w:ascii="Calibri;sans-serif" w:hAnsi="Calibri;sans-serif"/>
                <w:b/>
                <w:color w:val="50535A"/>
                <w:sz w:val="44"/>
              </w:rPr>
              <w:t>CAUTIONARY STATEMENT REGARDING FORWARD-LOOKING STATEMENTS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2022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91540"/>
                <wp:effectExtent l="0" t="0" r="0" b="0"/>
                <wp:wrapNone/>
                <wp:docPr id="7" name="Frame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818"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752475"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818"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752475"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7163"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1845"/>
        <w:gridCol w:w="1845"/>
        <w:gridCol w:w="2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276225" cy="276225"/>
                          </a:xfrm>
                          <a:prstGeom prst="rect">
                            <a:avLst/>
                          </a:prstGeom>
                        </pic:spPr>
                      </pic:pic>
                    </a:graphicData>
                  </a:graphic>
                </wp:inline>
              </w:drawing>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0535A"/>
                <w:sz w:val="44"/>
              </w:rPr>
            </w:pPr>
            <w:r>
              <w:rPr>
                <w:rFonts w:ascii="Calibri;sans-serif" w:hAnsi="Calibri;sans-serif"/>
                <w:b/>
                <w:color w:val="50535A"/>
                <w:sz w:val="44"/>
              </w:rPr>
              <w:t>PART I.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01"/>
        <w:gridCol w:w="2322"/>
        <w:gridCol w:w="2339"/>
        <w:gridCol w:w="223"/>
        <w:gridCol w:w="996"/>
        <w:gridCol w:w="124"/>
        <w:gridCol w:w="223"/>
        <w:gridCol w:w="996"/>
        <w:gridCol w:w="181"/>
      </w:tblGrid>
      <w:tr>
        <w:trPr/>
        <w:tc>
          <w:tcPr>
            <w:tcW w:w="280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51555C"/>
                <w:sz w:val="20"/>
              </w:rPr>
            </w:pPr>
            <w:r>
              <w:rPr>
                <w:rFonts w:ascii="Calibri;sans-serif" w:hAnsi="Calibri;sans-serif"/>
                <w:b/>
                <w:color w:val="51555C"/>
                <w:sz w:val="20"/>
              </w:rPr>
              <w:t>Blackbaud, Inc.</w:t>
              <w:br/>
              <w:t>Condensed Consolidated Balance Sheets</w:t>
              <w:br/>
              <w:t>(Unaudited)</w:t>
            </w:r>
          </w:p>
        </w:tc>
      </w:tr>
      <w:tr>
        <w:trPr/>
        <w:tc>
          <w:tcPr>
            <w:tcW w:w="746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 except per share amounts)</w:t>
            </w:r>
          </w:p>
        </w:tc>
        <w:tc>
          <w:tcPr>
            <w:tcW w:w="134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40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746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Assets</w:t>
            </w:r>
          </w:p>
        </w:tc>
        <w:tc>
          <w:tcPr>
            <w:tcW w:w="134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Current assets:</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Cash and cash equivalents</w:t>
            </w:r>
          </w:p>
        </w:tc>
        <w:tc>
          <w:tcPr>
            <w:tcW w:w="22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9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31,091 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9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31,691 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cash</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359,596 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702,240 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Accounts receivable, net of allowance of $7,689 and $7,318 at September 30, 2023 and December 31, 2022, respectively</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102,755 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102,809 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Customer funds receivable</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Prepaid expenses and other current assets</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82,407 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81,654 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current assets</w:t>
            </w:r>
          </w:p>
        </w:tc>
        <w:tc>
          <w:tcPr>
            <w:tcW w:w="121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579,406 </w:t>
            </w:r>
          </w:p>
        </w:tc>
        <w:tc>
          <w:tcPr>
            <w:tcW w:w="12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918,643 </w:t>
            </w:r>
          </w:p>
        </w:tc>
        <w:tc>
          <w:tcPr>
            <w:tcW w:w="18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Property and equipment, net</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100,575 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107,426 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Operating lease right-of-use assets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38,374 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45,899 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Software and content development costs, net</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155,937 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141,023 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Goodwill</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1,051,163 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1,050,272 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Intangible assets, net</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594,169 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635,136 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assets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83,654 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94,304 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assets</w:t>
            </w:r>
          </w:p>
        </w:tc>
        <w:tc>
          <w:tcPr>
            <w:tcW w:w="22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2,603,278 </w:t>
            </w:r>
          </w:p>
        </w:tc>
        <w:tc>
          <w:tcPr>
            <w:tcW w:w="12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2,992,703 </w:t>
            </w:r>
          </w:p>
        </w:tc>
        <w:tc>
          <w:tcPr>
            <w:tcW w:w="18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Liabilities and stockholders’ equity</w:t>
            </w:r>
          </w:p>
        </w:tc>
        <w:tc>
          <w:tcPr>
            <w:tcW w:w="134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Current liabilities:</w:t>
            </w:r>
          </w:p>
        </w:tc>
        <w:tc>
          <w:tcPr>
            <w:tcW w:w="13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Trade accounts payable</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39,357 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42,559 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Accrued expenses and other current liabilities</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101,379 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86,002 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Due to customers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361,837 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700,860 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Debt, current portion</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19,217 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18,802 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 current portion</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415,810 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382,419 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current liabilities</w:t>
            </w:r>
          </w:p>
        </w:tc>
        <w:tc>
          <w:tcPr>
            <w:tcW w:w="121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937,600 </w:t>
            </w:r>
          </w:p>
        </w:tc>
        <w:tc>
          <w:tcPr>
            <w:tcW w:w="12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1,230,642 </w:t>
            </w:r>
          </w:p>
        </w:tc>
        <w:tc>
          <w:tcPr>
            <w:tcW w:w="18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Debt, net of current portion</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723,376 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840,241 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tax liability</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94,322 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125,759 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 net of current portion</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2,817 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Operating lease liabilities, net of current portion</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41,811 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44,918 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liabilities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liabilities</w:t>
            </w:r>
          </w:p>
        </w:tc>
        <w:tc>
          <w:tcPr>
            <w:tcW w:w="121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1,803,107 </w:t>
            </w:r>
          </w:p>
        </w:tc>
        <w:tc>
          <w:tcPr>
            <w:tcW w:w="12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2,248,671 </w:t>
            </w:r>
          </w:p>
        </w:tc>
        <w:tc>
          <w:tcPr>
            <w:tcW w:w="18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Commitments and contingencies (see Note 8)</w:t>
            </w:r>
          </w:p>
        </w:tc>
        <w:tc>
          <w:tcPr>
            <w:tcW w:w="134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Stockholders’ equity:</w:t>
            </w:r>
          </w:p>
        </w:tc>
        <w:tc>
          <w:tcPr>
            <w:tcW w:w="13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Preferred stock; 20,000,000 shares authorized, none outstanding</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Common stock, $0.001 par value; 180,000,000 shares authorized, 69,187,767 and 67,814,044 shares issued at September 30, 2023 and December 31, 2022, respectively</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Additional paid-in capital</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1,170,919 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1,075,264 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Treasury stock, at cost; 15,337,077 and 14,745,230 shares at September 30, 2023 and December 31, 2022, respectively</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(572,428)</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(537,287)</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Accumulated other comprehensive income</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8,141 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8,938 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Retained earnings</w:t>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193,470 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197,049 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stockholders’ equity</w:t>
            </w:r>
          </w:p>
        </w:tc>
        <w:tc>
          <w:tcPr>
            <w:tcW w:w="121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800,171 </w:t>
            </w:r>
          </w:p>
        </w:tc>
        <w:tc>
          <w:tcPr>
            <w:tcW w:w="12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744,032 </w:t>
            </w:r>
          </w:p>
        </w:tc>
        <w:tc>
          <w:tcPr>
            <w:tcW w:w="18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liabilities and stockholders’ equity</w:t>
            </w:r>
          </w:p>
        </w:tc>
        <w:tc>
          <w:tcPr>
            <w:tcW w:w="22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2,603,278 </w:t>
            </w:r>
          </w:p>
        </w:tc>
        <w:tc>
          <w:tcPr>
            <w:tcW w:w="12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9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2,992,703 </w:t>
            </w:r>
          </w:p>
        </w:tc>
        <w:tc>
          <w:tcPr>
            <w:tcW w:w="18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2"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91540"/>
                <wp:effectExtent l="0" t="0" r="0" b="0"/>
                <wp:wrapNone/>
                <wp:docPr id="11" name="Frame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818" w:type="dxa"/>
                              <w:jc w:val="center"/>
                              <w:tblInd w:w="0" w:type="dxa"/>
                              <w:tblLayout w:type="fixed"/>
                              <w:tblCellMar>
                                <w:top w:w="28" w:type="dxa"/>
                                <w:left w:w="28" w:type="dxa"/>
                                <w:bottom w:w="28" w:type="dxa"/>
                                <w:right w:w="28" w:type="dxa"/>
                              </w:tblCellMar>
                            </w:tblPr>
                            <w:tblGrid>
                              <w:gridCol w:w="788"/>
                              <w:gridCol w:w="690"/>
                              <w:gridCol w:w="697"/>
                              <w:gridCol w:w="423"/>
                              <w:gridCol w:w="423"/>
                              <w:gridCol w:w="42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818" w:type="dxa"/>
                        <w:jc w:val="center"/>
                        <w:tblInd w:w="0" w:type="dxa"/>
                        <w:tblLayout w:type="fixed"/>
                        <w:tblCellMar>
                          <w:top w:w="28" w:type="dxa"/>
                          <w:left w:w="28" w:type="dxa"/>
                          <w:bottom w:w="28" w:type="dxa"/>
                          <w:right w:w="28" w:type="dxa"/>
                        </w:tblCellMar>
                      </w:tblPr>
                      <w:tblGrid>
                        <w:gridCol w:w="788"/>
                        <w:gridCol w:w="690"/>
                        <w:gridCol w:w="697"/>
                        <w:gridCol w:w="423"/>
                        <w:gridCol w:w="423"/>
                        <w:gridCol w:w="42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0"/>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center"/>
        <w:rPr/>
      </w:pPr>
      <w:r>
        <w:rPr/>
      </w:r>
    </w:p>
    <w:p>
      <w:pPr>
        <w:pStyle w:val="TextBody"/>
        <w:bidi w:val="0"/>
        <w:spacing w:before="180" w:after="283"/>
        <w:jc w:val="center"/>
        <w:rPr/>
      </w:pPr>
      <w:r>
        <w:rPr/>
      </w:r>
    </w:p>
    <w:tbl>
      <w:tblPr>
        <w:tblW w:w="9903" w:type="dxa"/>
        <w:jc w:val="center"/>
        <w:tblInd w:w="0" w:type="dxa"/>
        <w:tblLayout w:type="fixed"/>
        <w:tblCellMar>
          <w:top w:w="28" w:type="dxa"/>
          <w:left w:w="28" w:type="dxa"/>
          <w:bottom w:w="28" w:type="dxa"/>
          <w:right w:w="28" w:type="dxa"/>
        </w:tblCellMar>
      </w:tblPr>
      <w:tblGrid>
        <w:gridCol w:w="1606"/>
        <w:gridCol w:w="1412"/>
        <w:gridCol w:w="1422"/>
        <w:gridCol w:w="236"/>
        <w:gridCol w:w="887"/>
        <w:gridCol w:w="131"/>
        <w:gridCol w:w="236"/>
        <w:gridCol w:w="887"/>
        <w:gridCol w:w="131"/>
        <w:gridCol w:w="131"/>
        <w:gridCol w:w="131"/>
        <w:gridCol w:w="131"/>
        <w:gridCol w:w="236"/>
        <w:gridCol w:w="887"/>
        <w:gridCol w:w="131"/>
        <w:gridCol w:w="236"/>
        <w:gridCol w:w="887"/>
        <w:gridCol w:w="185"/>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9903" w:type="dxa"/>
            <w:gridSpan w:val="18"/>
            <w:tcBorders>
              <w:bottom w:val="single" w:sz="8" w:space="0" w:color="004054"/>
            </w:tcBorders>
            <w:tcMar>
              <w:top w:w="0" w:type="dxa"/>
              <w:left w:w="0" w:type="dxa"/>
              <w:bottom w:w="30" w:type="dxa"/>
              <w:right w:w="0" w:type="dxa"/>
            </w:tcMar>
            <w:vAlign w:val="center"/>
          </w:tcPr>
          <w:p>
            <w:pPr>
              <w:pStyle w:val="TableContents"/>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ableContents"/>
              <w:bidi w:val="0"/>
              <w:spacing w:lineRule="auto" w:line="288" w:before="0" w:after="0"/>
              <w:jc w:val="center"/>
              <w:rPr>
                <w:rFonts w:ascii="Calibri;sans-serif" w:hAnsi="Calibri;sans-serif"/>
                <w:b/>
                <w:color w:val="51555C"/>
                <w:sz w:val="20"/>
              </w:rPr>
            </w:pPr>
            <w:r>
              <w:rPr>
                <w:rFonts w:ascii="Calibri;sans-serif" w:hAnsi="Calibri;sans-serif"/>
                <w:b/>
                <w:color w:val="51555C"/>
                <w:sz w:val="20"/>
              </w:rPr>
              <w:t>Condensed Consolidated Statements of Comprehensive Income (Loss)</w:t>
            </w:r>
          </w:p>
          <w:p>
            <w:pPr>
              <w:pStyle w:val="TableContents"/>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c>
      </w:tr>
      <w:tr>
        <w:trPr/>
        <w:tc>
          <w:tcPr>
            <w:tcW w:w="444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Three months ended</w:t>
              <w:br/>
              <w:t>September 30,</w:t>
            </w:r>
          </w:p>
        </w:tc>
        <w:tc>
          <w:tcPr>
            <w:tcW w:w="393"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Nine months ended</w:t>
              <w:br/>
              <w:t>September 30,</w:t>
            </w:r>
          </w:p>
        </w:tc>
      </w:tr>
      <w:tr>
        <w:trPr/>
        <w:tc>
          <w:tcPr>
            <w:tcW w:w="44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 except per share amounts)</w:t>
            </w:r>
          </w:p>
        </w:tc>
        <w:tc>
          <w:tcPr>
            <w:tcW w:w="125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2023</w:t>
            </w:r>
          </w:p>
        </w:tc>
        <w:tc>
          <w:tcPr>
            <w:tcW w:w="125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2022</w:t>
            </w:r>
          </w:p>
        </w:tc>
        <w:tc>
          <w:tcPr>
            <w:tcW w:w="393"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2023</w:t>
            </w:r>
          </w:p>
        </w:tc>
        <w:tc>
          <w:tcPr>
            <w:tcW w:w="130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2022</w:t>
            </w:r>
          </w:p>
        </w:tc>
      </w:tr>
      <w:tr>
        <w:trPr/>
        <w:tc>
          <w:tcPr>
            <w:tcW w:w="44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Revenue</w:t>
            </w:r>
          </w:p>
        </w:tc>
        <w:tc>
          <w:tcPr>
            <w:tcW w:w="125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Recurring</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269,001 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249,387 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784,139 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746,560 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One-time services and other</w:t>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8,625 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11,910 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26,282 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36,788 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revenue</w:t>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277,626 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261,297 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810,421 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783,348 </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Cost of revenue</w:t>
            </w:r>
          </w:p>
        </w:tc>
        <w:tc>
          <w:tcPr>
            <w:tcW w:w="12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Cost of recurring</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114,132 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111,488 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342,558 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338,149 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Cost of one-time services and other</w:t>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7,634 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9,449 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23,795 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31,757 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cost of revenue</w:t>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121,766 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120,937 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366,353 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369,906 </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Gross profit</w:t>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155,860 </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140,360 </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444,068 </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413,442 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Operating expenses</w:t>
            </w:r>
          </w:p>
        </w:tc>
        <w:tc>
          <w:tcPr>
            <w:tcW w:w="125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Sales, marketing and customer success</w:t>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52,462 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56,414 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160,038 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164,367 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Research and development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37,965 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40,451 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114,702 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118,736 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General and administrative</w:t>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42,596 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49,860 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154,582 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141,013 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Amortization</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operating expenses</w:t>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133,816 </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147,372 </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431,677 </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426,379 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Income (loss) from operations</w:t>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22,044 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(7,012)</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12,391 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(12,937)</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Interest expense</w:t>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(9,620)</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(9,337)</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(31,449)</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(25,912)</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income,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5,662 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4,454 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10,447 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Income (loss) before provision (benefit) for income taxes</w:t>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18,086 </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(11,895)</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(8,611)</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(30,141)</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Income tax provision (benefit)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(1,576)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(5,032)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(5,993)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income (loss)</w:t>
            </w:r>
          </w:p>
        </w:tc>
        <w:tc>
          <w:tcPr>
            <w:tcW w:w="2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9,017 </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(10,319)</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(3,579)</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(24,148)</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Earnings (loss) per share</w:t>
            </w:r>
          </w:p>
        </w:tc>
        <w:tc>
          <w:tcPr>
            <w:tcW w:w="125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Basic</w:t>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0.17 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(0.20)</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(0.07)</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(0.47)</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Diluted</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(0.20)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(0.47)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Common shares and equivalents outstanding</w:t>
            </w:r>
          </w:p>
        </w:tc>
        <w:tc>
          <w:tcPr>
            <w:tcW w:w="12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Basic weighted average shares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52,704,974 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51,692,152 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52,495,556 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51,519,340 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Diluted weighted average shares</w:t>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54,089,897 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51,692,152 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52,495,556 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51,519,340 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Other comprehensive loss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Foreign currency translation adjustment</w:t>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(4,794)</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(11,536)</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419 </w:t>
            </w:r>
          </w:p>
        </w:tc>
        <w:tc>
          <w:tcPr>
            <w:tcW w:w="13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(24,066)</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Unrealized gain (loss) on derivative instruments, net of tax</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20,260 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Total other comprehensive loss</w:t>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(701)</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(4,739)</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(797)</w:t>
            </w:r>
          </w:p>
        </w:tc>
        <w:tc>
          <w:tcPr>
            <w:tcW w:w="13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(3,806)</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Comprehensive income (loss)</w:t>
            </w:r>
          </w:p>
        </w:tc>
        <w:tc>
          <w:tcPr>
            <w:tcW w:w="2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8,316 </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(15,058)</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(4,376)</w:t>
            </w:r>
          </w:p>
        </w:tc>
        <w:tc>
          <w:tcPr>
            <w:tcW w:w="13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8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(27,954)</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3"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91540"/>
                <wp:effectExtent l="0" t="0" r="0" b="0"/>
                <wp:wrapNone/>
                <wp:docPr id="14" name="Frame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818"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752475"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818"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752475"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10205" w:type="dxa"/>
        <w:jc w:val="center"/>
        <w:tblInd w:w="0" w:type="dxa"/>
        <w:tblLayout w:type="fixed"/>
        <w:tblCellMar>
          <w:top w:w="28" w:type="dxa"/>
          <w:left w:w="28" w:type="dxa"/>
          <w:bottom w:w="28" w:type="dxa"/>
          <w:right w:w="28" w:type="dxa"/>
        </w:tblCellMar>
      </w:tblPr>
      <w:tblGrid>
        <w:gridCol w:w="2360"/>
        <w:gridCol w:w="2068"/>
        <w:gridCol w:w="2075"/>
        <w:gridCol w:w="341"/>
        <w:gridCol w:w="1280"/>
        <w:gridCol w:w="189"/>
        <w:gridCol w:w="341"/>
        <w:gridCol w:w="1280"/>
        <w:gridCol w:w="271"/>
      </w:tblGrid>
      <w:tr>
        <w:trPr/>
        <w:tc>
          <w:tcPr>
            <w:tcW w:w="2360"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4054"/>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color w:val="51555C"/>
                <w:sz w:val="20"/>
              </w:rPr>
            </w:pPr>
            <w:r>
              <w:rPr>
                <w:rFonts w:ascii="Calibri;sans-serif" w:hAnsi="Calibri;sans-serif"/>
                <w:b/>
                <w:color w:val="51555C"/>
                <w:sz w:val="20"/>
              </w:rPr>
              <w:t>Blackbaud, Inc.</w:t>
              <w:br/>
              <w:t>Condensed Consolidated Statements of Cash Flows</w:t>
              <w:br/>
              <w:t>(Unaudited)</w:t>
            </w:r>
          </w:p>
        </w:tc>
      </w:tr>
      <w:tr>
        <w:trPr/>
        <w:tc>
          <w:tcPr>
            <w:tcW w:w="650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color w:val="FFFFFF"/>
              </w:rPr>
            </w:pPr>
            <w:r>
              <w:rPr>
                <w:color w:val="FFFFFF"/>
              </w:rPr>
              <w:t> </w:t>
            </w:r>
          </w:p>
        </w:tc>
        <w:tc>
          <w:tcPr>
            <w:tcW w:w="370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Nine months ended</w:t>
              <w:br/>
              <w:t>September 30,</w:t>
            </w:r>
          </w:p>
        </w:tc>
      </w:tr>
      <w:tr>
        <w:trPr/>
        <w:tc>
          <w:tcPr>
            <w:tcW w:w="650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1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2023</w:t>
            </w:r>
          </w:p>
        </w:tc>
        <w:tc>
          <w:tcPr>
            <w:tcW w:w="189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2022</w:t>
            </w:r>
          </w:p>
        </w:tc>
      </w:tr>
      <w:tr>
        <w:trPr/>
        <w:tc>
          <w:tcPr>
            <w:tcW w:w="650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operating activities</w:t>
            </w:r>
          </w:p>
        </w:tc>
        <w:tc>
          <w:tcPr>
            <w:tcW w:w="181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(3,579)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(24,148)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Adjustments to reconcile net loss to net cash provided by operating activities:</w:t>
            </w:r>
          </w:p>
        </w:tc>
        <w:tc>
          <w:tcPr>
            <w:tcW w:w="181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Depreciation and amortization</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81,627 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76,606 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Provision for credit losses and sales returns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4,815 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4,374 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 expense</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95,668 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83,659 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taxes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(31,163)</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(21,672)</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Amortization of deferred financing costs and discount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non-cash adjustments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5,106 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5,677 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Changes in operating assets and liabilities, net of acquisition and disposal of businesses:</w:t>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Accounts receivable</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(4,757)</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9,998 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Prepaid expenses and other assets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14,488 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Trade accounts payable</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(3,362)</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14,435 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Accrued expenses and other liabilities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Deferred revenue</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33,679 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23,832 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cash provided by operating activities</w:t>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202,983 </w:t>
            </w:r>
          </w:p>
        </w:tc>
        <w:tc>
          <w:tcPr>
            <w:tcW w:w="18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189,806 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investing activities</w:t>
            </w:r>
          </w:p>
        </w:tc>
        <w:tc>
          <w:tcPr>
            <w:tcW w:w="181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Purchase of property and equipment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(4,243)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(10,512)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Capitalized software and content development costs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(44,664)</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(42,757)</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Purchase of net assets of acquired companies, net of cash and restricted cash acquired</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(20,945)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Cash received in sale of business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6,426 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investing activities</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cash used in investing activities</w:t>
            </w:r>
          </w:p>
        </w:tc>
        <w:tc>
          <w:tcPr>
            <w:tcW w:w="1621"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(49,170)</w:t>
            </w:r>
          </w:p>
        </w:tc>
        <w:tc>
          <w:tcPr>
            <w:tcW w:w="189"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(67,788)</w:t>
            </w:r>
          </w:p>
        </w:tc>
        <w:tc>
          <w:tcPr>
            <w:tcW w:w="271"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flows from financing activities</w:t>
            </w:r>
          </w:p>
        </w:tc>
        <w:tc>
          <w:tcPr>
            <w:tcW w:w="1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Proceeds from issuance of debt</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175,800 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126,900 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Payments on debt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(293,957)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(229,442)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 issuance costs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(1,205)</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Employee taxes paid for withheld shares upon equity award settlement</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(35,568)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(36,057)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 in due to customers</w:t>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(339,735)</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(243,109)</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Change in customer funds receivable</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(3,286)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cash used in financing activities</w:t>
            </w:r>
          </w:p>
        </w:tc>
        <w:tc>
          <w:tcPr>
            <w:tcW w:w="162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(496,746)</w:t>
            </w:r>
          </w:p>
        </w:tc>
        <w:tc>
          <w:tcPr>
            <w:tcW w:w="18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(384,204)</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Effect of exchange rate on cash, cash equivalents and restricted cash</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Net decrease in cash, cash equivalents and restricted cash</w:t>
            </w:r>
          </w:p>
        </w:tc>
        <w:tc>
          <w:tcPr>
            <w:tcW w:w="162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(343,244)</w:t>
            </w:r>
          </w:p>
        </w:tc>
        <w:tc>
          <w:tcPr>
            <w:tcW w:w="18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(276,421)</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cash equivalents and restricted cash, beginning of period</w:t>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733,931 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651,762 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Cash, cash equivalents and restricted cash, end of period</w:t>
            </w:r>
          </w:p>
        </w:tc>
        <w:tc>
          <w:tcPr>
            <w:tcW w:w="34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390,687 </w:t>
            </w:r>
          </w:p>
        </w:tc>
        <w:tc>
          <w:tcPr>
            <w:tcW w:w="18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128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375,341 </w:t>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Calibri;sans-serif" w:hAnsi="Calibri;sans-serif"/>
          <w:b w:val="false"/>
          <w:color w:val="51555C"/>
          <w:sz w:val="18"/>
        </w:rPr>
      </w:pPr>
      <w:r>
        <w:rPr>
          <w:rFonts w:ascii="Calibri;sans-serif" w:hAnsi="Calibri;sans-serif"/>
          <w:b w:val="false"/>
          <w:color w:val="51555C"/>
          <w:sz w:val="18"/>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tbl>
      <w:tblPr>
        <w:tblW w:w="8172" w:type="dxa"/>
        <w:jc w:val="left"/>
        <w:tblInd w:w="0" w:type="dxa"/>
        <w:tblLayout w:type="fixed"/>
        <w:tblCellMar>
          <w:top w:w="28" w:type="dxa"/>
          <w:left w:w="28" w:type="dxa"/>
          <w:bottom w:w="28" w:type="dxa"/>
          <w:right w:w="28" w:type="dxa"/>
        </w:tblCellMar>
      </w:tblPr>
      <w:tblGrid>
        <w:gridCol w:w="2135"/>
        <w:gridCol w:w="1875"/>
        <w:gridCol w:w="1884"/>
        <w:gridCol w:w="214"/>
        <w:gridCol w:w="806"/>
        <w:gridCol w:w="119"/>
        <w:gridCol w:w="205"/>
        <w:gridCol w:w="773"/>
        <w:gridCol w:w="161"/>
      </w:tblGrid>
      <w:tr>
        <w:trPr/>
        <w:tc>
          <w:tcPr>
            <w:tcW w:w="213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58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Cash and cash equivalents</w:t>
            </w:r>
          </w:p>
        </w:tc>
        <w:tc>
          <w:tcPr>
            <w:tcW w:w="2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31,091 </w:t>
            </w:r>
          </w:p>
        </w:tc>
        <w:tc>
          <w:tcPr>
            <w:tcW w:w="11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31,691 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cash</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359,596 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702,240 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Total cash, cash equivalents and restricted cash in the statement of cash flows</w:t>
            </w:r>
          </w:p>
        </w:tc>
        <w:tc>
          <w:tcPr>
            <w:tcW w:w="21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390,687 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733,931 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91540"/>
                <wp:effectExtent l="0" t="0" r="0" b="0"/>
                <wp:wrapNone/>
                <wp:docPr id="17" name="Frame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818" w:type="dxa"/>
                              <w:jc w:val="center"/>
                              <w:tblInd w:w="0" w:type="dxa"/>
                              <w:tblLayout w:type="fixed"/>
                              <w:tblCellMar>
                                <w:top w:w="28" w:type="dxa"/>
                                <w:left w:w="28" w:type="dxa"/>
                                <w:bottom w:w="28" w:type="dxa"/>
                                <w:right w:w="28" w:type="dxa"/>
                              </w:tblCellMar>
                            </w:tblPr>
                            <w:tblGrid>
                              <w:gridCol w:w="788"/>
                              <w:gridCol w:w="690"/>
                              <w:gridCol w:w="697"/>
                              <w:gridCol w:w="423"/>
                              <w:gridCol w:w="423"/>
                              <w:gridCol w:w="42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818" w:type="dxa"/>
                        <w:jc w:val="center"/>
                        <w:tblInd w:w="0" w:type="dxa"/>
                        <w:tblLayout w:type="fixed"/>
                        <w:tblCellMar>
                          <w:top w:w="28" w:type="dxa"/>
                          <w:left w:w="28" w:type="dxa"/>
                          <w:bottom w:w="28" w:type="dxa"/>
                          <w:right w:w="28" w:type="dxa"/>
                        </w:tblCellMar>
                      </w:tblPr>
                      <w:tblGrid>
                        <w:gridCol w:w="788"/>
                        <w:gridCol w:w="690"/>
                        <w:gridCol w:w="697"/>
                        <w:gridCol w:w="423"/>
                        <w:gridCol w:w="423"/>
                        <w:gridCol w:w="42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4"/>
                                          <a:stretch>
                                            <a:fillRect/>
                                          </a:stretch>
                                        </pic:blipFill>
                                        <pic:spPr bwMode="auto">
                                          <a:xfrm>
                                            <a:off x="0" y="0"/>
                                            <a:ext cx="7524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Condensed Consolidated Statements of Stockholders' Equity</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1115"/>
        <w:gridCol w:w="836"/>
        <w:gridCol w:w="843"/>
        <w:gridCol w:w="480"/>
        <w:gridCol w:w="481"/>
        <w:gridCol w:w="186"/>
        <w:gridCol w:w="229"/>
        <w:gridCol w:w="354"/>
        <w:gridCol w:w="114"/>
        <w:gridCol w:w="196"/>
        <w:gridCol w:w="871"/>
        <w:gridCol w:w="109"/>
        <w:gridCol w:w="196"/>
        <w:gridCol w:w="770"/>
        <w:gridCol w:w="109"/>
        <w:gridCol w:w="269"/>
        <w:gridCol w:w="765"/>
        <w:gridCol w:w="152"/>
        <w:gridCol w:w="196"/>
        <w:gridCol w:w="736"/>
        <w:gridCol w:w="109"/>
        <w:gridCol w:w="196"/>
        <w:gridCol w:w="736"/>
        <w:gridCol w:w="157"/>
      </w:tblGrid>
      <w:tr>
        <w:trPr/>
        <w:tc>
          <w:tcPr>
            <w:tcW w:w="111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4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Common stock</w:t>
            </w:r>
          </w:p>
        </w:tc>
        <w:tc>
          <w:tcPr>
            <w:tcW w:w="117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Additional</w:t>
              <w:br/>
              <w:t>paid-in</w:t>
              <w:br/>
              <w:t>capital</w:t>
            </w:r>
          </w:p>
        </w:tc>
        <w:tc>
          <w:tcPr>
            <w:tcW w:w="1075"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Treasury</w:t>
              <w:br/>
              <w:t>stock</w:t>
            </w:r>
          </w:p>
        </w:tc>
        <w:tc>
          <w:tcPr>
            <w:tcW w:w="118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Accumulated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other</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comprehensive</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loss (income)</w:t>
            </w:r>
          </w:p>
        </w:tc>
        <w:tc>
          <w:tcPr>
            <w:tcW w:w="104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Retained</w:t>
              <w:br/>
              <w:t>earnings</w:t>
            </w:r>
          </w:p>
        </w:tc>
        <w:tc>
          <w:tcPr>
            <w:tcW w:w="1089"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Total</w:t>
              <w:br/>
              <w:t>stockholders'</w:t>
              <w:br/>
              <w:t>equity</w:t>
            </w:r>
          </w:p>
        </w:tc>
      </w:tr>
      <w:tr>
        <w:trPr/>
        <w:tc>
          <w:tcPr>
            <w:tcW w:w="279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14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Shares</w:t>
            </w:r>
          </w:p>
        </w:tc>
        <w:tc>
          <w:tcPr>
            <w:tcW w:w="69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Amount</w:t>
            </w:r>
          </w:p>
        </w:tc>
        <w:tc>
          <w:tcPr>
            <w:tcW w:w="117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75"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18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4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89"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27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December 31, 2022</w:t>
            </w:r>
          </w:p>
        </w:tc>
        <w:tc>
          <w:tcPr>
            <w:tcW w:w="9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67,814,044 </w:t>
            </w:r>
          </w:p>
        </w:tc>
        <w:tc>
          <w:tcPr>
            <w:tcW w:w="1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1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1,075,264 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(537,287)</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6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8,938 </w:t>
            </w:r>
          </w:p>
        </w:tc>
        <w:tc>
          <w:tcPr>
            <w:tcW w:w="15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197,049 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744,032 </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(14,701)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954,147 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Employee taxes paid for 533,597 withheld shares upon equity award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29,925 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427,941 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(41,269)</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(8,534)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(8,534)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March 31, 2023</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69,154,863 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1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1,105,189 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(568,277)</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6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404 </w:t>
            </w:r>
          </w:p>
        </w:tc>
        <w:tc>
          <w:tcPr>
            <w:tcW w:w="15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182,348 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719,733 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23,550 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Employee taxes paid for 32,540 withheld shares upon equity award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33,364 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33,364 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6,031 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(20,200)</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8,438 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8,438 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June 30, 2023</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69,164,244 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1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1,138,553 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(570,547)</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6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8,842 </w:t>
            </w:r>
          </w:p>
        </w:tc>
        <w:tc>
          <w:tcPr>
            <w:tcW w:w="15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184,453 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761,370 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9,017 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8"/>
              </w:rPr>
              <w:t>Retirements of common stock</w:t>
            </w:r>
            <w:r>
              <w:rPr>
                <w:rFonts w:ascii="Calibri;sans-serif" w:hAnsi="Calibri;sans-serif"/>
                <w:b w:val="false"/>
                <w:color w:val="51555C"/>
                <w:sz w:val="12"/>
              </w:rPr>
              <w:t>(1)</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(143)</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26,662 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Employee taxes paid for 25,710 withheld shares upon equity award settlement</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(1,881)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(1,881)</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32,379 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27,913 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loss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(701)</w:t>
            </w:r>
          </w:p>
        </w:tc>
        <w:tc>
          <w:tcPr>
            <w:tcW w:w="15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(701)</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September 30, 2023</w:t>
            </w:r>
          </w:p>
        </w:tc>
        <w:tc>
          <w:tcPr>
            <w:tcW w:w="9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69,187,767 </w:t>
            </w:r>
          </w:p>
        </w:tc>
        <w:tc>
          <w:tcPr>
            <w:tcW w:w="18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69 </w:t>
            </w:r>
          </w:p>
        </w:tc>
        <w:tc>
          <w:tcPr>
            <w:tcW w:w="11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1,170,919 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(572,428)</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6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8,141 </w:t>
            </w:r>
          </w:p>
        </w:tc>
        <w:tc>
          <w:tcPr>
            <w:tcW w:w="15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193,470 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800,171 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91540"/>
                <wp:effectExtent l="0" t="0" r="0" b="0"/>
                <wp:wrapNone/>
                <wp:docPr id="20" name="Frame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6"/>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Condensed Consolidated Statements of Stockholders' Equity (continued)</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1115"/>
        <w:gridCol w:w="836"/>
        <w:gridCol w:w="843"/>
        <w:gridCol w:w="480"/>
        <w:gridCol w:w="481"/>
        <w:gridCol w:w="186"/>
        <w:gridCol w:w="229"/>
        <w:gridCol w:w="354"/>
        <w:gridCol w:w="114"/>
        <w:gridCol w:w="196"/>
        <w:gridCol w:w="871"/>
        <w:gridCol w:w="109"/>
        <w:gridCol w:w="196"/>
        <w:gridCol w:w="770"/>
        <w:gridCol w:w="109"/>
        <w:gridCol w:w="244"/>
        <w:gridCol w:w="805"/>
        <w:gridCol w:w="137"/>
        <w:gridCol w:w="196"/>
        <w:gridCol w:w="736"/>
        <w:gridCol w:w="109"/>
        <w:gridCol w:w="196"/>
        <w:gridCol w:w="736"/>
        <w:gridCol w:w="157"/>
      </w:tblGrid>
      <w:tr>
        <w:trPr/>
        <w:tc>
          <w:tcPr>
            <w:tcW w:w="111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84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Common stock</w:t>
            </w:r>
          </w:p>
        </w:tc>
        <w:tc>
          <w:tcPr>
            <w:tcW w:w="117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Additional</w:t>
              <w:br/>
              <w:t>paid-in</w:t>
              <w:br/>
              <w:t>capital</w:t>
            </w:r>
          </w:p>
        </w:tc>
        <w:tc>
          <w:tcPr>
            <w:tcW w:w="1075"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Treasury</w:t>
              <w:br/>
              <w:t>stock</w:t>
            </w:r>
          </w:p>
        </w:tc>
        <w:tc>
          <w:tcPr>
            <w:tcW w:w="118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Accumulated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other</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comprehensive</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w:t>
            </w:r>
          </w:p>
        </w:tc>
        <w:tc>
          <w:tcPr>
            <w:tcW w:w="104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Retained</w:t>
              <w:br/>
              <w:t>earnings</w:t>
            </w:r>
          </w:p>
        </w:tc>
        <w:tc>
          <w:tcPr>
            <w:tcW w:w="1089"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Total</w:t>
              <w:br/>
              <w:t>stockholders'</w:t>
              <w:br/>
              <w:t>equity</w:t>
            </w:r>
          </w:p>
        </w:tc>
      </w:tr>
      <w:tr>
        <w:trPr/>
        <w:tc>
          <w:tcPr>
            <w:tcW w:w="279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14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Shares</w:t>
            </w:r>
          </w:p>
        </w:tc>
        <w:tc>
          <w:tcPr>
            <w:tcW w:w="69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Amount</w:t>
            </w:r>
          </w:p>
        </w:tc>
        <w:tc>
          <w:tcPr>
            <w:tcW w:w="117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75"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18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4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089"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27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December 31, 2021</w:t>
            </w:r>
          </w:p>
        </w:tc>
        <w:tc>
          <w:tcPr>
            <w:tcW w:w="9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66,165,666 </w:t>
            </w:r>
          </w:p>
        </w:tc>
        <w:tc>
          <w:tcPr>
            <w:tcW w:w="1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66 </w:t>
            </w:r>
          </w:p>
        </w:tc>
        <w:tc>
          <w:tcPr>
            <w:tcW w:w="11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968,927 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(500,911)</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0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6,522 </w:t>
            </w:r>
          </w:p>
        </w:tc>
        <w:tc>
          <w:tcPr>
            <w:tcW w:w="13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242,456 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717,060 </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(10,407)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 issuance costs related to purchase of EVERFI</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(983)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(983)</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8"/>
              </w:rPr>
              <w:t>Retirements of common stock</w:t>
            </w:r>
            <w:r>
              <w:rPr>
                <w:rFonts w:ascii="Calibri;sans-serif" w:hAnsi="Calibri;sans-serif"/>
                <w:b w:val="false"/>
                <w:color w:val="51555C"/>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(33,075)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(2,581)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976,312 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Employee taxes paid for 533,139 withheld shares upon equity award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(34,674)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27,860 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27,860 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580,209 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(30,940)</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March 31, 2022</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67,658,172 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1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993,223 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(535,585)</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0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15,295 </w:t>
            </w:r>
          </w:p>
        </w:tc>
        <w:tc>
          <w:tcPr>
            <w:tcW w:w="13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232,049 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705,050 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(3,422)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 issuance costs related to purchase of EVERFI</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(223)</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8"/>
              </w:rPr>
              <w:t>Retirements of common stock</w:t>
            </w:r>
            <w:r>
              <w:rPr>
                <w:rFonts w:ascii="Calibri;sans-serif" w:hAnsi="Calibri;sans-serif"/>
                <w:b w:val="false"/>
                <w:color w:val="51555C"/>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(395)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23,549 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Employee taxes paid for 15,540 withheld shares upon equity award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(926)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27,854 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27,854 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136,598 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(62,550)</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(7,840)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(7,840)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June 30, 2022</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67,755,374 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1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1,020,835 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(536,511)</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0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7,455 </w:t>
            </w:r>
          </w:p>
        </w:tc>
        <w:tc>
          <w:tcPr>
            <w:tcW w:w="13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228,627 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720,474 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(10,319)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 issuance costs related to purchase of EVERFI</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(87)</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8"/>
              </w:rPr>
              <w:t>Retirements of common stock</w:t>
            </w:r>
            <w:r>
              <w:rPr>
                <w:rFonts w:ascii="Calibri;sans-serif" w:hAnsi="Calibri;sans-serif"/>
                <w:b w:val="false"/>
                <w:color w:val="51555C"/>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Vesting of restricted stock units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12,655 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8"/>
              </w:rPr>
            </w:pPr>
            <w:r>
              <w:rPr>
                <w:rFonts w:ascii="Calibri;sans-serif" w:hAnsi="Calibri;sans-serif"/>
                <w:b w:val="false"/>
                <w:color w:val="51555C"/>
                <w:sz w:val="18"/>
              </w:rPr>
              <w:t>Employee taxes paid for 8,260 withheld shares upon equity award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Stock-based compensation</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27,945 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27,945 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grants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107,906 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Restricted stock cancellations</w:t>
            </w:r>
          </w:p>
        </w:tc>
        <w:tc>
          <w:tcPr>
            <w:tcW w:w="9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(44,956)</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3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(4,739)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(4,739)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8"/>
              </w:rPr>
            </w:pPr>
            <w:r>
              <w:rPr>
                <w:rFonts w:ascii="Calibri;sans-serif" w:hAnsi="Calibri;sans-serif"/>
                <w:b/>
                <w:color w:val="51555C"/>
                <w:sz w:val="18"/>
              </w:rPr>
              <w:t>Balance at September 30, 2022</w:t>
            </w:r>
          </w:p>
        </w:tc>
        <w:tc>
          <w:tcPr>
            <w:tcW w:w="96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67,830,914 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3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68 </w:t>
            </w:r>
          </w:p>
        </w:tc>
        <w:tc>
          <w:tcPr>
            <w:tcW w:w="11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1,048,688 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7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(536,968)</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80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2,716 </w:t>
            </w:r>
          </w:p>
        </w:tc>
        <w:tc>
          <w:tcPr>
            <w:tcW w:w="13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218,308 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8"/>
              </w:rPr>
            </w:pPr>
            <w:r>
              <w:rPr>
                <w:rFonts w:ascii="Calibri;sans-serif" w:hAnsi="Calibri;sans-serif"/>
                <w:b w:val="false"/>
                <w:color w:val="51555C"/>
                <w:sz w:val="18"/>
              </w:rPr>
              <w:t>$</w:t>
            </w:r>
          </w:p>
        </w:tc>
        <w:tc>
          <w:tcPr>
            <w:tcW w:w="73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8"/>
              </w:rPr>
            </w:pPr>
            <w:r>
              <w:rPr>
                <w:rFonts w:ascii="Calibri;sans-serif" w:hAnsi="Calibri;sans-serif"/>
                <w:b w:val="false"/>
                <w:color w:val="51555C"/>
                <w:sz w:val="18"/>
              </w:rPr>
              <w:t>732,812 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7411"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Calibri;sans-serif" w:hAnsi="Calibri;sans-serif"/>
          <w:b w:val="false"/>
          <w:color w:val="51555C"/>
          <w:sz w:val="16"/>
          <w:shd w:fill="FFFFFF" w:val="clear"/>
        </w:rPr>
        <w:t>(1)</w:t>
      </w:r>
      <w:r>
        <w:rPr>
          <w:rFonts w:ascii="Calibri;sans-serif" w:hAnsi="Calibri;sans-serif"/>
          <w:b w:val="false"/>
          <w:color w:val="51555C"/>
          <w:sz w:val="16"/>
        </w:rPr>
        <w:t>Represents shares retired after determining certain EVERFI's selling shareholders would be paid in cash, rather than shares of our common stock. For more information regarding our acquisition of EVERFI on December 31, 2021, please see Note 3 of the financial statements included in our Annual Report on Form 10-K for the year ended December 31, 2022, filed with the SEC on February 22, 2023.</w:t>
      </w:r>
    </w:p>
    <w:tbl>
      <w:tblPr>
        <w:tblW w:w="7484" w:type="dxa"/>
        <w:jc w:val="left"/>
        <w:tblInd w:w="0" w:type="dxa"/>
        <w:tblLayout w:type="fixed"/>
        <w:tblCellMar>
          <w:top w:w="28" w:type="dxa"/>
          <w:left w:w="28" w:type="dxa"/>
          <w:bottom w:w="28" w:type="dxa"/>
          <w:right w:w="28" w:type="dxa"/>
        </w:tblCellMar>
      </w:tblPr>
      <w:tblGrid>
        <w:gridCol w:w="2394"/>
        <w:gridCol w:w="2105"/>
        <w:gridCol w:w="2985"/>
      </w:tblGrid>
      <w:tr>
        <w:trPr/>
        <w:tc>
          <w:tcPr>
            <w:tcW w:w="239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18"/>
              </w:rPr>
            </w:pPr>
            <w:r>
              <w:rPr>
                <w:rFonts w:ascii="Calibri;sans-serif" w:hAnsi="Calibr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91540"/>
                <wp:effectExtent l="0" t="0" r="0" b="0"/>
                <wp:wrapNone/>
                <wp:docPr id="23" name="Frame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09" w:type="dxa"/>
        <w:jc w:val="center"/>
        <w:tblInd w:w="0" w:type="dxa"/>
        <w:tblLayout w:type="fixed"/>
        <w:tblCellMar>
          <w:top w:w="28" w:type="dxa"/>
          <w:left w:w="28" w:type="dxa"/>
          <w:bottom w:w="28" w:type="dxa"/>
          <w:right w:w="28" w:type="dxa"/>
        </w:tblCellMar>
      </w:tblPr>
      <w:tblGrid>
        <w:gridCol w:w="547"/>
        <w:gridCol w:w="481"/>
        <w:gridCol w:w="681"/>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 Organization</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and the United Kingdom, supporting users in 100+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2. Basis of Presentation</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Unaudited condensed consolidated interim financial statements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accompanying condensed consolidated interim financial statements have been prepared pursuant to the rules and regulations of the United States Securities and Exchange Commission ("SEC") for interim financial reporting. These condensed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condensed consolidated balance sheet at December 31, 2022 has been derived from the audited consolidated financial statements at that date. Operating results and cash flows for the nine months ended September 30, 2023 are not necessarily indicative of the results that may be expected for the fiscal year ending December 31, 2023, or any other future period. Certain information and footnote disclosures normally included in annual financial statements prepared in accordance with GAAP have been omitted in accordance with the rules and regulations for interim reporting of the SEC. These unaudited, condensed consolidated interim financial statements should be read in conjunction with the consolidated financial statements and notes thereto included in our Annual Report on Form 10-K for the year ended December 31, 2022, and other forms filed with the SEC from time to time.</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Basis of consolidation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unaudited, condensed consolidated financial statements include the accounts of Blackbaud, Inc. and its wholly owned subsidiaries. All intercompany balances and transactions have been eliminated in consolidation.</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Reportable segment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Use of estimates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and content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91540"/>
                <wp:effectExtent l="0" t="0" r="0" b="0"/>
                <wp:wrapNone/>
                <wp:docPr id="26" name="Frame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9"/>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20"/>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Recently adopted accounting pronouncements</w:t>
      </w:r>
    </w:p>
    <w:p>
      <w:pPr>
        <w:pStyle w:val="TextBody"/>
        <w:bidi w:val="0"/>
        <w:spacing w:lineRule="auto" w:line="288" w:before="180" w:after="283"/>
        <w:jc w:val="both"/>
        <w:rPr/>
      </w:pPr>
      <w:r>
        <w:rPr>
          <w:rFonts w:ascii="Calibri;sans-serif" w:hAnsi="Calibri;sans-serif"/>
          <w:b w:val="false"/>
          <w:color w:val="51555C"/>
          <w:sz w:val="20"/>
        </w:rPr>
        <w:t xml:space="preserve">In September 2022, the Financial Accounting Standards Board issued Accounting Standards Update 2022-04, </w:t>
      </w:r>
      <w:r>
        <w:rPr>
          <w:rFonts w:ascii="Calibri;sans-serif" w:hAnsi="Calibri;sans-serif"/>
          <w:b w:val="false"/>
          <w:i/>
          <w:color w:val="51555C"/>
          <w:sz w:val="20"/>
        </w:rPr>
        <w:t xml:space="preserve">Liabilities-Supplier Finance Programs (Subtopic 405-50): Disclosure of Supplier Finance Program Obligations </w:t>
      </w:r>
      <w:r>
        <w:rPr>
          <w:rFonts w:ascii="Calibri;sans-serif" w:hAnsi="Calibri;sans-serif"/>
          <w:b w:val="false"/>
          <w:color w:val="51555C"/>
          <w:sz w:val="20"/>
        </w:rPr>
        <w:t xml:space="preserve">("ASU 2022-04"). This update requires entities that use supplier finance programs in connection with the purchase of goods and services to disclose key terms of the programs and information about obligations outstanding at the end of the reporting period, including a rollforward of those obligations. The guidance does not affect the recognition, measurement, or financial statement presentation of supplier finance programs. We adopted ASU 2022-04 on January 1, 2023 and the adoption did not have a material impact on our condensed consolidated financial statements. </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Recently issued accounting pronouncements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no recently issued accounting pronouncements that we expect to have a material impact on our consolidated financial statements when adopted in the future.</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Summary of significant accounting policies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have been no material changes to our significant accounting policies described in our Annual Report on Form 10-K for the year ended December 31, 2022, filed with the SEC on February 24,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left"/>
        <w:tblInd w:w="0" w:type="dxa"/>
        <w:tblLayout w:type="fixed"/>
        <w:tblCellMar>
          <w:top w:w="28" w:type="dxa"/>
          <w:left w:w="28" w:type="dxa"/>
          <w:bottom w:w="28" w:type="dxa"/>
          <w:right w:w="28" w:type="dxa"/>
        </w:tblCellMar>
      </w:tblPr>
      <w:tblGrid>
        <w:gridCol w:w="944"/>
        <w:gridCol w:w="830"/>
        <w:gridCol w:w="1181"/>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3. Earnings (Loss) Per Share</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compute basic earnings (loss) per share by dividing net income (loss) available to common stockholders by the weighted average number of common shares outstanding during the period. Diluted earnings (loss) per share is computed by dividing net income (loss) available to common stockholders by the weighted average number of common shares and dilutive potential common shares outstanding during the period. Diluted earnings (loss) per share reflects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 Diluted loss per share for the nine months ended September 30, 2023 and the three and nine months ended September 30, 2022 was the same as basic loss per share as there were net losses each of those periods and inclusion of potentially dilutive securities was anti-dilutive.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sets forth the computation of basic and diluted earnings (loss) per share:</w:t>
      </w:r>
    </w:p>
    <w:tbl>
      <w:tblPr>
        <w:tblW w:w="10205" w:type="dxa"/>
        <w:jc w:val="left"/>
        <w:tblInd w:w="0" w:type="dxa"/>
        <w:tblLayout w:type="fixed"/>
        <w:tblCellMar>
          <w:top w:w="28" w:type="dxa"/>
          <w:left w:w="28" w:type="dxa"/>
          <w:bottom w:w="28" w:type="dxa"/>
          <w:right w:w="28" w:type="dxa"/>
        </w:tblCellMar>
      </w:tblPr>
      <w:tblGrid>
        <w:gridCol w:w="1888"/>
        <w:gridCol w:w="1586"/>
        <w:gridCol w:w="1597"/>
        <w:gridCol w:w="275"/>
        <w:gridCol w:w="806"/>
        <w:gridCol w:w="109"/>
        <w:gridCol w:w="240"/>
        <w:gridCol w:w="841"/>
        <w:gridCol w:w="109"/>
        <w:gridCol w:w="109"/>
        <w:gridCol w:w="109"/>
        <w:gridCol w:w="109"/>
        <w:gridCol w:w="270"/>
        <w:gridCol w:w="811"/>
        <w:gridCol w:w="109"/>
        <w:gridCol w:w="240"/>
        <w:gridCol w:w="841"/>
        <w:gridCol w:w="156"/>
      </w:tblGrid>
      <w:tr>
        <w:trPr/>
        <w:tc>
          <w:tcPr>
            <w:tcW w:w="188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7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2380"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507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 except per share amounts)</w:t>
            </w:r>
          </w:p>
        </w:tc>
        <w:tc>
          <w:tcPr>
            <w:tcW w:w="119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9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23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507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Numerator:</w:t>
            </w:r>
          </w:p>
        </w:tc>
        <w:tc>
          <w:tcPr>
            <w:tcW w:w="119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income (loss)</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(24,148)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Denominator:</w:t>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Weighted average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52,704,974 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51,692,152 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52,495,556 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51,519,340 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Add effect of dilutive securities:</w:t>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Stock-based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1,384,923 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Weighted average common shares assuming dilution</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54,089,897 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51,692,152 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52,495,556 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51,519,340 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Earnings (loss) per share</w:t>
            </w:r>
          </w:p>
        </w:tc>
        <w:tc>
          <w:tcPr>
            <w:tcW w:w="119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Basic</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0.17 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(0.20)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1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(0.07)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(0.47)</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Diluted</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(0.47)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Anti-dilutive shares excluded from calculations of diluted earnings (loss) per share</w:t>
            </w:r>
          </w:p>
        </w:tc>
        <w:tc>
          <w:tcPr>
            <w:tcW w:w="1081"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21,660 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936,214 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474,150 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1,195,709 </w:t>
            </w:r>
          </w:p>
        </w:tc>
        <w:tc>
          <w:tcPr>
            <w:tcW w:w="1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91540"/>
                <wp:effectExtent l="0" t="0" r="0" b="0"/>
                <wp:wrapNone/>
                <wp:docPr id="29" name="Frame1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2"/>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tbl>
      <w:tblPr>
        <w:tblW w:w="2985" w:type="dxa"/>
        <w:jc w:val="left"/>
        <w:tblInd w:w="0" w:type="dxa"/>
        <w:tblLayout w:type="fixed"/>
        <w:tblCellMar>
          <w:top w:w="28" w:type="dxa"/>
          <w:left w:w="28" w:type="dxa"/>
          <w:bottom w:w="28" w:type="dxa"/>
          <w:right w:w="28" w:type="dxa"/>
        </w:tblCellMar>
      </w:tblPr>
      <w:tblGrid>
        <w:gridCol w:w="955"/>
        <w:gridCol w:w="840"/>
        <w:gridCol w:w="1190"/>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4. Fair Value Measurements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use a three-tier fair value hierarchy to measure fair value. This hierarchy prioritizes the inputs into three broad levels as follows:</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 xml:space="preserve">Level 1 - Quoted prices for identical assets or liabilities in active markets; </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Level 3 - Valuations derived from valuation techniques in which one or more significant inputs are unobservable.</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Recurring fair value measurements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Financial assets and liabilities that are measured at fair value on a recurring basis consisted of the following, as of the dates indicated below:</w:t>
      </w:r>
    </w:p>
    <w:tbl>
      <w:tblPr>
        <w:tblW w:w="10205" w:type="dxa"/>
        <w:jc w:val="left"/>
        <w:tblInd w:w="0" w:type="dxa"/>
        <w:tblLayout w:type="fixed"/>
        <w:tblCellMar>
          <w:top w:w="28" w:type="dxa"/>
          <w:left w:w="28" w:type="dxa"/>
          <w:bottom w:w="28" w:type="dxa"/>
          <w:right w:w="28" w:type="dxa"/>
        </w:tblCellMar>
      </w:tblPr>
      <w:tblGrid>
        <w:gridCol w:w="882"/>
        <w:gridCol w:w="603"/>
        <w:gridCol w:w="606"/>
        <w:gridCol w:w="757"/>
        <w:gridCol w:w="1459"/>
        <w:gridCol w:w="395"/>
        <w:gridCol w:w="109"/>
        <w:gridCol w:w="109"/>
        <w:gridCol w:w="109"/>
        <w:gridCol w:w="359"/>
        <w:gridCol w:w="1227"/>
        <w:gridCol w:w="185"/>
        <w:gridCol w:w="109"/>
        <w:gridCol w:w="109"/>
        <w:gridCol w:w="109"/>
        <w:gridCol w:w="374"/>
        <w:gridCol w:w="1093"/>
        <w:gridCol w:w="194"/>
        <w:gridCol w:w="109"/>
        <w:gridCol w:w="109"/>
        <w:gridCol w:w="109"/>
        <w:gridCol w:w="211"/>
        <w:gridCol w:w="721"/>
        <w:gridCol w:w="158"/>
      </w:tblGrid>
      <w:tr>
        <w:trPr/>
        <w:tc>
          <w:tcPr>
            <w:tcW w:w="88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6697" w:type="dxa"/>
            <w:gridSpan w:val="15"/>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Fair value measurement using</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261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Quoted Prices in Active Markets for Identical Assets and Liabilities</w:t>
              <w:br/>
              <w:t>(Level 1)</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 xml:space="preserve">Significant Other Observable Inputs </w:t>
              <w:br/>
              <w:t>(Level 2)</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 xml:space="preserve">Significant Unobservable Inputs </w:t>
              <w:br/>
              <w:t>(Level 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Total</w:t>
            </w:r>
          </w:p>
        </w:tc>
      </w:tr>
      <w:tr>
        <w:trPr/>
        <w:tc>
          <w:tcPr>
            <w:tcW w:w="209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September 30, 2023</w:t>
            </w:r>
          </w:p>
        </w:tc>
        <w:tc>
          <w:tcPr>
            <w:tcW w:w="261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assets:</w:t>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Interest rate swaps</w:t>
            </w:r>
          </w:p>
        </w:tc>
        <w:tc>
          <w:tcPr>
            <w:tcW w:w="75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5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30,359 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30,359 </w:t>
            </w:r>
          </w:p>
        </w:tc>
        <w:tc>
          <w:tcPr>
            <w:tcW w:w="1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22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assets</w:t>
            </w:r>
          </w:p>
        </w:tc>
        <w:tc>
          <w:tcPr>
            <w:tcW w:w="75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30,792 </w:t>
            </w:r>
          </w:p>
        </w:tc>
        <w:tc>
          <w:tcPr>
            <w:tcW w:w="18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30,792 </w:t>
            </w:r>
          </w:p>
        </w:tc>
        <w:tc>
          <w:tcPr>
            <w:tcW w:w="15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September 30, 2023</w:t>
            </w:r>
          </w:p>
        </w:tc>
        <w:tc>
          <w:tcPr>
            <w:tcW w:w="26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liabilities:</w:t>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 obligations</w:t>
            </w:r>
          </w:p>
        </w:tc>
        <w:tc>
          <w:tcPr>
            <w:tcW w:w="75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5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1,379 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1,379 </w:t>
            </w:r>
          </w:p>
        </w:tc>
        <w:tc>
          <w:tcPr>
            <w:tcW w:w="1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liabilities</w:t>
            </w:r>
          </w:p>
        </w:tc>
        <w:tc>
          <w:tcPr>
            <w:tcW w:w="75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5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1,379 </w:t>
            </w:r>
          </w:p>
        </w:tc>
        <w:tc>
          <w:tcPr>
            <w:tcW w:w="19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1,379 </w:t>
            </w:r>
          </w:p>
        </w:tc>
        <w:tc>
          <w:tcPr>
            <w:tcW w:w="1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December 31, 2022</w:t>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assets:</w:t>
            </w:r>
          </w:p>
        </w:tc>
        <w:tc>
          <w:tcPr>
            <w:tcW w:w="26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Interest rate swaps</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31,870 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31,870 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221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247 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247 </w:t>
            </w:r>
          </w:p>
        </w:tc>
        <w:tc>
          <w:tcPr>
            <w:tcW w:w="1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assets</w:t>
            </w:r>
          </w:p>
        </w:tc>
        <w:tc>
          <w:tcPr>
            <w:tcW w:w="75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5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32,117 </w:t>
            </w:r>
          </w:p>
        </w:tc>
        <w:tc>
          <w:tcPr>
            <w:tcW w:w="18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32,117 </w:t>
            </w:r>
          </w:p>
        </w:tc>
        <w:tc>
          <w:tcPr>
            <w:tcW w:w="1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Fair value as of December 31, 2022</w:t>
            </w:r>
          </w:p>
        </w:tc>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Financial liabilities:</w:t>
            </w:r>
          </w:p>
        </w:tc>
        <w:tc>
          <w:tcPr>
            <w:tcW w:w="26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Foreign currency forward contracts</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 obligations</w:t>
            </w:r>
          </w:p>
        </w:tc>
        <w:tc>
          <w:tcPr>
            <w:tcW w:w="221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9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financial liabilities</w:t>
            </w:r>
          </w:p>
        </w:tc>
        <w:tc>
          <w:tcPr>
            <w:tcW w:w="7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4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39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22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8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9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9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3,033 </w:t>
            </w:r>
          </w:p>
        </w:tc>
        <w:tc>
          <w:tcPr>
            <w:tcW w:w="15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Calibri;sans-serif" w:hAnsi="Calibri;sans-serif"/>
          <w:b w:val="false"/>
          <w:color w:val="51555C"/>
          <w:sz w:val="20"/>
        </w:rPr>
        <w:t xml:space="preserve">Our derivative instruments within the scope of Accounting Standards Codification ("ASC") 815, </w:t>
      </w:r>
      <w:r>
        <w:rPr>
          <w:rFonts w:ascii="Calibri;sans-serif" w:hAnsi="Calibri;sans-serif"/>
          <w:b w:val="false"/>
          <w:i/>
          <w:color w:val="51555C"/>
          <w:sz w:val="20"/>
        </w:rPr>
        <w:t>Derivatives and Hedging</w:t>
      </w:r>
      <w:r>
        <w:rPr>
          <w:rFonts w:ascii="Calibri;sans-serif" w:hAnsi="Calibri;sans-serif"/>
          <w:b w:val="false"/>
          <w:color w:val="51555C"/>
          <w:sz w:val="20"/>
        </w:rPr>
        <w:t>, are required to be recorded at fair value. Our derivative instruments that are recorded at fair value include interest rate swaps and foreign currency forward contracts. See Note 7 to these unaudited, condensed consolidated financial statements for additional information about our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91540"/>
                <wp:effectExtent l="0" t="0" r="0" b="0"/>
                <wp:wrapNone/>
                <wp:docPr id="32" name="Frame1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3"/>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4"/>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 Our financial contracts that were indexed to LIBOR were modified to reference SOFR during the three months ended September 30, 2022. These modifications did not have a significant financial impact.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Contingent consideration obligations arise from business acquisitions. The fair values are based on discounted cash flow analyses reflecting a probability-weighted assessment approach derived from the likelihood of possible achievement of specified performance measures or events and captures the contractual nature of the contingencies, commercial risk, and the time value of money. As the fair value measurements for our contingent consideration obligations contain significant unobservable inputs, they are classified within Level 3 of the fair value hierarchy.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the carrying amounts of our cash and cash equivalents, restricted cash, accounts receivable, trade accounts payable, accrued expenses and other current liabilities and due to customers approximate their fair values at September 30, 2023 and December 31, 2022, due to the immediate or short-term maturity of these instruments.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the carrying amount of our debt approximates its fair value at September 30, 2023 and December 31, 2022, as the debt bears interest rates that approximate market value. As SOFR rates are observable at commonly quoted intervals, our debt under the 2020 Credit Facility (as defined below) is classified within Level 2 of the fair value hierarchy. Our fixed rate debt is also classified within Level 2 of the fair value hierarchy.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did not transfer any assets or liabilities among the levels within the fair value hierarchy during the nine months ended September 30, 2023.</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Non-recurring fair value measurements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July 2023, we entered into a sublease for a portion of our Washington, DC office location, which we previously closed in February 2023 to align with our remote-first workforce strategy. We considered our entry into the sublease an impairment indicator. As a result, during the three and nine months ended September 30, 2023, we recorded noncash impairment charges of $5.6 million against certain operating lease ROU assets and $1.1 million against certain property and equipment assets. We present these impairment charges in general and administrative expense on our unaudited condensed consolidated statements of comprehensive income (loss) and as other non-cash adjustments within operating activities on our unaudited condensed consolidated statements of cash flows.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were no other significant non-recurring fair value adjustments to our long-lived assets, intangible assets, goodwill and operating lease ROU assets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91540"/>
                <wp:effectExtent l="0" t="0" r="0" b="0"/>
                <wp:wrapNone/>
                <wp:docPr id="35" name="Frame1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5"/>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tbl>
      <w:tblPr>
        <w:tblW w:w="4590" w:type="dxa"/>
        <w:jc w:val="left"/>
        <w:tblInd w:w="0" w:type="dxa"/>
        <w:tblLayout w:type="fixed"/>
        <w:tblCellMar>
          <w:top w:w="28" w:type="dxa"/>
          <w:left w:w="28" w:type="dxa"/>
          <w:bottom w:w="28" w:type="dxa"/>
          <w:right w:w="28" w:type="dxa"/>
        </w:tblCellMar>
      </w:tblPr>
      <w:tblGrid>
        <w:gridCol w:w="1468"/>
        <w:gridCol w:w="1290"/>
        <w:gridCol w:w="1832"/>
      </w:tblGrid>
      <w:tr>
        <w:trPr/>
        <w:tc>
          <w:tcPr>
            <w:tcW w:w="1468"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5. Consolidated Financial Statement Details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Restricted cash</w:t>
      </w:r>
    </w:p>
    <w:tbl>
      <w:tblPr>
        <w:tblW w:w="5442" w:type="dxa"/>
        <w:jc w:val="left"/>
        <w:tblInd w:w="0" w:type="dxa"/>
        <w:tblLayout w:type="fixed"/>
        <w:tblCellMar>
          <w:top w:w="28" w:type="dxa"/>
          <w:left w:w="28" w:type="dxa"/>
          <w:bottom w:w="28" w:type="dxa"/>
          <w:right w:w="28" w:type="dxa"/>
        </w:tblCellMar>
      </w:tblPr>
      <w:tblGrid>
        <w:gridCol w:w="1125"/>
        <w:gridCol w:w="988"/>
        <w:gridCol w:w="992"/>
        <w:gridCol w:w="211"/>
        <w:gridCol w:w="826"/>
        <w:gridCol w:w="109"/>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310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Restricted cash due to customers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358,280 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700,611 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Real estate escrow balances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restricted cash</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359,596 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702,240 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Prepaid expenses and other assets</w:t>
      </w:r>
    </w:p>
    <w:tbl>
      <w:tblPr>
        <w:tblW w:w="7544" w:type="dxa"/>
        <w:jc w:val="left"/>
        <w:tblInd w:w="0" w:type="dxa"/>
        <w:tblLayout w:type="fixed"/>
        <w:tblCellMar>
          <w:top w:w="28" w:type="dxa"/>
          <w:left w:w="28" w:type="dxa"/>
          <w:bottom w:w="28" w:type="dxa"/>
          <w:right w:w="28" w:type="dxa"/>
        </w:tblCellMar>
      </w:tblPr>
      <w:tblGrid>
        <w:gridCol w:w="1907"/>
        <w:gridCol w:w="1676"/>
        <w:gridCol w:w="1682"/>
        <w:gridCol w:w="231"/>
        <w:gridCol w:w="790"/>
        <w:gridCol w:w="119"/>
        <w:gridCol w:w="221"/>
        <w:gridCol w:w="757"/>
        <w:gridCol w:w="161"/>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526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Costs of obtaining contracts</w:t>
            </w:r>
            <w:r>
              <w:rPr>
                <w:rFonts w:ascii="Calibri;sans-serif" w:hAnsi="Calibri;sans-serif"/>
                <w:b w:val="false"/>
                <w:color w:val="51555C"/>
                <w:sz w:val="13"/>
              </w:rPr>
              <w:t>(1)(2)</w:t>
            </w:r>
          </w:p>
        </w:tc>
        <w:tc>
          <w:tcPr>
            <w:tcW w:w="23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9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64,182 </w:t>
            </w:r>
          </w:p>
        </w:tc>
        <w:tc>
          <w:tcPr>
            <w:tcW w:w="11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74,272 </w:t>
            </w:r>
          </w:p>
        </w:tc>
        <w:tc>
          <w:tcPr>
            <w:tcW w:w="16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Derivative instruments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30,792 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Prepaid software maintenance and subscriptions</w:t>
            </w:r>
            <w:r>
              <w:rPr>
                <w:rFonts w:ascii="Calibri;sans-serif" w:hAnsi="Calibri;sans-serif"/>
                <w:b w:val="false"/>
                <w:color w:val="51555C"/>
                <w:sz w:val="13"/>
              </w:rPr>
              <w:t>(3)</w:t>
            </w:r>
          </w:p>
        </w:tc>
        <w:tc>
          <w:tcPr>
            <w:tcW w:w="10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29,927 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34,766 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Implementation costs for cloud computing arrangements, net</w:t>
            </w:r>
            <w:r>
              <w:rPr>
                <w:rFonts w:ascii="Calibri;sans-serif" w:hAnsi="Calibri;sans-serif"/>
                <w:b w:val="false"/>
                <w:color w:val="51555C"/>
                <w:sz w:val="13"/>
              </w:rPr>
              <w:t>(4)(5)</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9,835 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Prepaid insurance</w:t>
            </w:r>
          </w:p>
        </w:tc>
        <w:tc>
          <w:tcPr>
            <w:tcW w:w="10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6,140 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4,902 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Unbilled accounts receivable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5,775 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Taxes, prepaid and receivable</w:t>
            </w:r>
          </w:p>
        </w:tc>
        <w:tc>
          <w:tcPr>
            <w:tcW w:w="10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4,102 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1,855 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Deferred tax assets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assets</w:t>
            </w:r>
          </w:p>
        </w:tc>
        <w:tc>
          <w:tcPr>
            <w:tcW w:w="10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14,259 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10,929 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prepaid expenses and other assets</w:t>
            </w:r>
          </w:p>
        </w:tc>
        <w:tc>
          <w:tcPr>
            <w:tcW w:w="102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166,061 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175,958 </w:t>
            </w:r>
          </w:p>
        </w:tc>
        <w:tc>
          <w:tcPr>
            <w:tcW w:w="16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10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83,654 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94,304 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Prepaid expenses and other current assets</w:t>
            </w:r>
          </w:p>
        </w:tc>
        <w:tc>
          <w:tcPr>
            <w:tcW w:w="23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9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82,407 </w:t>
            </w:r>
          </w:p>
        </w:tc>
        <w:tc>
          <w:tcPr>
            <w:tcW w:w="11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81,654 </w:t>
            </w:r>
          </w:p>
        </w:tc>
        <w:tc>
          <w:tcPr>
            <w:tcW w:w="1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(1)Amortization expense from costs of obtaining contracts was $7.9 million and $24.3 million for the three and nine months ended September 30, 2023, respectively, and $8.4 million and $25.4 million for the three and nine months ended September 30, 2022, respectively.</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(2)The current portion of costs of obtaining contracts as of September 30, 2023 and December 31, 2022 was $26.0 million and $29.1 million, respectively.</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(3)The current portion of prepaid software maintenance and subscriptions as of September 30, 2023 and December 31, 2022 was $27.2 million and $31.7 million, respectively.</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(4)These costs primarily relate to the multi-year implementations of our new global enterprise resource planning and customer relationship management systems.</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(5)Amortization expense from capitalized cloud computing implementation costs was insignificant for the three months ended September 30, 2023 and 2022, respectively, and $1.8 million and $1.6 million for the nine months ended September 30, 2023 and 2022, respectively. Accumulated amortization for these costs was $7.0 million and $5.2 million as of September 30, 2023 and December 31, 2022, respectively.</w:t>
      </w:r>
    </w:p>
    <w:p>
      <w:pPr>
        <w:pStyle w:val="TextBody"/>
        <w:bidi w:val="0"/>
        <w:spacing w:before="18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91540"/>
                <wp:effectExtent l="0" t="0" r="0" b="0"/>
                <wp:wrapNone/>
                <wp:docPr id="38" name="Frame1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7"/>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28"/>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Accrued expenses and other liabilities</w:t>
      </w:r>
    </w:p>
    <w:tbl>
      <w:tblPr>
        <w:tblW w:w="7219" w:type="dxa"/>
        <w:jc w:val="left"/>
        <w:tblInd w:w="0" w:type="dxa"/>
        <w:tblLayout w:type="fixed"/>
        <w:tblCellMar>
          <w:top w:w="28" w:type="dxa"/>
          <w:left w:w="28" w:type="dxa"/>
          <w:bottom w:w="28" w:type="dxa"/>
          <w:right w:w="28" w:type="dxa"/>
        </w:tblCellMar>
      </w:tblPr>
      <w:tblGrid>
        <w:gridCol w:w="1788"/>
        <w:gridCol w:w="1569"/>
        <w:gridCol w:w="1577"/>
        <w:gridCol w:w="211"/>
        <w:gridCol w:w="826"/>
        <w:gridCol w:w="109"/>
        <w:gridCol w:w="221"/>
        <w:gridCol w:w="757"/>
        <w:gridCol w:w="161"/>
      </w:tblGrid>
      <w:tr>
        <w:trPr/>
        <w:tc>
          <w:tcPr>
            <w:tcW w:w="178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13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493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Accrued legal costs</w:t>
            </w:r>
            <w:r>
              <w:rPr>
                <w:rFonts w:ascii="Calibri;sans-serif" w:hAnsi="Calibri;sans-serif"/>
                <w:b w:val="false"/>
                <w:color w:val="51555C"/>
                <w:sz w:val="13"/>
              </w:rPr>
              <w:t>(1)</w:t>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53,236 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28,448 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16,667 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Customer credit balances</w:t>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9,293 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8,257 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7,723 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health care costs</w:t>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3,023 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2,467 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commissions and salaries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vacation costs</w:t>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1,971 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2,156 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Contingent consideration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transaction-based costs related to payments services</w:t>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5,059 </w:t>
            </w:r>
          </w:p>
        </w:tc>
        <w:tc>
          <w:tcPr>
            <w:tcW w:w="16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9,865 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accrued expenses and other liabilities</w:t>
            </w:r>
          </w:p>
        </w:tc>
        <w:tc>
          <w:tcPr>
            <w:tcW w:w="103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104,355 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90,296 </w:t>
            </w:r>
          </w:p>
        </w:tc>
        <w:tc>
          <w:tcPr>
            <w:tcW w:w="16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4,294 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Accrued expenses and other current liabilities</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101,379 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86,002 </w:t>
            </w:r>
          </w:p>
        </w:tc>
        <w:tc>
          <w:tcPr>
            <w:tcW w:w="16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shd w:fill="FFFFFF" w:val="clear"/>
        </w:rPr>
      </w:pPr>
      <w:r>
        <w:rPr>
          <w:rFonts w:ascii="Calibri;sans-serif" w:hAnsi="Calibri;sans-serif"/>
          <w:b w:val="false"/>
          <w:color w:val="51555C"/>
          <w:sz w:val="16"/>
          <w:shd w:fill="FFFFFF" w:val="clear"/>
        </w:rPr>
        <w:t>(1)All accrued legal costs are classified as current. See Note 8 to these unaudited, condensed consolidated financial statements for additional information about our loss contingency accruals and other legal expenses.</w:t>
      </w:r>
    </w:p>
    <w:p>
      <w:pPr>
        <w:pStyle w:val="TextBody"/>
        <w:bidi w:val="0"/>
        <w:spacing w:lineRule="auto" w:line="288" w:before="180" w:after="283"/>
        <w:ind w:left="0" w:right="0" w:firstLine="720"/>
        <w:jc w:val="both"/>
        <w:rPr/>
      </w:pPr>
      <w:r>
        <w:rPr>
          <w:rFonts w:ascii="Calibri;sans-serif" w:hAnsi="Calibri;sans-serif"/>
          <w:b/>
          <w:color w:val="51555C"/>
          <w:sz w:val="20"/>
        </w:rPr>
        <w:t>Other income, net</w:t>
      </w:r>
      <w:r>
        <w:rPr>
          <w:color w:val="51555C"/>
        </w:rPr>
        <w:t xml:space="preserve"> </w:t>
      </w:r>
    </w:p>
    <w:tbl>
      <w:tblPr>
        <w:tblW w:w="6455" w:type="dxa"/>
        <w:jc w:val="left"/>
        <w:tblInd w:w="0" w:type="dxa"/>
        <w:tblLayout w:type="fixed"/>
        <w:tblCellMar>
          <w:top w:w="28" w:type="dxa"/>
          <w:left w:w="28" w:type="dxa"/>
          <w:bottom w:w="28" w:type="dxa"/>
          <w:right w:w="28" w:type="dxa"/>
        </w:tblCellMar>
      </w:tblPr>
      <w:tblGrid>
        <w:gridCol w:w="809"/>
        <w:gridCol w:w="711"/>
        <w:gridCol w:w="714"/>
        <w:gridCol w:w="211"/>
        <w:gridCol w:w="616"/>
        <w:gridCol w:w="109"/>
        <w:gridCol w:w="211"/>
        <w:gridCol w:w="616"/>
        <w:gridCol w:w="109"/>
        <w:gridCol w:w="109"/>
        <w:gridCol w:w="109"/>
        <w:gridCol w:w="109"/>
        <w:gridCol w:w="211"/>
        <w:gridCol w:w="721"/>
        <w:gridCol w:w="109"/>
        <w:gridCol w:w="211"/>
        <w:gridCol w:w="6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22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98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223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income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3,012 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671 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6,556 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908 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Currency revaluation gains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income, net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976 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792 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2,997 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1,957 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income, net</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5,662 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4,454 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10,447 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8,708 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99" w:type="dxa"/>
        <w:jc w:val="left"/>
        <w:tblInd w:w="0" w:type="dxa"/>
        <w:tblLayout w:type="fixed"/>
        <w:tblCellMar>
          <w:top w:w="28" w:type="dxa"/>
          <w:left w:w="28" w:type="dxa"/>
          <w:bottom w:w="28" w:type="dxa"/>
          <w:right w:w="28" w:type="dxa"/>
        </w:tblCellMar>
      </w:tblPr>
      <w:tblGrid>
        <w:gridCol w:w="287"/>
        <w:gridCol w:w="253"/>
        <w:gridCol w:w="359"/>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6. Debt</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summarizes our debt balances and the related weighted average effective interest rates, which includes the effect of interest rate swap agreements.</w:t>
      </w:r>
    </w:p>
    <w:tbl>
      <w:tblPr>
        <w:tblW w:w="9071" w:type="dxa"/>
        <w:jc w:val="left"/>
        <w:tblInd w:w="0" w:type="dxa"/>
        <w:tblLayout w:type="fixed"/>
        <w:tblCellMar>
          <w:top w:w="28" w:type="dxa"/>
          <w:left w:w="28" w:type="dxa"/>
          <w:bottom w:w="28" w:type="dxa"/>
          <w:right w:w="28" w:type="dxa"/>
        </w:tblCellMar>
      </w:tblPr>
      <w:tblGrid>
        <w:gridCol w:w="1505"/>
        <w:gridCol w:w="1322"/>
        <w:gridCol w:w="1327"/>
        <w:gridCol w:w="211"/>
        <w:gridCol w:w="826"/>
        <w:gridCol w:w="109"/>
        <w:gridCol w:w="211"/>
        <w:gridCol w:w="826"/>
        <w:gridCol w:w="109"/>
        <w:gridCol w:w="109"/>
        <w:gridCol w:w="109"/>
        <w:gridCol w:w="109"/>
        <w:gridCol w:w="270"/>
        <w:gridCol w:w="270"/>
        <w:gridCol w:w="600"/>
        <w:gridCol w:w="255"/>
        <w:gridCol w:w="256"/>
        <w:gridCol w:w="647"/>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Debt balance at</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Weighted average</w:t>
              <w:br/>
              <w:t>effective interest rate at</w:t>
            </w:r>
          </w:p>
        </w:tc>
      </w:tr>
      <w:tr>
        <w:trPr/>
        <w:tc>
          <w:tcPr>
            <w:tcW w:w="41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c>
          <w:tcPr>
            <w:tcW w:w="327"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15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41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Credit facility:</w:t>
            </w:r>
          </w:p>
        </w:tc>
        <w:tc>
          <w:tcPr>
            <w:tcW w:w="114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Revolving credit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7.67 </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5.18 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Term loans</w:t>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611,563 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623,750 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3.78 </w:t>
            </w:r>
          </w:p>
        </w:tc>
        <w:tc>
          <w:tcPr>
            <w:tcW w:w="60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4.26 </w:t>
            </w:r>
          </w:p>
        </w:tc>
        <w:tc>
          <w:tcPr>
            <w:tcW w:w="64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Real estate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5.22 </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5.22 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debt</w:t>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2,247 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8.42 </w:t>
            </w:r>
          </w:p>
        </w:tc>
        <w:tc>
          <w:tcPr>
            <w:tcW w:w="60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7.38 </w:t>
            </w:r>
          </w:p>
        </w:tc>
        <w:tc>
          <w:tcPr>
            <w:tcW w:w="64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debt</w:t>
            </w:r>
          </w:p>
        </w:tc>
        <w:tc>
          <w:tcPr>
            <w:tcW w:w="10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744,383 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861,986 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4.29 </w:t>
            </w:r>
          </w:p>
        </w:tc>
        <w:tc>
          <w:tcPr>
            <w:tcW w:w="60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4.52 </w:t>
            </w:r>
          </w:p>
        </w:tc>
        <w:tc>
          <w:tcPr>
            <w:tcW w:w="64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Unamortized discount and debt issuance costs</w:t>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2,943 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Debt,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7.20 </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6.45 </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415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Debt, net of current portion</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723,376 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840,241 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4.21 </w:t>
            </w:r>
          </w:p>
        </w:tc>
        <w:tc>
          <w:tcPr>
            <w:tcW w:w="60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51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4.48 </w:t>
            </w:r>
          </w:p>
        </w:tc>
        <w:tc>
          <w:tcPr>
            <w:tcW w:w="64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91540"/>
                <wp:effectExtent l="0" t="0" r="0" b="0"/>
                <wp:wrapNone/>
                <wp:docPr id="41" name="Frame1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2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2020 credit facility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October 2020, we entered into a five-year $900.0 million senior credit facility (the "2020 Credit Facility"). At September 30, 2023, we were in compliance with our debt covenants under the 2020 Credit Facility. </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Real estate loans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At September 30, 2023, we were in compliance with our debt covenants under the Real Estate Loans.</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Other debt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summarizes our currently effective supplier financing agreements as of September 30, 2023:</w:t>
      </w:r>
    </w:p>
    <w:tbl>
      <w:tblPr>
        <w:tblW w:w="7211" w:type="dxa"/>
        <w:jc w:val="left"/>
        <w:tblInd w:w="0" w:type="dxa"/>
        <w:tblLayout w:type="fixed"/>
        <w:tblCellMar>
          <w:top w:w="28" w:type="dxa"/>
          <w:left w:w="28" w:type="dxa"/>
          <w:bottom w:w="28" w:type="dxa"/>
          <w:right w:w="28" w:type="dxa"/>
        </w:tblCellMar>
      </w:tblPr>
      <w:tblGrid>
        <w:gridCol w:w="1027"/>
        <w:gridCol w:w="902"/>
        <w:gridCol w:w="906"/>
        <w:gridCol w:w="279"/>
        <w:gridCol w:w="279"/>
        <w:gridCol w:w="281"/>
        <w:gridCol w:w="434"/>
        <w:gridCol w:w="434"/>
        <w:gridCol w:w="436"/>
        <w:gridCol w:w="394"/>
        <w:gridCol w:w="394"/>
        <w:gridCol w:w="396"/>
        <w:gridCol w:w="226"/>
        <w:gridCol w:w="659"/>
        <w:gridCol w:w="16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8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Term</w:t>
              <w:br/>
              <w:t> in Months</w:t>
            </w:r>
          </w:p>
        </w:tc>
        <w:tc>
          <w:tcPr>
            <w:tcW w:w="13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Number of</w:t>
              <w:br/>
              <w:t>Annual Payments</w:t>
            </w:r>
          </w:p>
        </w:tc>
        <w:tc>
          <w:tcPr>
            <w:tcW w:w="118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First Annual</w:t>
              <w:br/>
              <w:t>Payment Due</w:t>
            </w:r>
          </w:p>
        </w:tc>
        <w:tc>
          <w:tcPr>
            <w:tcW w:w="104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Original Loan</w:t>
              <w:br/>
              <w:t>Value</w:t>
            </w:r>
          </w:p>
        </w:tc>
      </w:tr>
      <w:tr>
        <w:trPr/>
        <w:tc>
          <w:tcPr>
            <w:tcW w:w="283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pPr>
            <w:r>
              <w:rPr>
                <w:rFonts w:ascii="Calibri;sans-serif" w:hAnsi="Calibri;sans-serif"/>
                <w:b/>
                <w:color w:val="51555C"/>
                <w:sz w:val="20"/>
              </w:rPr>
              <w:t xml:space="preserve">Effective dates of agreements </w:t>
            </w:r>
            <w:r>
              <w:rPr>
                <w:rFonts w:ascii="Calibri;sans-serif" w:hAnsi="Calibri;sans-serif"/>
                <w:b/>
                <w:color w:val="51555C"/>
                <w:sz w:val="13"/>
              </w:rPr>
              <w:t>(1)</w:t>
            </w:r>
            <w:r>
              <w:rPr>
                <w:rFonts w:ascii="Calibri;sans-serif" w:hAnsi="Calibri;sans-serif"/>
                <w:b/>
                <w:color w:val="51555C"/>
                <w:sz w:val="20"/>
              </w:rPr>
              <w:t>:</w:t>
            </w:r>
          </w:p>
        </w:tc>
        <w:tc>
          <w:tcPr>
            <w:tcW w:w="83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December 2022</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January 2023</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January 2023</w:t>
            </w:r>
          </w:p>
        </w:tc>
        <w:tc>
          <w:tcPr>
            <w:tcW w:w="83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36</w:t>
            </w:r>
          </w:p>
        </w:tc>
        <w:tc>
          <w:tcPr>
            <w:tcW w:w="86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3 </w:t>
            </w:r>
          </w:p>
        </w:tc>
        <w:tc>
          <w:tcPr>
            <w:tcW w:w="43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April 2023</w:t>
            </w:r>
          </w:p>
        </w:tc>
        <w:tc>
          <w:tcPr>
            <w:tcW w:w="2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5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2,491 </w:t>
            </w:r>
          </w:p>
        </w:tc>
        <w:tc>
          <w:tcPr>
            <w:tcW w:w="16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shd w:fill="FFFFFF" w:val="clear"/>
        </w:rPr>
      </w:pPr>
      <w:r>
        <w:rPr>
          <w:rFonts w:ascii="Calibri;sans-serif" w:hAnsi="Calibri;sans-serif"/>
          <w:b w:val="false"/>
          <w:color w:val="51555C"/>
          <w:sz w:val="16"/>
          <w:shd w:fill="FFFFFF" w:val="clear"/>
        </w:rPr>
        <w:t>(1)Represent noncash investing and financing transactions during the periods indicated as we purchased software and services by assuming directly related liabilities.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changes in supplier financing obligations during the nine months ended September 30, 2023, consisted of the following:</w:t>
      </w:r>
    </w:p>
    <w:tbl>
      <w:tblPr>
        <w:tblW w:w="3666" w:type="dxa"/>
        <w:jc w:val="left"/>
        <w:tblInd w:w="0" w:type="dxa"/>
        <w:tblLayout w:type="fixed"/>
        <w:tblCellMar>
          <w:top w:w="28" w:type="dxa"/>
          <w:left w:w="28" w:type="dxa"/>
          <w:bottom w:w="28" w:type="dxa"/>
          <w:right w:w="28" w:type="dxa"/>
        </w:tblCellMar>
      </w:tblPr>
      <w:tblGrid>
        <w:gridCol w:w="972"/>
        <w:gridCol w:w="855"/>
        <w:gridCol w:w="858"/>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98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Total</w:t>
            </w:r>
          </w:p>
        </w:tc>
      </w:tr>
      <w:tr>
        <w:trPr/>
        <w:tc>
          <w:tcPr>
            <w:tcW w:w="268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Balance at December 31, 2022</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2,247 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Settlements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(1,938)</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Balance at September 30, 2023</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2,800 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29" w:type="dxa"/>
        <w:jc w:val="left"/>
        <w:tblInd w:w="0" w:type="dxa"/>
        <w:tblLayout w:type="fixed"/>
        <w:tblCellMar>
          <w:top w:w="28" w:type="dxa"/>
          <w:left w:w="28" w:type="dxa"/>
          <w:bottom w:w="28" w:type="dxa"/>
          <w:right w:w="28" w:type="dxa"/>
        </w:tblCellMar>
      </w:tblPr>
      <w:tblGrid>
        <w:gridCol w:w="874"/>
        <w:gridCol w:w="768"/>
        <w:gridCol w:w="108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7. Derivative Instruments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All of our derivative instruments are governed by International Swap Dealers Association, Inc. master agreements with our counterparties. As of September 30, 2023 and December 31, 2022, we have presented the fair value of our derivative instruments at the gross amounts in the condensed consolidated balance sheets as the gross fair values of our derivative instruments equaled their net fair values.</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Cash flow hedges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entered into interest rate swap agreements, which effectively convert portions of our variable rate debt under the 2020 Credit Facility to a fixed rate for the term of the swap agreements. We designated each of the interest rate swaps as cash flow hedges at the inception of the contracts. As of September 30, 2023 and December 31, 2022, the aggregate notional values of the interest rate swaps were $935.0 million and $435.0 million, respectively. All of the contracts have maturities on or before October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91540"/>
                <wp:effectExtent l="0" t="0" r="0" b="0"/>
                <wp:wrapNone/>
                <wp:docPr id="44" name="Frame1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31"/>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32"/>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September 30, 2023 and December 31, 2022, the aggregate notional values of the foreign currency forward contracts designated as cash flow hedges that we held to buy USD in exchange for Canadian Dollars were $28.5 million CAD and $22.6 million CAD, respectively. All of the contracts have maturities of 12 months or less. </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Net investment hedges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September 30, 2023 and December 31, 2022, the aggregate notional values of the foreign currency forward contracts designated as net investment hedges to reduce the volatility of the U.S. dollar value of a portion of our GBP-denominated investments was £12.5 million and £11.2 million, respectively.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fair values of our derivative instruments were as follows as of:</w:t>
      </w:r>
    </w:p>
    <w:tbl>
      <w:tblPr>
        <w:tblW w:w="10205" w:type="dxa"/>
        <w:jc w:val="left"/>
        <w:tblInd w:w="0" w:type="dxa"/>
        <w:tblLayout w:type="fixed"/>
        <w:tblCellMar>
          <w:top w:w="28" w:type="dxa"/>
          <w:left w:w="28" w:type="dxa"/>
          <w:bottom w:w="28" w:type="dxa"/>
          <w:right w:w="28" w:type="dxa"/>
        </w:tblCellMar>
      </w:tblPr>
      <w:tblGrid>
        <w:gridCol w:w="1212"/>
        <w:gridCol w:w="954"/>
        <w:gridCol w:w="943"/>
        <w:gridCol w:w="521"/>
        <w:gridCol w:w="433"/>
        <w:gridCol w:w="435"/>
        <w:gridCol w:w="220"/>
        <w:gridCol w:w="753"/>
        <w:gridCol w:w="113"/>
        <w:gridCol w:w="216"/>
        <w:gridCol w:w="738"/>
        <w:gridCol w:w="111"/>
        <w:gridCol w:w="109"/>
        <w:gridCol w:w="109"/>
        <w:gridCol w:w="109"/>
        <w:gridCol w:w="462"/>
        <w:gridCol w:w="374"/>
        <w:gridCol w:w="376"/>
        <w:gridCol w:w="291"/>
        <w:gridCol w:w="561"/>
        <w:gridCol w:w="151"/>
        <w:gridCol w:w="254"/>
        <w:gridCol w:w="562"/>
        <w:gridCol w:w="198"/>
      </w:tblGrid>
      <w:tr>
        <w:trPr/>
        <w:tc>
          <w:tcPr>
            <w:tcW w:w="121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10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Asset derivatives</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Liability derivatives</w:t>
            </w:r>
          </w:p>
        </w:tc>
      </w:tr>
      <w:tr>
        <w:trPr/>
        <w:tc>
          <w:tcPr>
            <w:tcW w:w="31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38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Balance sheet location</w:t>
            </w:r>
          </w:p>
        </w:tc>
        <w:tc>
          <w:tcPr>
            <w:tcW w:w="10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06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Balance sheet location</w:t>
            </w:r>
          </w:p>
        </w:tc>
        <w:tc>
          <w:tcPr>
            <w:tcW w:w="100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01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310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Derivative instruments designated as hedging instruments:</w:t>
            </w:r>
          </w:p>
        </w:tc>
        <w:tc>
          <w:tcPr>
            <w:tcW w:w="138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 current portion</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Calibri;sans-serif" w:hAnsi="Calibri;sans-serif"/>
                <w:b w:val="false"/>
                <w:color w:val="51555C"/>
                <w:sz w:val="20"/>
              </w:rPr>
            </w:pPr>
            <w:r>
              <w:rPr>
                <w:rFonts w:ascii="Calibri;sans-serif" w:hAnsi="Calibri;sans-serif"/>
                <w:b w:val="false"/>
                <w:color w:val="51555C"/>
                <w:sz w:val="20"/>
              </w:rPr>
              <w:t>Prepaid expenses</w:t>
            </w:r>
          </w:p>
          <w:p>
            <w:pPr>
              <w:pStyle w:val="TableContents"/>
              <w:bidi w:val="0"/>
              <w:spacing w:lineRule="auto" w:line="288" w:before="60" w:after="283"/>
              <w:jc w:val="right"/>
              <w:rPr>
                <w:rFonts w:ascii="Calibri;sans-serif" w:hAnsi="Calibri;sans-serif"/>
                <w:b w:val="false"/>
                <w:color w:val="51555C"/>
                <w:sz w:val="20"/>
              </w:rPr>
            </w:pPr>
            <w:r>
              <w:rPr>
                <w:rFonts w:ascii="Calibri;sans-serif" w:hAnsi="Calibri;sans-serif"/>
                <w:b w:val="false"/>
                <w:color w:val="51555C"/>
                <w:sz w:val="20"/>
              </w:rPr>
              <w:t>and other current assets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Accrued expenses</w:t>
              <w:br/>
              <w:t>and other</w:t>
              <w:br/>
              <w:t>current liabilities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Interest rate swaps, long-term</w:t>
            </w:r>
          </w:p>
        </w:tc>
        <w:tc>
          <w:tcPr>
            <w:tcW w:w="13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Other assets</w:t>
            </w:r>
          </w:p>
        </w:tc>
        <w:tc>
          <w:tcPr>
            <w:tcW w:w="97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30,359 </w:t>
            </w:r>
          </w:p>
        </w:tc>
        <w:tc>
          <w:tcPr>
            <w:tcW w:w="11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31,870 </w:t>
            </w:r>
          </w:p>
        </w:tc>
        <w:tc>
          <w:tcPr>
            <w:tcW w:w="11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Other liabilities</w:t>
            </w:r>
          </w:p>
        </w:tc>
        <w:tc>
          <w:tcPr>
            <w:tcW w:w="8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Total derivative instruments designated as hedging instruments</w:t>
            </w:r>
          </w:p>
        </w:tc>
        <w:tc>
          <w:tcPr>
            <w:tcW w:w="1389"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30,792 </w:t>
            </w:r>
          </w:p>
        </w:tc>
        <w:tc>
          <w:tcPr>
            <w:tcW w:w="11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3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32,117 </w:t>
            </w:r>
          </w:p>
        </w:tc>
        <w:tc>
          <w:tcPr>
            <w:tcW w:w="1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5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56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323 </w:t>
            </w:r>
          </w:p>
        </w:tc>
        <w:tc>
          <w:tcPr>
            <w:tcW w:w="19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effects of derivative instruments in cash flow and net investment hedging relationships were as follows:</w:t>
      </w:r>
    </w:p>
    <w:tbl>
      <w:tblPr>
        <w:tblW w:w="9636" w:type="dxa"/>
        <w:jc w:val="left"/>
        <w:tblInd w:w="0" w:type="dxa"/>
        <w:tblLayout w:type="fixed"/>
        <w:tblCellMar>
          <w:top w:w="28" w:type="dxa"/>
          <w:left w:w="28" w:type="dxa"/>
          <w:bottom w:w="28" w:type="dxa"/>
          <w:right w:w="28" w:type="dxa"/>
        </w:tblCellMar>
      </w:tblPr>
      <w:tblGrid>
        <w:gridCol w:w="1053"/>
        <w:gridCol w:w="926"/>
        <w:gridCol w:w="930"/>
        <w:gridCol w:w="328"/>
        <w:gridCol w:w="1122"/>
        <w:gridCol w:w="170"/>
        <w:gridCol w:w="484"/>
        <w:gridCol w:w="484"/>
        <w:gridCol w:w="486"/>
        <w:gridCol w:w="348"/>
        <w:gridCol w:w="1018"/>
        <w:gridCol w:w="179"/>
        <w:gridCol w:w="162"/>
        <w:gridCol w:w="162"/>
        <w:gridCol w:w="162"/>
        <w:gridCol w:w="315"/>
        <w:gridCol w:w="1077"/>
        <w:gridCol w:w="230"/>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Gain recognized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in accumulated other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comprehensive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 as of</w:t>
            </w:r>
          </w:p>
        </w:tc>
        <w:tc>
          <w:tcPr>
            <w:tcW w:w="145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Location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of gain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reclassified from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accumulated other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 xml:space="preserve">comprehensive </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 into</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income (loss)</w:t>
            </w:r>
          </w:p>
        </w:tc>
        <w:tc>
          <w:tcPr>
            <w:tcW w:w="3653"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Gain reclassified from accumulated</w:t>
            </w:r>
          </w:p>
          <w:p>
            <w:pPr>
              <w:pStyle w:val="TableContents"/>
              <w:bidi w:val="0"/>
              <w:spacing w:lineRule="auto" w:line="288" w:before="0" w:after="0"/>
              <w:jc w:val="right"/>
              <w:rPr>
                <w:color w:val="FFFFFF"/>
              </w:rPr>
            </w:pPr>
            <w:r>
              <w:rPr>
                <w:color w:val="FFFFFF"/>
              </w:rPr>
              <w:t> </w:t>
            </w:r>
            <w:r>
              <w:rPr>
                <w:rFonts w:ascii="Calibri;sans-serif" w:hAnsi="Calibri;sans-serif"/>
                <w:b/>
                <w:color w:val="FFFFFF"/>
                <w:sz w:val="16"/>
              </w:rPr>
              <w:t>other comprehensive income into income (loss)</w:t>
            </w:r>
          </w:p>
        </w:tc>
      </w:tr>
      <w:tr>
        <w:trPr/>
        <w:tc>
          <w:tcPr>
            <w:tcW w:w="29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62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45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54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 2023</w:t>
            </w:r>
          </w:p>
        </w:tc>
        <w:tc>
          <w:tcPr>
            <w:tcW w:w="486"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 2023</w:t>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Cash Flow Hedges</w:t>
            </w:r>
          </w:p>
        </w:tc>
        <w:tc>
          <w:tcPr>
            <w:tcW w:w="162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rate swaps</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30,359 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Interest expense</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14,956 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182 </w:t>
            </w:r>
          </w:p>
        </w:tc>
        <w:tc>
          <w:tcPr>
            <w:tcW w:w="1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Revenue</w:t>
            </w:r>
          </w:p>
        </w:tc>
        <w:tc>
          <w:tcPr>
            <w:tcW w:w="34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7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316 </w:t>
            </w:r>
          </w:p>
        </w:tc>
        <w:tc>
          <w:tcPr>
            <w:tcW w:w="2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Net Investment Hedges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251 </w:t>
            </w:r>
          </w:p>
        </w:tc>
        <w:tc>
          <w:tcPr>
            <w:tcW w:w="1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7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2022</w:t>
            </w:r>
          </w:p>
        </w:tc>
        <w:tc>
          <w:tcPr>
            <w:tcW w:w="1454"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 2022</w:t>
            </w:r>
          </w:p>
        </w:tc>
        <w:tc>
          <w:tcPr>
            <w:tcW w:w="486"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 2022</w:t>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Cash Flow Hedges</w:t>
            </w:r>
          </w:p>
        </w:tc>
        <w:tc>
          <w:tcPr>
            <w:tcW w:w="162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rate swaps</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33,120 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Interest expense</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879 </w:t>
            </w:r>
          </w:p>
        </w:tc>
        <w:tc>
          <w:tcPr>
            <w:tcW w:w="1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Revenue</w:t>
            </w:r>
          </w:p>
        </w:tc>
        <w:tc>
          <w:tcPr>
            <w:tcW w:w="34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22 </w:t>
            </w:r>
          </w:p>
        </w:tc>
        <w:tc>
          <w:tcPr>
            <w:tcW w:w="17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7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22 </w:t>
            </w:r>
          </w:p>
        </w:tc>
        <w:tc>
          <w:tcPr>
            <w:tcW w:w="23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Net Investment Hedges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Foreign currency forward contracts</w:t>
            </w:r>
          </w:p>
        </w:tc>
        <w:tc>
          <w:tcPr>
            <w:tcW w:w="32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122"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585 </w:t>
            </w:r>
          </w:p>
        </w:tc>
        <w:tc>
          <w:tcPr>
            <w:tcW w:w="170"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1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7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107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230"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91540"/>
                <wp:effectExtent l="0" t="0" r="0" b="0"/>
                <wp:wrapNone/>
                <wp:docPr id="47" name="Frame1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3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September 30, 2023 that is expected to be reclassified into earnings within the next twelve months is $21.6 million. There were no ineffective portions of our interest rate swap or foreign currency forward derivatives during the nine months ended September 30, 2023 and 2022. See Note 10 to these condensed consolidated financial statements for a summary of the changes in accumulated other comprehensive income (loss) by component. We classify cash flows related to derivative instruments as operating activities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50" w:type="dxa"/>
        <w:jc w:val="left"/>
        <w:tblInd w:w="0" w:type="dxa"/>
        <w:tblLayout w:type="fixed"/>
        <w:tblCellMar>
          <w:top w:w="28" w:type="dxa"/>
          <w:left w:w="28" w:type="dxa"/>
          <w:bottom w:w="28" w:type="dxa"/>
          <w:right w:w="28" w:type="dxa"/>
        </w:tblCellMar>
      </w:tblPr>
      <w:tblGrid>
        <w:gridCol w:w="1200"/>
        <w:gridCol w:w="1056"/>
        <w:gridCol w:w="1494"/>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8. Commitments and Contingencies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Leases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operating leases for corporate offices, subleased offices and certain equipment and furniture. As of September 30, 2023, we did not have any operating leases that had not yet commenced.</w:t>
      </w:r>
    </w:p>
    <w:p>
      <w:pPr>
        <w:pStyle w:val="TextBody"/>
        <w:bidi w:val="0"/>
        <w:spacing w:lineRule="auto" w:line="288" w:before="180" w:after="283"/>
        <w:jc w:val="left"/>
        <w:rPr>
          <w:rFonts w:ascii="Calibri;sans-serif" w:hAnsi="Calibri;sans-serif"/>
          <w:b w:val="false"/>
          <w:color w:val="51555C"/>
          <w:sz w:val="20"/>
        </w:rPr>
      </w:pPr>
      <w:r>
        <w:rPr>
          <w:rFonts w:ascii="Calibri;sans-serif" w:hAnsi="Calibri;sans-serif"/>
          <w:b w:val="false"/>
          <w:color w:val="51555C"/>
          <w:sz w:val="20"/>
        </w:rPr>
        <w:t>The following table summarizes the components of our lease expense:</w:t>
      </w:r>
    </w:p>
    <w:tbl>
      <w:tblPr>
        <w:tblW w:w="5991" w:type="dxa"/>
        <w:jc w:val="left"/>
        <w:tblInd w:w="0" w:type="dxa"/>
        <w:tblLayout w:type="fixed"/>
        <w:tblCellMar>
          <w:top w:w="28" w:type="dxa"/>
          <w:left w:w="28" w:type="dxa"/>
          <w:bottom w:w="28" w:type="dxa"/>
          <w:right w:w="28" w:type="dxa"/>
        </w:tblCellMar>
      </w:tblPr>
      <w:tblGrid>
        <w:gridCol w:w="679"/>
        <w:gridCol w:w="597"/>
        <w:gridCol w:w="599"/>
        <w:gridCol w:w="211"/>
        <w:gridCol w:w="616"/>
        <w:gridCol w:w="109"/>
        <w:gridCol w:w="211"/>
        <w:gridCol w:w="616"/>
        <w:gridCol w:w="109"/>
        <w:gridCol w:w="109"/>
        <w:gridCol w:w="109"/>
        <w:gridCol w:w="109"/>
        <w:gridCol w:w="211"/>
        <w:gridCol w:w="616"/>
        <w:gridCol w:w="109"/>
        <w:gridCol w:w="211"/>
        <w:gridCol w:w="61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187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98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187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Operating lease cost</w:t>
            </w:r>
            <w:r>
              <w:rPr>
                <w:rFonts w:ascii="Calibri;sans-serif" w:hAnsi="Calibri;sans-serif"/>
                <w:b w:val="false"/>
                <w:color w:val="51555C"/>
                <w:sz w:val="13"/>
              </w:rPr>
              <w:t>(1)</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2,216 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2,301 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6,905 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7,273 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Sublease income</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(833)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(791)</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(2,498)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(1,988)</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lease cost</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1,740 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1,910 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5,591 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6,535 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short-term lease costs, which were immaterial.</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Other commitments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contractual obligations for third-party technology used in our solutions and for other services we purchase as part of our normal operations. In certain cases, these arrangements require a minimum annual purchase commitment by us. As of September 30, 2023, the remaining aggregate minimum purchase commitment under these arrangements was approximately $273.3 million through 2027.</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Solution and service indemnifications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91540"/>
                <wp:effectExtent l="0" t="0" r="0" b="0"/>
                <wp:wrapNone/>
                <wp:docPr id="50" name="Frame1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35"/>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36"/>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Legal proceedings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subject to legal proceedings and claims that arise in the ordinary course of business, as well as certain other non-ordinary course proceedings, claims and investigations,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pStyle w:val="TextBody"/>
        <w:bidi w:val="0"/>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do not believe that any data went beyond the cybercriminal, has been misused, or has been disseminated or otherwise made available publicly. Our investigation into the Security Incident remains ongoing.</w:t>
      </w:r>
    </w:p>
    <w:p>
      <w:pPr>
        <w:pStyle w:val="TextBody"/>
        <w:bidi w:val="0"/>
        <w:spacing w:lineRule="auto" w:line="288" w:before="180" w:after="283"/>
        <w:jc w:val="both"/>
        <w:rPr/>
      </w:pPr>
      <w:r>
        <w:rPr>
          <w:rFonts w:ascii="Calibri;sans-serif" w:hAnsi="Calibri;sans-serif"/>
          <w:b w:val="false"/>
          <w:color w:val="51555C"/>
          <w:sz w:val="20"/>
        </w:rPr>
        <w:t>As a result of the Security Incident, we are currently subject to certain legal proceedings, claims and investigations, as discussed below, and could be the subject of additional legal proceedings, claims, inquiries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reduced our fina</w:t>
      </w:r>
      <w:r>
        <w:rPr>
          <w:rFonts w:ascii="Calibri;sans-serif" w:hAnsi="Calibri;sans-serif"/>
          <w:b w:val="false"/>
          <w:color w:val="51555C"/>
          <w:sz w:val="20"/>
          <w:shd w:fill="FFFFFF" w:val="clear"/>
        </w:rPr>
        <w:t>ncial exposure related to the Security Incident in prior years.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recorded expenses and offsetting insurance recoveries related to the Security Incident as follows:</w:t>
      </w:r>
    </w:p>
    <w:tbl>
      <w:tblPr>
        <w:tblW w:w="6996" w:type="dxa"/>
        <w:jc w:val="left"/>
        <w:tblInd w:w="0" w:type="dxa"/>
        <w:tblLayout w:type="fixed"/>
        <w:tblCellMar>
          <w:top w:w="28" w:type="dxa"/>
          <w:left w:w="28" w:type="dxa"/>
          <w:bottom w:w="28" w:type="dxa"/>
          <w:right w:w="28" w:type="dxa"/>
        </w:tblCellMar>
      </w:tblPr>
      <w:tblGrid>
        <w:gridCol w:w="929"/>
        <w:gridCol w:w="816"/>
        <w:gridCol w:w="820"/>
        <w:gridCol w:w="211"/>
        <w:gridCol w:w="616"/>
        <w:gridCol w:w="109"/>
        <w:gridCol w:w="211"/>
        <w:gridCol w:w="721"/>
        <w:gridCol w:w="109"/>
        <w:gridCol w:w="109"/>
        <w:gridCol w:w="109"/>
        <w:gridCol w:w="109"/>
        <w:gridCol w:w="211"/>
        <w:gridCol w:w="721"/>
        <w:gridCol w:w="109"/>
        <w:gridCol w:w="211"/>
        <w:gridCol w:w="72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25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256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Gross expense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4,086 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13,658 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48,646 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31,098 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Offsetting insurance 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expense</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4,086 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13,658 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48,646 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29,207 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91540"/>
                <wp:effectExtent l="0" t="0" r="0" b="0"/>
                <wp:wrapNone/>
                <wp:docPr id="53" name="Frame1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summarizes our cumulative expenses, insurance recoveries recognized and insurance recoveries paid as of:</w:t>
      </w:r>
    </w:p>
    <w:tbl>
      <w:tblPr>
        <w:tblW w:w="6702" w:type="dxa"/>
        <w:jc w:val="left"/>
        <w:tblInd w:w="0" w:type="dxa"/>
        <w:tblLayout w:type="fixed"/>
        <w:tblCellMar>
          <w:top w:w="28" w:type="dxa"/>
          <w:left w:w="28" w:type="dxa"/>
          <w:bottom w:w="28" w:type="dxa"/>
          <w:right w:w="28" w:type="dxa"/>
        </w:tblCellMar>
      </w:tblPr>
      <w:tblGrid>
        <w:gridCol w:w="1581"/>
        <w:gridCol w:w="1389"/>
        <w:gridCol w:w="1395"/>
        <w:gridCol w:w="211"/>
        <w:gridCol w:w="826"/>
        <w:gridCol w:w="109"/>
        <w:gridCol w:w="211"/>
        <w:gridCol w:w="826"/>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436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gross expense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156,651 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108,005 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offsetting insurance recoveries recognized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net expense</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106,651 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58,005 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Cumulative offsetting insurance recoveries paid</w:t>
            </w:r>
          </w:p>
        </w:tc>
        <w:tc>
          <w:tcPr>
            <w:tcW w:w="21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(50,000)</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Recorded expenses have consisted primarily of payments to third-party service providers and consultants, including legal fees, settlement of the previously disclosed SEC investigation (as discussed below), settlements of customer claims and accruals for certain loss contingencies (including for the multi-state Attorneys General investigation discussed below). Not included in the expenses discussed above were costs associated with enhancements to our cybersecurity program. We present expenses and insurance recoveries related to the Security Incident in general and administrative expense on our unaudited, condensed consolidated statements of comprehensive income (loss) and as operating activities on our unaudited, condensed consolidated statements of cash flows. Total costs related to the Security Incident exceeded the limit of our insurance coverage during the first quarter of 2022. We expect to continue to experience significant expenses related to our response to the Security Incident, resolution of legal proceedings, claims and investigations, including those discussed below, and our efforts to further enhance our cybersecurity measures. For the three and nine months ended September 30, 2023, we incurred net pre-tax expenses of $4.1 million and $48.6 million, respectively, related to the Security Incident, which included $4.1 million and $18.6 million, respectively, for ongoing legal fees and additional accruals for loss contingencies of $0.00 million and $30.0 million, respectively. During the nine months ended September 30, 2023, we had net cash outlays of $23.1 million related to the Security Incident, which included ongoing legal fees and the $3.0 million civil penalty paid related to the SEC settlement (as discussed below). In line with our policy, legal fees are expensed as incurred. For full year 2023, we currently expect net pre-tax expense of approximately $20.0 million to $30.0 million and net cash outlays of approximately $25.0 million to $35.0 million for ongoing legal fees related to the Security Incident. Not included in these ranges are our previous settlements or current accruals for loss contingencies related to the matters discussed below. As discussed below and in Note 12 to these unaudited, condensed consolidated financial statements, we expect to pay $49.5 million during the fourth quarter of 2023 related to a settlement reached with each of 49 state Attorneys General and the District of Columbia in connection with their investigation of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September 30, 2023, we have recorded approximately $50.0 million in aggregate liabilities for loss contingencies based primarily on negotiations with certain governmental agencies related to the Security Incident that we believed we could reasonably estimate in accordance with our loss contingency procedures described above and as more fully described in Note 12 to these unaudited, condensed consolidated financial statements. Our liabilities for loss contingencies are recorded in accrued expenses and other current liabilities on our unaudited, condensed consolidated balance sheets.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other Security Incident-related matters, including customer claims, customer constituent class actions and governmental investigations, for which we have not recorded a liability for a loss contingency as of September 30, 2023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91540"/>
                <wp:effectExtent l="0" t="0" r="0" b="0"/>
                <wp:wrapNone/>
                <wp:docPr id="56" name="Frame1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39"/>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40"/>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pPr>
      <w:r>
        <w:rPr>
          <w:rFonts w:ascii="Calibri;sans-serif" w:hAnsi="Calibri;sans-serif"/>
          <w:b/>
          <w:i/>
          <w:color w:val="51555C"/>
          <w:sz w:val="20"/>
        </w:rPr>
        <w:t>Customer claims.</w:t>
      </w:r>
      <w:r>
        <w:rPr>
          <w:color w:val="51555C"/>
        </w:rPr>
        <w:t xml:space="preserve"> </w:t>
      </w:r>
      <w:r>
        <w:rPr>
          <w:rFonts w:ascii="Calibri;sans-serif" w:hAnsi="Calibri;sans-serif"/>
          <w:b w:val="false"/>
          <w:color w:val="51555C"/>
          <w:sz w:val="20"/>
        </w:rPr>
        <w:t>To date, we have received approximately 260 specific requests for reimbursement of expenses, approximately 214 (or 82%) of which have been fully resolved and closed. We have also received approximately 400 reservations of the right to seek expense recovery in the future from customers or their attorneys in the U.S., U.K. and Canada related to the Security Incident. We have also received notices of proposed claims on behalf of a number of U.K. data subjects, which we are reviewing. In addition, insurance companies representing various customers’ interests through subrogation claims have contacted us, and certain insurance companies have filed subrogation claims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includes analyzing individual customer contracts into which we have entered, the specific claims made and applicable law.</w:t>
      </w:r>
    </w:p>
    <w:p>
      <w:pPr>
        <w:pStyle w:val="TextBody"/>
        <w:bidi w:val="0"/>
        <w:spacing w:lineRule="auto" w:line="288" w:before="180" w:after="283"/>
        <w:jc w:val="both"/>
        <w:rPr/>
      </w:pPr>
      <w:r>
        <w:rPr>
          <w:rFonts w:ascii="Calibri;sans-serif" w:hAnsi="Calibri;sans-serif"/>
          <w:b/>
          <w:i/>
          <w:color w:val="51555C"/>
          <w:sz w:val="20"/>
        </w:rPr>
        <w:t xml:space="preserve">Customer constituent class actions. </w:t>
      </w:r>
      <w:r>
        <w:rPr>
          <w:rFonts w:ascii="Calibri;sans-serif" w:hAnsi="Calibri;sans-serif"/>
          <w:b w:val="false"/>
          <w:color w:val="51555C"/>
          <w:sz w:val="20"/>
        </w:rPr>
        <w:t>Presently, we are a defendant in putative consumer class action cases in U.S. federal courts (most of which have been consolidated under multi district litigation to a single federal court) and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We are currently engaged in court proceedings to determine whether this will proceed as a class action.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Furthermore, for putative class actions, it is often not possible to reasonably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pStyle w:val="TextBody"/>
        <w:bidi w:val="0"/>
        <w:spacing w:lineRule="auto" w:line="288" w:before="180" w:after="283"/>
        <w:jc w:val="both"/>
        <w:rPr/>
      </w:pPr>
      <w:r>
        <w:rPr>
          <w:rFonts w:ascii="Calibri;sans-serif" w:hAnsi="Calibri;sans-serif"/>
          <w:b/>
          <w:i/>
          <w:color w:val="51555C"/>
          <w:sz w:val="20"/>
        </w:rPr>
        <w:t>Governmental investigations.</w:t>
      </w:r>
      <w:r>
        <w:rPr>
          <w:color w:val="51555C"/>
        </w:rPr>
        <w:t xml:space="preserve"> </w:t>
      </w:r>
      <w:r>
        <w:rPr>
          <w:rFonts w:ascii="Calibri;sans-serif" w:hAnsi="Calibri;sans-serif"/>
          <w:b w:val="false"/>
          <w:color w:val="51555C"/>
          <w:sz w:val="20"/>
        </w:rPr>
        <w:t>We have received a Civil Investigative Demand from the office of the California Attorney General relating to the Security Incident and are in discussions with the Attorney General about potential resolution of issues arising from this investigation. Although we are hopeful that we can resolve this matter on acceptable terms, there is no assurance that we will be able to do so on terms acceptable to us and the state of California.</w:t>
      </w:r>
    </w:p>
    <w:p>
      <w:pPr>
        <w:pStyle w:val="TextBody"/>
        <w:bidi w:val="0"/>
        <w:spacing w:lineRule="auto" w:line="288" w:before="180" w:after="283"/>
        <w:jc w:val="left"/>
        <w:rPr>
          <w:rFonts w:ascii="Calibri;sans-serif" w:hAnsi="Calibri;sans-serif"/>
          <w:b w:val="false"/>
          <w:color w:val="51555C"/>
          <w:sz w:val="20"/>
        </w:rPr>
      </w:pPr>
      <w:r>
        <w:rPr>
          <w:rFonts w:ascii="Calibri;sans-serif" w:hAnsi="Calibri;sans-serif"/>
          <w:b w:val="false"/>
          <w:color w:val="51555C"/>
          <w:sz w:val="20"/>
        </w:rPr>
        <w:t xml:space="preserve">We also are subject to the following pending governmental actions: </w:t>
      </w:r>
    </w:p>
    <w:p>
      <w:pPr>
        <w:pStyle w:val="TextBody"/>
        <w:bidi w:val="0"/>
        <w:spacing w:lineRule="auto" w:line="288" w:before="120" w:after="283"/>
        <w:ind w:left="0" w:right="0" w:hanging="360"/>
        <w:jc w:val="both"/>
        <w:rPr/>
      </w:pPr>
      <w:r>
        <w:rPr>
          <w:color w:val="51555C"/>
        </w:rPr>
        <w:t>•</w:t>
      </w:r>
      <w:r>
        <w:rPr>
          <w:rFonts w:ascii="Calibri;sans-serif" w:hAnsi="Calibri;sans-serif"/>
          <w:b w:val="false"/>
          <w:color w:val="51555C"/>
          <w:sz w:val="20"/>
        </w:rPr>
        <w:t>an investigation by the U.S. Federal Trade Commission; and</w:t>
      </w:r>
    </w:p>
    <w:p>
      <w:pPr>
        <w:pStyle w:val="TextBody"/>
        <w:bidi w:val="0"/>
        <w:spacing w:lineRule="auto" w:line="288" w:before="120" w:after="283"/>
        <w:ind w:left="0" w:right="0" w:hanging="360"/>
        <w:jc w:val="both"/>
        <w:rPr/>
      </w:pPr>
      <w:r>
        <w:rPr>
          <w:color w:val="51555C"/>
        </w:rPr>
        <w:t>•</w:t>
      </w:r>
      <w:r>
        <w:rPr>
          <w:rFonts w:ascii="Calibri;sans-serif" w:hAnsi="Calibri;sans-serif"/>
          <w:b w:val="false"/>
          <w:color w:val="51555C"/>
          <w:sz w:val="20"/>
        </w:rPr>
        <w:t>an investigation by the U.S. Department of Health and Human Services.</w:t>
      </w:r>
    </w:p>
    <w:p>
      <w:pPr>
        <w:pStyle w:val="TextBody"/>
        <w:bidi w:val="0"/>
        <w:spacing w:lineRule="auto" w:line="288" w:before="120" w:after="283"/>
        <w:jc w:val="both"/>
        <w:rPr>
          <w:rFonts w:ascii="Calibri;sans-serif" w:hAnsi="Calibri;sans-serif"/>
          <w:b w:val="false"/>
          <w:color w:val="51555C"/>
          <w:sz w:val="20"/>
        </w:rPr>
      </w:pPr>
      <w:r>
        <w:rPr>
          <w:rFonts w:ascii="Calibri;sans-serif" w:hAnsi="Calibri;sans-serif"/>
          <w:b w:val="false"/>
          <w:color w:val="51555C"/>
          <w:sz w:val="20"/>
        </w:rPr>
        <w:t xml:space="preserve">We also responded to inquiries from the Office of the Australian Information Commissioner in September 2020 and the Office of the Privacy Commissioner of Canada in October 2020.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on October 5, 2023, the Company reached a settlement with each of 49 state Attorneys General and the District of Columbia in connection with the Security Incident. This settlement fully resolves the previously disclosed multi-state Civil Investigative Demand and the separate Civil Investigative Demand from the Office of the Indiana Attorney General relating to the Security Incident, which is further described in the substantially similar Assurances of Voluntary Compliance or Assurances of Discontinuance with each of 49 state Attorneys General and the District of Columbia (collectively, the “Administrative Orders”). See Note 12 to these unaudited,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91540"/>
                <wp:effectExtent l="0" t="0" r="0" b="0"/>
                <wp:wrapNone/>
                <wp:docPr id="59" name="Frame2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4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42"/>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on March 9, 2023, the Company reached a settlement with the SEC in connection with the Security Incident. This settlement fully resolves the previously disclosed SEC investigation of the Security Incident and is further described in an SEC cease-and-desist order (the “SEC Order”). Under the terms of the SEC Order, the Company has agreed to cease-and-desist from committing or causing any violations or any future violations of Sections 17(a)(2) and (3) of the Securities Act of 1933, as amended (the “Securities Act”), and Section 13(a) of the Securities Exchange Act of 1934, as amended (the “Exchange Act”), and Rules 12b-20, 13a-13 and 13a-15(a) thereunder. No other violations of the securities laws are alleged in the SEC Order. As part of the SEC Order, the Company also agreed to pay, and has paid, a civil penalty in the amount of $3.0 million. The Company consented to the entry of the SEC Order without admitting or denying the findings of the SEC Order, other than with respect to the SEC’s jurisdiction over the Company and the subject matter of the SEC Order. The SEC Order describing the settlement was furnished as Exhibit 99.1 and the SEC’s press release announcing this resolution is furnished as Exhibit 99.2 to the Company’s Current Report on Form 8-K filed with the SEC on March 9, 2023.</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September 28, 2021, the Information Commissioner’s Office in the United Kingdom under the U.K. Data Protection Act 2018 (the "ICO") notified us that it has closed its investigation of the Security Incident. Based on its investigation and having considered our actions before, during and after the Security Incident, the ICO issued our European subsidiary a reprimand in accordance with Article 58(2)(b) of the U.K. General Data Protection Regulation ("U.K. GDPR") due to our non-compliance, in the ICO's view, with the requirements set out in Article 32 of the U.K. GDPR regarding the processing of personal data. The ICO did not impose a penalty related to the Security Incident, nor did it impose any requirements for further action by us.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September 24, 2021, we received notice from the Spanish Data Protection Authority that it has concluded its investigation of the Security Incident, pursuant to which our European subsidiary paid a penalty of €60,000 in relation to the alleged late notification of two Spanish data controllers regarding the Security Incident.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January 15, 2021, we were notified by the Data Protection Commission of Ireland that it has concluded its investigation of the Security Incident without taking any action against us.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continue to cooperate with all ongoing investigations, which include various requests for documents, policies, narratives and communications, as well as requests to interview or depose various Company-related personnel. As noted above, each of these separate governmental investigations could result in adverse judgments, settlements, fines, penalties or other resolution, the amount, scope and timing of which we are currently unable to predict, but could have a material adverse impact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69" w:type="dxa"/>
        <w:jc w:val="left"/>
        <w:tblInd w:w="0" w:type="dxa"/>
        <w:tblLayout w:type="fixed"/>
        <w:tblCellMar>
          <w:top w:w="28" w:type="dxa"/>
          <w:left w:w="28" w:type="dxa"/>
          <w:bottom w:w="28" w:type="dxa"/>
          <w:right w:w="28" w:type="dxa"/>
        </w:tblCellMar>
      </w:tblPr>
      <w:tblGrid>
        <w:gridCol w:w="566"/>
        <w:gridCol w:w="496"/>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9. Income Taxes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income tax provision (benefit) and effective income tax rates, including the effects of period-specific events, were:</w:t>
      </w:r>
    </w:p>
    <w:tbl>
      <w:tblPr>
        <w:tblW w:w="7359" w:type="dxa"/>
        <w:jc w:val="left"/>
        <w:tblInd w:w="0" w:type="dxa"/>
        <w:tblLayout w:type="fixed"/>
        <w:tblCellMar>
          <w:top w:w="28" w:type="dxa"/>
          <w:left w:w="28" w:type="dxa"/>
          <w:bottom w:w="28" w:type="dxa"/>
          <w:right w:w="28" w:type="dxa"/>
        </w:tblCellMar>
      </w:tblPr>
      <w:tblGrid>
        <w:gridCol w:w="902"/>
        <w:gridCol w:w="792"/>
        <w:gridCol w:w="796"/>
        <w:gridCol w:w="211"/>
        <w:gridCol w:w="616"/>
        <w:gridCol w:w="241"/>
        <w:gridCol w:w="211"/>
        <w:gridCol w:w="691"/>
        <w:gridCol w:w="241"/>
        <w:gridCol w:w="109"/>
        <w:gridCol w:w="109"/>
        <w:gridCol w:w="109"/>
        <w:gridCol w:w="211"/>
        <w:gridCol w:w="691"/>
        <w:gridCol w:w="241"/>
        <w:gridCol w:w="211"/>
        <w:gridCol w:w="691"/>
        <w:gridCol w:w="286"/>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2211"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24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06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4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8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24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Income tax provision (benefit)</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9,069 </w:t>
            </w:r>
          </w:p>
        </w:tc>
        <w:tc>
          <w:tcPr>
            <w:tcW w:w="24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9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(1,576)</w:t>
            </w:r>
          </w:p>
        </w:tc>
        <w:tc>
          <w:tcPr>
            <w:tcW w:w="24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9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(5,032)</w:t>
            </w:r>
          </w:p>
        </w:tc>
        <w:tc>
          <w:tcPr>
            <w:tcW w:w="24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9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(5,993)</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Effective income tax rate</w:t>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50.1 </w:t>
            </w:r>
          </w:p>
        </w:tc>
        <w:tc>
          <w:tcPr>
            <w:tcW w:w="24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90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13.2 </w:t>
            </w:r>
          </w:p>
        </w:tc>
        <w:tc>
          <w:tcPr>
            <w:tcW w:w="24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58.4 </w:t>
            </w:r>
          </w:p>
        </w:tc>
        <w:tc>
          <w:tcPr>
            <w:tcW w:w="24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c>
          <w:tcPr>
            <w:tcW w:w="90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19.9 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increases in our effective income tax rate for the three and nine months ended September 30, 2023, when compared to the same periods in 2022 were primarily attributable to unfavorable impact of non-deductible Security Incident accruals. See Note 8 to these unaudited, condensed consolidated financial statements for additional information about our loss contingency accruals related to the Security Incident.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91540"/>
                <wp:effectExtent l="0" t="0" r="0" b="0"/>
                <wp:wrapNone/>
                <wp:docPr id="62" name="Frame2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43"/>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44"/>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tbl>
      <w:tblPr>
        <w:tblW w:w="2639" w:type="dxa"/>
        <w:jc w:val="left"/>
        <w:tblInd w:w="0" w:type="dxa"/>
        <w:tblLayout w:type="fixed"/>
        <w:tblCellMar>
          <w:top w:w="28" w:type="dxa"/>
          <w:left w:w="28" w:type="dxa"/>
          <w:bottom w:w="28" w:type="dxa"/>
          <w:right w:w="28" w:type="dxa"/>
        </w:tblCellMar>
      </w:tblPr>
      <w:tblGrid>
        <w:gridCol w:w="845"/>
        <w:gridCol w:w="742"/>
        <w:gridCol w:w="1052"/>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10. Stockholders' Equity</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Changes in accumulated other comprehensive income (loss) by component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changes in accumulated other comprehensive income (loss) by component, consisted of the following:</w:t>
      </w:r>
    </w:p>
    <w:tbl>
      <w:tblPr>
        <w:tblW w:w="10205" w:type="dxa"/>
        <w:jc w:val="left"/>
        <w:tblInd w:w="0" w:type="dxa"/>
        <w:tblLayout w:type="fixed"/>
        <w:tblCellMar>
          <w:top w:w="28" w:type="dxa"/>
          <w:left w:w="28" w:type="dxa"/>
          <w:bottom w:w="28" w:type="dxa"/>
          <w:right w:w="28" w:type="dxa"/>
        </w:tblCellMar>
      </w:tblPr>
      <w:tblGrid>
        <w:gridCol w:w="2018"/>
        <w:gridCol w:w="1770"/>
        <w:gridCol w:w="1785"/>
        <w:gridCol w:w="211"/>
        <w:gridCol w:w="721"/>
        <w:gridCol w:w="109"/>
        <w:gridCol w:w="211"/>
        <w:gridCol w:w="768"/>
        <w:gridCol w:w="109"/>
        <w:gridCol w:w="109"/>
        <w:gridCol w:w="109"/>
        <w:gridCol w:w="109"/>
        <w:gridCol w:w="211"/>
        <w:gridCol w:w="768"/>
        <w:gridCol w:w="109"/>
        <w:gridCol w:w="211"/>
        <w:gridCol w:w="721"/>
        <w:gridCol w:w="156"/>
      </w:tblGrid>
      <w:tr>
        <w:trPr/>
        <w:tc>
          <w:tcPr>
            <w:tcW w:w="2018"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557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08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08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557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Accumulated other comprehensive income, beginning of period</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8,842 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7,455 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8,938 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6,522 </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By component: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Gains and losses on cash flow hedges:</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income 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Other comprehensive income before reclassifications, net of tax effects of $(2,873), $(2,926) $(3,545) and $(7,708)</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8,124 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8,241 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10,066 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21,678 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Amounts reclassified from 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Tax expense included in provision for income taxes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513 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3,990 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504 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amounts reclassified from accumulated other comprehensive income</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(4,031)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(1,444)</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(11,282)</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(1,418)</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current-period other comprehensive income (loss)</w:t>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4,093 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6,797 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(1,216)</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20,260 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income balance, end of period</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22,617 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25,517 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22,617 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25,517 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Foreign currency translation adjustment:</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(loss) income 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(9,682)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Translation adjustment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(4,794)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(11,536)</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(24,066)</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Accumulated other comprehensive loss balance, end of period</w:t>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(14,476)</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(22,801)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(14,476)</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(22,801)</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Accumulated other comprehensive income, end of period</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8,141 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8,141 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2,716 </w:t>
            </w:r>
          </w:p>
        </w:tc>
        <w:tc>
          <w:tcPr>
            <w:tcW w:w="1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91540"/>
                <wp:effectExtent l="0" t="0" r="0" b="0"/>
                <wp:wrapNone/>
                <wp:docPr id="65" name="Frame2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45"/>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4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tbl>
      <w:tblPr>
        <w:tblW w:w="2684" w:type="dxa"/>
        <w:jc w:val="left"/>
        <w:tblInd w:w="0" w:type="dxa"/>
        <w:tblLayout w:type="fixed"/>
        <w:tblCellMar>
          <w:top w:w="28" w:type="dxa"/>
          <w:left w:w="28" w:type="dxa"/>
          <w:bottom w:w="28" w:type="dxa"/>
          <w:right w:w="28" w:type="dxa"/>
        </w:tblCellMar>
      </w:tblPr>
      <w:tblGrid>
        <w:gridCol w:w="859"/>
        <w:gridCol w:w="754"/>
        <w:gridCol w:w="1071"/>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11. Revenue Recognition</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Transaction price allocated to the remaining performance obligations</w:t>
      </w:r>
    </w:p>
    <w:p>
      <w:pPr>
        <w:pStyle w:val="TextBody"/>
        <w:bidi w:val="0"/>
        <w:spacing w:lineRule="auto" w:line="288" w:before="180" w:after="283"/>
        <w:jc w:val="both"/>
        <w:rPr/>
      </w:pPr>
      <w:r>
        <w:rPr>
          <w:rFonts w:ascii="Calibri;sans-serif" w:hAnsi="Calibri;sans-serif"/>
          <w:b w:val="false"/>
          <w:color w:val="51555C"/>
          <w:sz w:val="20"/>
        </w:rPr>
        <w:t xml:space="preserve">As of September 30, 2023, approximately </w:t>
      </w:r>
      <w:r>
        <w:rPr>
          <w:rFonts w:ascii="Calibri;sans-serif" w:hAnsi="Calibri;sans-serif"/>
          <w:b w:val="false"/>
          <w:color w:val="51555C"/>
          <w:sz w:val="20"/>
          <w:shd w:fill="FFFFFF" w:val="clear"/>
        </w:rPr>
        <w:t>$1.2 billion</w:t>
      </w:r>
      <w:r>
        <w:rPr>
          <w:color w:val="51555C"/>
        </w:rPr>
        <w:t xml:space="preserve"> </w:t>
      </w:r>
      <w:r>
        <w:rPr>
          <w:rFonts w:ascii="Calibri;sans-serif" w:hAnsi="Calibri;sans-serif"/>
          <w:b w:val="false"/>
          <w:color w:val="51555C"/>
          <w:sz w:val="20"/>
        </w:rPr>
        <w:t xml:space="preserve">of revenue is expected to be recognized from remaining performance obligations. We expect to recognize revenue on approximately </w:t>
      </w:r>
      <w:r>
        <w:rPr>
          <w:rFonts w:ascii="Calibri;sans-serif" w:hAnsi="Calibri;sans-serif"/>
          <w:b w:val="false"/>
          <w:color w:val="51555C"/>
          <w:sz w:val="20"/>
          <w:shd w:fill="FFFFFF" w:val="clear"/>
        </w:rPr>
        <w:t>50%</w:t>
      </w:r>
      <w:r>
        <w:rPr>
          <w:color w:val="51555C"/>
        </w:rPr>
        <w:t xml:space="preserve"> </w:t>
      </w:r>
      <w:r>
        <w:rPr>
          <w:rFonts w:ascii="Calibri;sans-serif" w:hAnsi="Calibri;sans-serif"/>
          <w:b w:val="false"/>
          <w:color w:val="51555C"/>
          <w:sz w:val="20"/>
        </w:rPr>
        <w:t>of these remaining performance obligations over the next 12 months, with the remainder recognized thereafter.</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Contract balances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contract assets as of September 30, 2023 and December 31, 2022 were insignificant. Our closing balances of deferred revenue were as follows:</w:t>
      </w:r>
    </w:p>
    <w:tbl>
      <w:tblPr>
        <w:tblW w:w="4271" w:type="dxa"/>
        <w:jc w:val="left"/>
        <w:tblInd w:w="0" w:type="dxa"/>
        <w:tblLayout w:type="fixed"/>
        <w:tblCellMar>
          <w:top w:w="28" w:type="dxa"/>
          <w:left w:w="28" w:type="dxa"/>
          <w:bottom w:w="28" w:type="dxa"/>
          <w:right w:w="28" w:type="dxa"/>
        </w:tblCellMar>
      </w:tblPr>
      <w:tblGrid>
        <w:gridCol w:w="700"/>
        <w:gridCol w:w="616"/>
        <w:gridCol w:w="618"/>
        <w:gridCol w:w="211"/>
        <w:gridCol w:w="826"/>
        <w:gridCol w:w="109"/>
        <w:gridCol w:w="211"/>
        <w:gridCol w:w="826"/>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(in thousands)</w:t>
            </w:r>
          </w:p>
        </w:tc>
        <w:tc>
          <w:tcPr>
            <w:tcW w:w="114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r>
      <w:tr>
        <w:trPr/>
        <w:tc>
          <w:tcPr>
            <w:tcW w:w="193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deferred revenue</w:t>
            </w:r>
          </w:p>
        </w:tc>
        <w:tc>
          <w:tcPr>
            <w:tcW w:w="211"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418,832 </w:t>
            </w:r>
          </w:p>
        </w:tc>
        <w:tc>
          <w:tcPr>
            <w:tcW w:w="10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385,236 </w:t>
            </w:r>
          </w:p>
        </w:tc>
        <w:tc>
          <w:tcPr>
            <w:tcW w:w="154"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Calibri;sans-serif" w:hAnsi="Calibri;sans-serif"/>
          <w:b w:val="false"/>
          <w:color w:val="51555C"/>
          <w:sz w:val="20"/>
        </w:rPr>
        <w:t>The increase in deferred revenue during the nine months ended September 30, 2023 was primarily due to a seasonal increase in customer contract billings/renewals, which includes impact from our recent pricing initiatives.</w:t>
      </w:r>
      <w:r>
        <w:rPr>
          <w:color w:val="51555C"/>
          <w:shd w:fill="FFFFFF" w:val="clear"/>
        </w:rPr>
        <w:t xml:space="preserve"> </w:t>
      </w:r>
      <w:r>
        <w:rPr>
          <w:rFonts w:ascii="Calibri;sans-serif" w:hAnsi="Calibri;sans-serif"/>
          <w:b w:val="false"/>
          <w:color w:val="51555C"/>
          <w:sz w:val="20"/>
          <w:shd w:fill="FFFFFF" w:val="clear"/>
        </w:rPr>
        <w:t>Historically, due to the timing of customer budget cycles, we have an increase in customer contract renewals at or near the beginning of our third quarter. Generally, our lowest balance of deferred revenue during the year is at the end of our first quarter. The amount of revenue recognized during the nine months ended September 30, 2023 that was included in the deferred reven</w:t>
      </w:r>
      <w:r>
        <w:rPr>
          <w:rFonts w:ascii="Calibri;sans-serif" w:hAnsi="Calibri;sans-serif"/>
          <w:b w:val="false"/>
          <w:color w:val="51555C"/>
          <w:sz w:val="20"/>
        </w:rPr>
        <w:t xml:space="preserve">ue balance at the beginning of the period was approximately $339 million. The amount of revenue recognized during the nine months ended September 30, 2023 from performance obligations satisfied in prior periods was </w:t>
      </w:r>
      <w:r>
        <w:rPr>
          <w:rFonts w:ascii="Calibri;sans-serif" w:hAnsi="Calibri;sans-serif"/>
          <w:b w:val="false"/>
          <w:color w:val="51555C"/>
          <w:sz w:val="20"/>
          <w:shd w:fill="FFFFFF" w:val="clear"/>
        </w:rPr>
        <w:t>insignificant</w:t>
      </w:r>
      <w:r>
        <w:rPr>
          <w:rFonts w:ascii="Calibri;sans-serif" w:hAnsi="Calibri;sans-serif"/>
          <w:b w:val="false"/>
          <w:color w:val="51555C"/>
          <w:sz w:val="20"/>
        </w:rPr>
        <w:t>.</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Disaggregation of revenue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tbl>
      <w:tblPr>
        <w:tblW w:w="6530" w:type="dxa"/>
        <w:jc w:val="left"/>
        <w:tblInd w:w="0" w:type="dxa"/>
        <w:tblLayout w:type="fixed"/>
        <w:tblCellMar>
          <w:top w:w="28" w:type="dxa"/>
          <w:left w:w="28" w:type="dxa"/>
          <w:bottom w:w="28" w:type="dxa"/>
          <w:right w:w="28" w:type="dxa"/>
        </w:tblCellMar>
      </w:tblPr>
      <w:tblGrid>
        <w:gridCol w:w="570"/>
        <w:gridCol w:w="501"/>
        <w:gridCol w:w="503"/>
        <w:gridCol w:w="211"/>
        <w:gridCol w:w="826"/>
        <w:gridCol w:w="109"/>
        <w:gridCol w:w="211"/>
        <w:gridCol w:w="826"/>
        <w:gridCol w:w="109"/>
        <w:gridCol w:w="109"/>
        <w:gridCol w:w="109"/>
        <w:gridCol w:w="109"/>
        <w:gridCol w:w="211"/>
        <w:gridCol w:w="826"/>
        <w:gridCol w:w="109"/>
        <w:gridCol w:w="211"/>
        <w:gridCol w:w="82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15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15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United States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237,877 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220,177 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688,290 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657,699 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Other countries</w:t>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14,055 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14,262 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42,155 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44,300 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revenue</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277,626 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261,297 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810,421 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783,348 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91540"/>
                <wp:effectExtent l="0" t="0" r="0" b="0"/>
                <wp:wrapNone/>
                <wp:docPr id="68" name="Frame2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47"/>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48"/>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shd w:fill="FFFFFF" w:val="clear"/>
        </w:rPr>
      </w:pPr>
      <w:r>
        <w:rPr>
          <w:rFonts w:ascii="Calibri;sans-serif" w:hAnsi="Calibri;sans-serif"/>
          <w:b w:val="false"/>
          <w:color w:val="51555C"/>
          <w:sz w:val="20"/>
          <w:shd w:fill="FFFFFF" w:val="clear"/>
        </w:rPr>
        <w:t>The Social Sector and Corporate Sector market groups comprised our go-to-market organizations as of September 30, 2023. The following is a description of each market group as of that date:</w:t>
      </w:r>
    </w:p>
    <w:p>
      <w:pPr>
        <w:pStyle w:val="TextBody"/>
        <w:bidi w:val="0"/>
        <w:spacing w:lineRule="auto" w:line="288" w:before="120" w:after="283"/>
        <w:ind w:left="0" w:right="0" w:hanging="360"/>
        <w:jc w:val="both"/>
        <w:rPr/>
      </w:pPr>
      <w:r>
        <w:rPr>
          <w:color w:val="51555C"/>
        </w:rPr>
        <w:t>•</w:t>
      </w:r>
      <w:r>
        <w:rPr>
          <w:rFonts w:ascii="Calibri;sans-serif" w:hAnsi="Calibri;sans-serif"/>
          <w:b w:val="false"/>
          <w:color w:val="51555C"/>
          <w:sz w:val="20"/>
        </w:rPr>
        <w:t>The Social Sector market group focuses on sales to customers and prospects in the social sector, such as nonprofits, foundations, education institutions, healthcare organizations and other not-for-profit entities globally, and includes JustGiving; and</w:t>
      </w:r>
    </w:p>
    <w:p>
      <w:pPr>
        <w:pStyle w:val="TextBody"/>
        <w:bidi w:val="0"/>
        <w:spacing w:lineRule="auto" w:line="288" w:before="120" w:after="283"/>
        <w:ind w:left="0" w:right="0" w:hanging="360"/>
        <w:jc w:val="both"/>
        <w:rPr/>
      </w:pPr>
      <w:r>
        <w:rPr>
          <w:color w:val="51555C"/>
        </w:rPr>
        <w:t>•</w:t>
      </w:r>
      <w:r>
        <w:rPr>
          <w:rFonts w:ascii="Calibri;sans-serif" w:hAnsi="Calibri;sans-serif"/>
          <w:b w:val="false"/>
          <w:color w:val="51555C"/>
          <w:sz w:val="20"/>
        </w:rPr>
        <w:t>The Corporate Sector market group focuses on sales to customers and prospects in the corporate sector globally, and includes EVERFI and YourCause.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our revenue by market group:</w:t>
      </w:r>
    </w:p>
    <w:tbl>
      <w:tblPr>
        <w:tblW w:w="6530" w:type="dxa"/>
        <w:jc w:val="left"/>
        <w:tblInd w:w="0" w:type="dxa"/>
        <w:tblLayout w:type="fixed"/>
        <w:tblCellMar>
          <w:top w:w="28" w:type="dxa"/>
          <w:left w:w="28" w:type="dxa"/>
          <w:bottom w:w="28" w:type="dxa"/>
          <w:right w:w="28" w:type="dxa"/>
        </w:tblCellMar>
      </w:tblPr>
      <w:tblGrid>
        <w:gridCol w:w="570"/>
        <w:gridCol w:w="501"/>
        <w:gridCol w:w="503"/>
        <w:gridCol w:w="211"/>
        <w:gridCol w:w="826"/>
        <w:gridCol w:w="109"/>
        <w:gridCol w:w="211"/>
        <w:gridCol w:w="826"/>
        <w:gridCol w:w="109"/>
        <w:gridCol w:w="109"/>
        <w:gridCol w:w="109"/>
        <w:gridCol w:w="109"/>
        <w:gridCol w:w="211"/>
        <w:gridCol w:w="826"/>
        <w:gridCol w:w="109"/>
        <w:gridCol w:w="211"/>
        <w:gridCol w:w="82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15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15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Social Sector</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239,512 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223,963 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696,790 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671,714 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Corporate Sector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revenue</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277,626 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261,297 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810,421 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783,348 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our recurring revenue by type:</w:t>
      </w:r>
    </w:p>
    <w:tbl>
      <w:tblPr>
        <w:tblW w:w="6935" w:type="dxa"/>
        <w:jc w:val="left"/>
        <w:tblInd w:w="0" w:type="dxa"/>
        <w:tblLayout w:type="fixed"/>
        <w:tblCellMar>
          <w:top w:w="28" w:type="dxa"/>
          <w:left w:w="28" w:type="dxa"/>
          <w:bottom w:w="28" w:type="dxa"/>
          <w:right w:w="28" w:type="dxa"/>
        </w:tblCellMar>
      </w:tblPr>
      <w:tblGrid>
        <w:gridCol w:w="717"/>
        <w:gridCol w:w="630"/>
        <w:gridCol w:w="632"/>
        <w:gridCol w:w="211"/>
        <w:gridCol w:w="826"/>
        <w:gridCol w:w="109"/>
        <w:gridCol w:w="211"/>
        <w:gridCol w:w="826"/>
        <w:gridCol w:w="109"/>
        <w:gridCol w:w="109"/>
        <w:gridCol w:w="109"/>
        <w:gridCol w:w="109"/>
        <w:gridCol w:w="211"/>
        <w:gridCol w:w="826"/>
        <w:gridCol w:w="109"/>
        <w:gridCol w:w="211"/>
        <w:gridCol w:w="82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19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thousands)</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197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Contractual recurring</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189,174 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178,264 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548,012 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530,146 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Transactional recurring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216,414 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recurring revenue</w:t>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269,001 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249,387 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784,139 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746,560 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74" w:type="dxa"/>
        <w:jc w:val="center"/>
        <w:tblInd w:w="0" w:type="dxa"/>
        <w:tblLayout w:type="fixed"/>
        <w:tblCellMar>
          <w:top w:w="28" w:type="dxa"/>
          <w:left w:w="28" w:type="dxa"/>
          <w:bottom w:w="28" w:type="dxa"/>
          <w:right w:w="28" w:type="dxa"/>
        </w:tblCellMar>
      </w:tblPr>
      <w:tblGrid>
        <w:gridCol w:w="792"/>
        <w:gridCol w:w="695"/>
        <w:gridCol w:w="987"/>
      </w:tblGrid>
      <w:tr>
        <w:trP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bottom w:val="single" w:sz="8" w:space="0" w:color="71BF4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12. Subsequent Events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Amendment to the Stockholder Rights Agreement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October 2, 2023, we entered into the Amendment to the Stockholder Rights Agreement, dated as of October 2, 2023 (the “Amendment”), which amended the Stockholder Rights Agreement, dated as of October 7, 2022 (the “Rights Agreement”), by and between the Company and Equiniti Trust Company, LLC (f/k/a American Stock Transfer &amp; Trust Company, LLC) as rights agent.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Amendment extends the final expiration date of the Rights Agreement from October 2, 2023 to October 2, 2024. The Company expects to submit the Amendment to the Company’s stockholders for ratification at the Company’s 2024 annual meeting of stockholders. Additional information regarding the Amendment, including a copy of the Amendment, is contained in the Company’s Current Report on Form 8-K filed with the SEC on October 2, 2023.</w:t>
      </w:r>
    </w:p>
    <w:p>
      <w:pPr>
        <w:pStyle w:val="TextBody"/>
        <w:bidi w:val="0"/>
        <w:spacing w:lineRule="auto" w:line="288" w:before="180" w:after="283"/>
        <w:jc w:val="both"/>
        <w:rPr>
          <w:rFonts w:ascii="Calibri;sans-serif" w:hAnsi="Calibri;sans-serif"/>
          <w:b/>
          <w:color w:val="51555C"/>
          <w:sz w:val="20"/>
        </w:rPr>
      </w:pPr>
      <w:r>
        <w:rPr>
          <w:rFonts w:ascii="Calibri;sans-serif" w:hAnsi="Calibri;sans-serif"/>
          <w:b/>
          <w:color w:val="51555C"/>
          <w:sz w:val="20"/>
        </w:rPr>
        <w:t>Security Incident Multi-state Attorneys General Settlement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October 5, 2023, the Company entered into separate, substantially similar Administrative Orders with each of 49 state Attorneys General and the District of Columbia relating to the previously announced 2020 Security Incident in which a cyber criminal removed a copy of a subset of data from our self-housed environment. This settlement fully resolves the previously disclosed multi-state Civil Investigative Demand and the separate Civil Investigative Demand from the Office of the Indiana Attorney General relating to the Security Incident (the “Multi-state Investigation”), which is further described in the substantially similar Administrative Orders filed in each of the 49 states and the District of Columbia.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91540"/>
                <wp:effectExtent l="0" t="0" r="0" b="0"/>
                <wp:wrapNone/>
                <wp:docPr id="71" name="Frame2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6" descr=""/>
                                                <pic:cNvPicPr>
                                                  <a:picLocks noChangeAspect="1" noChangeArrowheads="1"/>
                                                </pic:cNvPicPr>
                                              </pic:nvPicPr>
                                              <pic:blipFill>
                                                <a:blip r:embed="rId4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5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Notes to Condensed Consolidated Financial Statements</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terms of the Administrative Orders, we have agreed: (i) to comply with state consumer protection laws, data breach notification laws, and the Health Insurance Portability and Accountability Act of 1996 (“HIPAA”); (ii) not to make misleading misrepresentations to our customers or the individuals whose data is stored by us concerning (a) the extent to which we protect the privacy, security, confidentiality, or integrity of certain data, (b) the likelihood that data impacted by a security incident may be subject to unauthorized access, disclosure, or other misuse, or (c) the data breach notification requirements; and (iii) to implement and improve certain cybersecurity programs and tools.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part of the Administrative Orders, we also agreed to pay a total of $49.5 million to the 49 states and District of Columbia. We expect to pay the full settlement amount to each state and the District of Columbia during the fourth quarter of 2023 from our existing liquidity. This amount was fully accrued as a contingent liability in our financial statements as of June 30, 2023.</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entered into the Administrative Orders without admitting fault or liability in connection with the matters subject to the Multi-state Investigation. The form of Administrative Order was furnished as Exhibit 99.2 to the Company’s Current Report on Form 8-K filed with the SEC on October 5, 2023.</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the Office of the Attorney General of the State of California did not participate in the Multi-state Investigation and has issued a separate Civil Investigative Demand related to the Security Incident, which has not been resolved. Although we are hopeful that we can resolve this matter on acceptable terms, there is no assurance that we will be able to do so on terms acceptable to us and to the State of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91540"/>
                <wp:effectExtent l="0" t="0" r="0" b="0"/>
                <wp:wrapNone/>
                <wp:docPr id="74" name="Frame2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7" descr=""/>
                                                <pic:cNvPicPr>
                                                  <a:picLocks noChangeAspect="1" noChangeArrowheads="1"/>
                                                </pic:cNvPicPr>
                                              </pic:nvPicPr>
                                              <pic:blipFill>
                                                <a:blip r:embed="rId51"/>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52"/>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2. MANAGEMENT'S DISCUSSION AND ANALYSIS OF FINANCIAL CONDITION AND RESULTS OF OPERATIONS</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59" w:type="dxa"/>
        <w:jc w:val="left"/>
        <w:tblInd w:w="0" w:type="dxa"/>
        <w:tblLayout w:type="fixed"/>
        <w:tblCellMar>
          <w:top w:w="28" w:type="dxa"/>
          <w:left w:w="28" w:type="dxa"/>
          <w:bottom w:w="28" w:type="dxa"/>
          <w:right w:w="28" w:type="dxa"/>
        </w:tblCellMar>
      </w:tblPr>
      <w:tblGrid>
        <w:gridCol w:w="691"/>
        <w:gridCol w:w="607"/>
        <w:gridCol w:w="861"/>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Executive Summary</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and the United Kingdom, supporting users in 100+ countries.</w:t>
      </w:r>
    </w:p>
    <w:p>
      <w:pPr>
        <w:pStyle w:val="TextBody"/>
        <w:bidi w:val="0"/>
        <w:spacing w:lineRule="auto" w:line="288" w:before="180" w:after="283"/>
        <w:jc w:val="both"/>
        <w:rPr/>
      </w:pPr>
      <w:r>
        <w:rPr>
          <w:rFonts w:ascii="Calibri;sans-serif" w:hAnsi="Calibri;sans-serif"/>
          <w:b w:val="false"/>
          <w:color w:val="51555C"/>
          <w:sz w:val="20"/>
        </w:rPr>
        <w:t>Our revenue is primarily generated from the following sources: (i) charging for the use of our software solutions in cloud and hosted environments; (ii) providing payment and transactional services; (iii) providing Impact-as-a-Service</w:t>
      </w:r>
      <w:r>
        <w:rPr>
          <w:color w:val="51555C"/>
        </w:rPr>
        <w:t xml:space="preserve">™ </w:t>
      </w:r>
      <w:r>
        <w:rPr>
          <w:rFonts w:ascii="Calibri;sans-serif" w:hAnsi="Calibri;sans-serif"/>
          <w:b w:val="false"/>
          <w:color w:val="51555C"/>
          <w:sz w:val="20"/>
        </w:rPr>
        <w:t>digital educational content; (iv) providing software maintenance and support services; and (v) providing professional services, including implementation, consulting, training, analytic and other services.</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Update on Five Key Operational Initiatives</w:t>
      </w:r>
    </w:p>
    <w:tbl>
      <w:tblPr>
        <w:tblW w:w="70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88"/>
        <w:gridCol w:w="1888"/>
        <w:gridCol w:w="189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20"/>
              </w:rPr>
            </w:pPr>
            <w:r>
              <w:rPr>
                <w:rFonts w:ascii="Calibri;sans-serif" w:hAnsi="Calibri;sans-serif"/>
                <w:b/>
                <w:color w:val="FFFFFF"/>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Product Innovation and Delivery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20"/>
              </w:rPr>
            </w:pPr>
            <w:r>
              <w:rPr>
                <w:rFonts w:ascii="Calibri;sans-serif" w:hAnsi="Calibri;sans-serif"/>
                <w:b/>
                <w:color w:val="FFFFFF"/>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Bookings Growth and Acceleration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20"/>
              </w:rPr>
            </w:pPr>
            <w:r>
              <w:rPr>
                <w:rFonts w:ascii="Calibri;sans-serif" w:hAnsi="Calibri;sans-serif"/>
                <w:b/>
                <w:color w:val="FFFFFF"/>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Transactional Revenue Optimization and Expansion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20"/>
              </w:rPr>
            </w:pPr>
            <w:r>
              <w:rPr>
                <w:rFonts w:ascii="Calibri;sans-serif" w:hAnsi="Calibri;sans-serif"/>
                <w:b/>
                <w:color w:val="FFFFFF"/>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Modernized Approach to Pricing and Multi-Year Customer Contracts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4054"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20"/>
              </w:rPr>
            </w:pPr>
            <w:r>
              <w:rPr>
                <w:rFonts w:ascii="Calibri;sans-serif" w:hAnsi="Calibri;sans-serif"/>
                <w:b/>
                <w:color w:val="FFFFFF"/>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Keen Attention to Cost Management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1.Product Innovation and Delivery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Product is core at Blackbaud, and we strive to bring increased value to our customers through their software subscriptions with improved and innovative capabilities. For example, we recently released a new, next generation donation form in Raiser’s Edge NXT with the goal of increasing the conversion rate and donations our customers raise. We match the new donation form with Prospect Insights, which utilizes artificial intelligence ("AI") to identify and qualify candidates for major gifts. We recently began an early adopter program for the new donation form with a small sample of customers across charity, education, and arts and cultural organizations. We expect to make this generally available in the first half of 2024.</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recently announced, we introduced Impact Edge™ to our corporate sector customers. This newly developed solution aggregates EVERFI’s educational impact data, with employee volunteering and giving data from YourCause. It provides a single view of a company’s social impact program and replaces labor intensive, manually produced reports into a standardized structure. With Impact Edge, leaders who manage social impact initiatives are able to track and analyze performance of their programs in real time. We plan to put this new solution into an early adopter program late this year, with a full roll out in the second half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91540"/>
                <wp:effectExtent l="0" t="0" r="0" b="0"/>
                <wp:wrapNone/>
                <wp:docPr id="77" name="Frame2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8" descr=""/>
                                                <pic:cNvPicPr>
                                                  <a:picLocks noChangeAspect="1" noChangeArrowheads="1"/>
                                                </pic:cNvPicPr>
                                              </pic:nvPicPr>
                                              <pic:blipFill>
                                                <a:blip r:embed="rId5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8" descr=""/>
                                          <pic:cNvPicPr>
                                            <a:picLocks noChangeAspect="1" noChangeArrowheads="1"/>
                                          </pic:cNvPicPr>
                                        </pic:nvPicPr>
                                        <pic:blipFill>
                                          <a:blip r:embed="rId5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years, we have been using AI-enabled capabilities in our analytics offerings. We are expanding our strategy into next-generation and generative AI technology that addresses specific challenges of our customers. We continued to build on our “Intelligence for Good” strategy that leverages the power of machine learning and Artificial Intelligence across our products. For example, we recently introduced the “Story Enhancer” in JustGiving®, our consumer giving platform. This Generative AI capability has resulted in more engagement among early adopters and is expected to have positive downstream impact on our transactional revenue.</w:t>
      </w:r>
    </w:p>
    <w:p>
      <w:pPr>
        <w:pStyle w:val="TextBody"/>
        <w:bidi w:val="0"/>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2.Bookings Growth and Acceleration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drove strong bookings performance in the first quarter, up significantly versus last year, led by our corporate sector (YourCause and EVERFI solutions) which more than doubled its bookings over the first quarter of 2022. We signed a number of notable large contracts during the second and third quarters. As previously disclosed, there can be volatility quarter-to-quarter on bookings.</w:t>
      </w:r>
    </w:p>
    <w:p>
      <w:pPr>
        <w:pStyle w:val="TextBody"/>
        <w:bidi w:val="0"/>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3.Transactional Revenue Optimization and Expansion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Transactional revenue, which is about one-third of total revenue, has proven to be resilient so far in 2023 following the lower average donation sizes we experienced during the fourth quarter of 2022. Different rate increases on Blackbaud Merchant Services in the U.S. took effect in January and August 2023. Our Blackbaud Tuition Management and JustGiving platforms continue to perform well against plan. And as we look ahead, our teams are hard at work to drive innovation across our payments solutions that are a win-win for both our customers and Blackbaud. We have already introduced our two fee cover models, and we are also looking at ways to optimize our payments solutions to drive a better donor experience.</w:t>
      </w:r>
    </w:p>
    <w:p>
      <w:pPr>
        <w:pStyle w:val="TextBody"/>
        <w:bidi w:val="0"/>
        <w:spacing w:lineRule="auto" w:line="288" w:before="180" w:after="283"/>
        <w:ind w:left="0" w:right="0" w:hanging="360"/>
        <w:jc w:val="both"/>
        <w:rPr>
          <w:rFonts w:ascii="Calibri;sans-serif" w:hAnsi="Calibri;sans-serif"/>
          <w:b w:val="false"/>
          <w:i/>
          <w:color w:val="51555C"/>
          <w:sz w:val="20"/>
        </w:rPr>
      </w:pPr>
      <w:bookmarkStart w:id="0" w:name="i0ea77bac8f2f4b728c5aa7b48115f09c_12010"/>
      <w:bookmarkEnd w:id="0"/>
      <w:r>
        <w:rPr>
          <w:rFonts w:ascii="Calibri;sans-serif" w:hAnsi="Calibri;sans-serif"/>
          <w:b w:val="false"/>
          <w:i/>
          <w:color w:val="51555C"/>
          <w:sz w:val="20"/>
        </w:rPr>
        <w:t>4.Modernized Approach to Pricing and Multi-Year Contracts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Last summer, we put in place an updated pricing policy primarily for our social sector customers that directly reflects the value we provide to them, is in-line with the broader market and reflects the inflationary pressures that all businesses are facing. In November 2022, we started notifying customers with a March 2023 contract renewal that we would be making important contract changes. First, we are offering 3-year contract renewal terms as our standard, replacing one-year renewal terms. This process was already being implemented outside of the pricing changes. Second, we are implementing a more significant rate increase on the 1-year renewal option versus the 3-year renewal option. And third, the 3-year renewal option includes annual rate increases. Our 3-year renewal options did not historically include annual rate increases.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These efforts are well on their way. We have already notified customers with March 2024 contract renewals of the new terms. Through October 2023, nearly 90% of our 2023 contracts eligible for renewal rate increases have already renewed. The close day-to-day management of renewals, the mix of 3-year and 1-year contracts, and the impact of pricing are progressing well, and we expect more impact from the compounding effect of these rate increases over time as we layer in future year contract renewals and annual rate increases. For example, over 50% of our planned 2023 revenue will renew in a little over 3 years and approximately 35% of that renewable base is expected to renew this year. These contracts are renewing every day and create revenue growth that we expect to accelerate with each successive quarter this year. We expect that to further impact 2024 and 2025 as we begin to see the full-year impact of the rate increases. Approximately 30% of the renewable base is up for renewal in 2024 and more than 20% in 2025. The adoption of 3-year renewals as a standard, with more customers opting for this option than we originally expected, are expected to have an added benefit of higher retention which provides greater revenue assurance and predictability. Looking even further ahead, the cycle starts fresh in 2026 as the 2023 signed contracts will begin to renew. We expect that this will be a sustainable and meaningful revenue growth stream for us.</w:t>
      </w:r>
    </w:p>
    <w:p>
      <w:pPr>
        <w:pStyle w:val="TextBody"/>
        <w:bidi w:val="0"/>
        <w:spacing w:lineRule="auto" w:line="288" w:before="180" w:after="283"/>
        <w:ind w:left="0" w:right="0" w:hanging="360"/>
        <w:jc w:val="both"/>
        <w:rPr>
          <w:rFonts w:ascii="Calibri;sans-serif" w:hAnsi="Calibri;sans-serif"/>
          <w:b w:val="false"/>
          <w:i/>
          <w:color w:val="51555C"/>
          <w:sz w:val="20"/>
        </w:rPr>
      </w:pPr>
      <w:r>
        <w:rPr>
          <w:rFonts w:ascii="Calibri;sans-serif" w:hAnsi="Calibri;sans-serif"/>
          <w:b w:val="false"/>
          <w:i/>
          <w:color w:val="51555C"/>
          <w:sz w:val="20"/>
        </w:rPr>
        <w:t>5.Keen Attention to Cost Management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closed four legacy data centers during 2022, and we plan to close more this year. We renegotiated key vendor contracts including Microsoft Azure and AWS and made the difficult decision to further reduce our staff in the first quarter. Because we have organized to achieve much better scale efficiencies, we have significantly reduced our headcount since the third quarter of 2022. Our goal is to run the business at about this headcount level for the foreseeable future, such that our revenue growth will better drive margin acceleration.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91540"/>
                <wp:effectExtent l="0" t="0" r="0" b="0"/>
                <wp:wrapNone/>
                <wp:docPr id="80" name="Frame2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9" descr=""/>
                                                <pic:cNvPicPr>
                                                  <a:picLocks noChangeAspect="1" noChangeArrowheads="1"/>
                                                </pic:cNvPicPr>
                                              </pic:nvPicPr>
                                              <pic:blipFill>
                                                <a:blip r:embed="rId55"/>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 descr=""/>
                                          <pic:cNvPicPr>
                                            <a:picLocks noChangeAspect="1" noChangeArrowheads="1"/>
                                          </pic:cNvPicPr>
                                        </pic:nvPicPr>
                                        <pic:blipFill>
                                          <a:blip r:embed="rId56"/>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300" w:after="283"/>
        <w:jc w:val="left"/>
        <w:rPr>
          <w:rFonts w:ascii="Calibri;sans-serif" w:hAnsi="Calibri;sans-serif"/>
          <w:b/>
          <w:color w:val="51555C"/>
          <w:sz w:val="20"/>
        </w:rPr>
      </w:pPr>
      <w:r>
        <w:rPr>
          <w:rFonts w:ascii="Calibri;sans-serif" w:hAnsi="Calibri;sans-serif"/>
          <w:b/>
          <w:color w:val="51555C"/>
          <w:sz w:val="20"/>
        </w:rPr>
        <w:t>Financial Summary</w:t>
      </w:r>
    </w:p>
    <w:p>
      <w:pPr>
        <w:pStyle w:val="TextBody"/>
        <w:bidi w:val="0"/>
        <w:spacing w:before="180" w:after="283"/>
        <w:jc w:val="both"/>
        <w:rPr/>
      </w:pPr>
      <w:r>
        <w:rPr/>
      </w:r>
    </w:p>
    <w:tbl>
      <w:tblPr>
        <w:tblW w:w="4931"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868"/>
        <w:gridCol w:w="868"/>
        <w:gridCol w:w="123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Total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Calibri;sans-serif" w:hAnsi="Calibri;sans-serif"/>
                <w:b w:val="false"/>
                <w:i/>
                <w:color w:val="51555C"/>
                <w:sz w:val="20"/>
              </w:rPr>
            </w:pPr>
            <w:r>
              <w:rPr>
                <w:rFonts w:ascii="Calibri;sans-serif" w:hAnsi="Calibri;sans-serif"/>
                <w:b w:val="false"/>
                <w:i/>
                <w:color w:val="51555C"/>
                <w:sz w:val="20"/>
              </w:rPr>
              <w:t>Income (Loss) from operations ($M)</w:t>
            </w:r>
          </w:p>
        </w:tc>
      </w:tr>
      <w:tr>
        <w:trPr/>
        <w:tc>
          <w:tcPr>
            <w:tcW w:w="163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r>
    </w:tbl>
    <w:p>
      <w:pPr>
        <w:pStyle w:val="TextBody"/>
        <w:bidi w:val="0"/>
        <w:spacing w:lineRule="auto" w:line="288" w:before="180" w:after="283"/>
        <w:jc w:val="both"/>
        <w:rPr/>
      </w:pPr>
      <w:r>
        <w:rPr>
          <w:color w:val="51555C"/>
        </w:rPr>
        <w:t>       </w:t>
      </w:r>
      <w:r>
        <w:rPr/>
        <w:drawing>
          <wp:inline distT="0" distB="0" distL="0" distR="0">
            <wp:extent cx="2533650" cy="1581150"/>
            <wp:effectExtent l="0" t="0" r="0" b="0"/>
            <wp:docPr id="8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0" descr=""/>
                    <pic:cNvPicPr>
                      <a:picLocks noChangeAspect="1" noChangeArrowheads="1"/>
                    </pic:cNvPicPr>
                  </pic:nvPicPr>
                  <pic:blipFill>
                    <a:blip r:embed="rId57"/>
                    <a:stretch>
                      <a:fillRect/>
                    </a:stretch>
                  </pic:blipFill>
                  <pic:spPr bwMode="auto">
                    <a:xfrm>
                      <a:off x="0" y="0"/>
                      <a:ext cx="2533650" cy="1581150"/>
                    </a:xfrm>
                    <a:prstGeom prst="rect">
                      <a:avLst/>
                    </a:prstGeom>
                  </pic:spPr>
                </pic:pic>
              </a:graphicData>
            </a:graphic>
          </wp:inline>
        </w:drawing>
      </w:r>
      <w:r>
        <w:rPr>
          <w:color w:val="51555C"/>
        </w:rPr>
        <w:t>                                    </w:t>
      </w:r>
      <w:r>
        <w:rPr/>
        <w:drawing>
          <wp:inline distT="0" distB="0" distL="0" distR="0">
            <wp:extent cx="2533650" cy="1581150"/>
            <wp:effectExtent l="0" t="0" r="0" b="0"/>
            <wp:docPr id="8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1" descr=""/>
                    <pic:cNvPicPr>
                      <a:picLocks noChangeAspect="1" noChangeArrowheads="1"/>
                    </pic:cNvPicPr>
                  </pic:nvPicPr>
                  <pic:blipFill>
                    <a:blip r:embed="rId58"/>
                    <a:stretch>
                      <a:fillRect/>
                    </a:stretch>
                  </pic:blipFill>
                  <pic:spPr bwMode="auto">
                    <a:xfrm>
                      <a:off x="0" y="0"/>
                      <a:ext cx="2533650" cy="1581150"/>
                    </a:xfrm>
                    <a:prstGeom prst="rect">
                      <a:avLst/>
                    </a:prstGeom>
                  </pic:spPr>
                </pic:pic>
              </a:graphicData>
            </a:graphic>
          </wp:inline>
        </w:drawing>
      </w:r>
    </w:p>
    <w:p>
      <w:pPr>
        <w:pStyle w:val="TextBody"/>
        <w:bidi w:val="0"/>
        <w:spacing w:lineRule="auto" w:line="288" w:before="180" w:after="283"/>
        <w:jc w:val="both"/>
        <w:rPr/>
      </w:pPr>
      <w:r>
        <w:rPr>
          <w:color w:val="51555C"/>
        </w:rPr>
        <w:t>       </w:t>
      </w:r>
      <w:r>
        <w:rPr/>
        <w:drawing>
          <wp:inline distT="0" distB="0" distL="0" distR="0">
            <wp:extent cx="2533650" cy="1581150"/>
            <wp:effectExtent l="0" t="0" r="0" b="0"/>
            <wp:docPr id="8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2" descr=""/>
                    <pic:cNvPicPr>
                      <a:picLocks noChangeAspect="1" noChangeArrowheads="1"/>
                    </pic:cNvPicPr>
                  </pic:nvPicPr>
                  <pic:blipFill>
                    <a:blip r:embed="rId59"/>
                    <a:stretch>
                      <a:fillRect/>
                    </a:stretch>
                  </pic:blipFill>
                  <pic:spPr bwMode="auto">
                    <a:xfrm>
                      <a:off x="0" y="0"/>
                      <a:ext cx="2533650" cy="1581150"/>
                    </a:xfrm>
                    <a:prstGeom prst="rect">
                      <a:avLst/>
                    </a:prstGeom>
                  </pic:spPr>
                </pic:pic>
              </a:graphicData>
            </a:graphic>
          </wp:inline>
        </w:drawing>
      </w:r>
      <w:r>
        <w:rPr>
          <w:color w:val="51555C"/>
        </w:rPr>
        <w:t>                                    </w:t>
      </w:r>
      <w:r>
        <w:rPr/>
        <w:drawing>
          <wp:inline distT="0" distB="0" distL="0" distR="0">
            <wp:extent cx="2533650" cy="1581150"/>
            <wp:effectExtent l="0" t="0" r="0" b="0"/>
            <wp:docPr id="8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3" descr=""/>
                    <pic:cNvPicPr>
                      <a:picLocks noChangeAspect="1" noChangeArrowheads="1"/>
                    </pic:cNvPicPr>
                  </pic:nvPicPr>
                  <pic:blipFill>
                    <a:blip r:embed="rId60"/>
                    <a:stretch>
                      <a:fillRect/>
                    </a:stretch>
                  </pic:blipFill>
                  <pic:spPr bwMode="auto">
                    <a:xfrm>
                      <a:off x="0" y="0"/>
                      <a:ext cx="2533650" cy="1581150"/>
                    </a:xfrm>
                    <a:prstGeom prst="rect">
                      <a:avLst/>
                    </a:prstGeom>
                  </pic:spPr>
                </pic:pic>
              </a:graphicData>
            </a:graphic>
          </wp:inline>
        </w:drawing>
      </w:r>
      <w:r>
        <w:rPr>
          <w:color w:val="51555C"/>
        </w:rPr>
        <w: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Total revenue increased by $16.3 million and $27.1 million during the three and nine months ended September 30, 2023, respectively, when compared to the same periods in 2022,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1"/>
        <w:gridCol w:w="211"/>
        <w:gridCol w:w="211"/>
        <w:gridCol w:w="2884"/>
        <w:gridCol w:w="2454"/>
        <w:gridCol w:w="32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32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6"/>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Growth in recurring revenue primarily related 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51555C"/>
                <w:sz w:val="12"/>
              </w:rPr>
            </w:pPr>
            <w:r>
              <w:rPr>
                <w:rFonts w:ascii="Wingdings;sans-serif" w:hAnsi="Wingdings;sans-serif"/>
                <w:b w:val="false"/>
                <w:color w:val="51555C"/>
                <w:sz w:val="12"/>
              </w:rPr>
              <w:t>l</w:t>
            </w:r>
          </w:p>
        </w:tc>
        <w:tc>
          <w:tcPr>
            <w:tcW w:w="8576" w:type="dxa"/>
            <w:gridSpan w:val="3"/>
            <w:tcBorders/>
            <w:tcMar>
              <w:top w:w="0" w:type="dxa"/>
              <w:left w:w="0" w:type="dxa"/>
              <w:bottom w:w="0" w:type="dxa"/>
              <w:right w:w="0" w:type="dxa"/>
            </w:tcMar>
            <w:vAlign w:val="center"/>
          </w:tcPr>
          <w:p>
            <w:pPr>
              <w:pStyle w:val="TableContents"/>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increases in contractual recurring revenue of $10.9 million and $17.9 million, respectively, related to the performance of our cloud solutions and, to a lesser extent, the early impact of our pricing initiatives; partially offset by decreases in maintenance revenue as customers migrate to our cloud solutions; also offsetting the increases in contractual recurring revenue during the nine months ended September 30, 2023 was a decrease related to fluctuations in foreign currency exchange rates of $0.7 million;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51555C"/>
                <w:sz w:val="12"/>
              </w:rPr>
            </w:pPr>
            <w:r>
              <w:rPr>
                <w:rFonts w:ascii="Wingdings;sans-serif" w:hAnsi="Wingdings;sans-serif"/>
                <w:b w:val="false"/>
                <w:color w:val="51555C"/>
                <w:sz w:val="12"/>
              </w:rPr>
              <w:t>l</w:t>
            </w:r>
          </w:p>
        </w:tc>
        <w:tc>
          <w:tcPr>
            <w:tcW w:w="8576"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transactional recurring revenue of $8.7 million and $19.7 million, respectively, primarily due to positive results related to pricing initiatives we implemented during 2023 and, to a lesser extent, increases in volume for our Blackbaud Tuition Management and JustGiving solutions; also offsetting the increases in transactional recurring revenue during the nine months ended September 30, 2023 was a decrease related to fluctuations in foreign currency exchange rates of $0.9 million.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6"/>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one-time service and other revenue primarily related 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51555C"/>
                <w:sz w:val="12"/>
              </w:rPr>
            </w:pPr>
            <w:r>
              <w:rPr>
                <w:rFonts w:ascii="Wingdings;sans-serif" w:hAnsi="Wingdings;sans-serif"/>
                <w:b w:val="false"/>
                <w:color w:val="51555C"/>
                <w:sz w:val="12"/>
              </w:rPr>
              <w:t>l</w:t>
            </w:r>
          </w:p>
        </w:tc>
        <w:tc>
          <w:tcPr>
            <w:tcW w:w="8576"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one-time consulting revenue due primarily to less sales of creative services and implementation and customization services. Also contributing is an increase in utilization of third-party service delivery partners. For several years, we have been strategically shifting away from a one-time services business model towards sales of retained and managed services and also embedding services in our renewable cloud solution contracts. Retained and managed services contracts that we expect to have a term consistent with our cloud solution contracts, and embedded services are recorded as recurring revenue;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51555C"/>
                <w:sz w:val="12"/>
              </w:rPr>
            </w:pPr>
            <w:r>
              <w:rPr>
                <w:rFonts w:ascii="Wingdings;sans-serif" w:hAnsi="Wingdings;sans-serif"/>
                <w:b w:val="false"/>
                <w:color w:val="51555C"/>
                <w:sz w:val="12"/>
              </w:rPr>
              <w:t>l</w:t>
            </w:r>
          </w:p>
        </w:tc>
        <w:tc>
          <w:tcPr>
            <w:tcW w:w="85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decreases in one-time analytics revenue as analytics are generally integrated in our cloud solutions.</w:t>
            </w:r>
          </w:p>
        </w:tc>
      </w:tr>
    </w:tbl>
    <w:p>
      <w:pPr>
        <w:pStyle w:val="TextBody"/>
        <w:bidi w:val="0"/>
        <w:spacing w:lineRule="auto" w:line="288" w:before="180" w:after="283"/>
        <w:jc w:val="both"/>
        <w:rPr/>
      </w:pPr>
      <w:r>
        <w:rPr>
          <w:rFonts w:ascii="Calibri;sans-serif" w:hAnsi="Calibri;sans-serif"/>
          <w:b w:val="false"/>
          <w:color w:val="51555C"/>
          <w:sz w:val="20"/>
        </w:rPr>
        <w:t xml:space="preserve">For additional information on the impact of foreign currency fluctuations on our financial results, see Foreign Currency Exchange Rates below on page </w:t>
      </w:r>
      <w:hyperlink w:anchor="i9fc2f01d4d454122a00115b63cf3f9d0_187">
        <w:r>
          <w:rPr>
            <w:rStyle w:val="InternetLink"/>
            <w:rFonts w:ascii="Calibri;sans-serif" w:hAnsi="Calibri;sans-serif"/>
            <w:b w:val="false"/>
            <w:strike w:val="false"/>
            <w:dstrike w:val="false"/>
            <w:color w:val="51555C"/>
            <w:sz w:val="20"/>
            <w:u w:val="none"/>
            <w:effect w:val="none"/>
          </w:rPr>
          <w:t>47</w:t>
        </w:r>
      </w:hyperlink>
      <w:r>
        <w:rPr>
          <w:rFonts w:ascii="Calibri;sans-serif" w:hAnsi="Calibri;sans-serif"/>
          <w:b w:val="false"/>
          <w:color w:val="51555C"/>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91540"/>
                <wp:effectExtent l="0" t="0" r="0" b="0"/>
                <wp:wrapNone/>
                <wp:docPr id="87" name="Frame2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4" descr=""/>
                                                <pic:cNvPicPr>
                                                  <a:picLocks noChangeAspect="1" noChangeArrowheads="1"/>
                                                </pic:cNvPicPr>
                                              </pic:nvPicPr>
                                              <pic:blipFill>
                                                <a:blip r:embed="rId6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4" descr=""/>
                                          <pic:cNvPicPr>
                                            <a:picLocks noChangeAspect="1" noChangeArrowheads="1"/>
                                          </pic:cNvPicPr>
                                        </pic:nvPicPr>
                                        <pic:blipFill>
                                          <a:blip r:embed="rId62"/>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a number of multi-year pricing initiatives underway, some to bring our pricing in line with the market while others are model changes that are expected to drive greater revenue for both us and our customers. As a result, we expect to see a continued acceleration in revenue growth during the fourth quarter of 2023 as we begin to see the full-year effect of some of these pricing initiatives.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expect that the one-time services and other revenue will continue to significantly decrease during 2023 compared to 2022 driven by our continued migration to the cloud in our core business.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Income from operations increased by $29.1 million and $25.3 million during the three and nine months ended September 30, 2023, respectively, when compared to the same periods in 2022,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168"/>
        <w:gridCol w:w="2497"/>
        <w:gridCol w:w="35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5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total revenue,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Net decreases in the following costs primarily due to our targeted workforce reductions discussed below:</w:t>
            </w:r>
          </w:p>
          <w:p>
            <w:pPr>
              <w:pStyle w:val="TableContents"/>
              <w:bidi w:val="0"/>
              <w:spacing w:lineRule="auto" w:line="288" w:before="0" w:after="0"/>
              <w:ind w:left="0" w:right="0" w:hanging="360"/>
              <w:jc w:val="both"/>
              <w:rPr/>
            </w:pPr>
            <w:r>
              <w:rPr>
                <w:color w:val="51555C"/>
              </w:rPr>
              <w:t>•</w:t>
            </w:r>
            <w:r>
              <w:rPr>
                <w:rFonts w:ascii="Calibri;sans-serif" w:hAnsi="Calibri;sans-serif"/>
                <w:b w:val="false"/>
                <w:color w:val="51555C"/>
                <w:sz w:val="20"/>
              </w:rPr>
              <w:t>Decreases in compensation costs other than stock-based compensation of $11.5 million and $29.3 million, respectively; and</w:t>
            </w:r>
          </w:p>
          <w:p>
            <w:pPr>
              <w:pStyle w:val="TableContents"/>
              <w:bidi w:val="0"/>
              <w:spacing w:lineRule="auto" w:line="288" w:before="0" w:after="0"/>
              <w:ind w:left="0" w:right="0" w:hanging="360"/>
              <w:jc w:val="both"/>
              <w:rPr/>
            </w:pPr>
            <w:r>
              <w:rPr>
                <w:color w:val="51555C"/>
              </w:rPr>
              <w:t>•</w:t>
            </w:r>
            <w:r>
              <w:rPr>
                <w:rFonts w:ascii="Calibri;sans-serif" w:hAnsi="Calibri;sans-serif"/>
                <w:b w:val="false"/>
                <w:color w:val="51555C"/>
                <w:sz w:val="20"/>
              </w:rPr>
              <w:t xml:space="preserve">Decrease in commission expense of $1.3 million during the nine months ended September 30, 2023; partially offset by </w:t>
            </w:r>
          </w:p>
          <w:p>
            <w:pPr>
              <w:pStyle w:val="TableContents"/>
              <w:bidi w:val="0"/>
              <w:spacing w:lineRule="auto" w:line="288" w:before="0" w:after="0"/>
              <w:ind w:left="0" w:right="0" w:hanging="360"/>
              <w:jc w:val="both"/>
              <w:rPr/>
            </w:pPr>
            <w:r>
              <w:rPr>
                <w:color w:val="51555C"/>
              </w:rPr>
              <w:t>•</w:t>
            </w:r>
            <w:r>
              <w:rPr>
                <w:rFonts w:ascii="Calibri;sans-serif" w:hAnsi="Calibri;sans-serif"/>
                <w:b w:val="false"/>
                <w:color w:val="51555C"/>
                <w:sz w:val="20"/>
              </w:rPr>
              <w:t>Increase in severance costs of $4.4 million during the nine months ended September 30,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Decrease in Security Incident-related expenses of $9.6 million during the three months ended September 30, 2023. See "Security Incident update"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third-party contractor costs of $4.8 million and $8.5 million, respectively, primarily due to a decrease in our use of third-party software developers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A $2.3 million noncash impairment charge during the nine months ended September 30, 2022 against previously capitalized software development costs that reduced the carrying value of those assets to zero. The impairment charge resulted primarily from our decision to end customer support for certain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other corporate costs of $1.4 million and $3.0 million, respectively, primarily related to the release of certain accrued tax liabilities due to favorable sales tax rulings, partially offset by increases in bad debt expense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hosting and data center costs of $0.8 million and $4.4 million, respectively, as we continue to migrate our cloud infrastructure to leading public cloud service providers and make investments in security; currently, we expect our cloud infrastructure migration efforts and increased level of cybersecurity investments to continue for the foreseeable future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Security Incident-related expenses of $19.4 million during the nine months ended September 30, 2023. See "Security Incident update"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acquisition and disposition-related costs of $4.6 million and $1.1 million, respectively, primarily related to the noncash impairment charges against certain operating lease right-of-use assets and property and equipment assets resulting the sublease of our Washington, DC office location; the increase during the nine months ended September 30, 2023 was partially offset by the release of $1.4 million in accrued contingent consideration related to our Kilter acquisition during the second quarter of 2023 and a $2.0 million noncash impairment of certain insignificant intangible assets that were held for sale during the nine months ended September 30, 2022 which did not reoccur in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Increases in stock-based compensation expense of $4.4 million and $12.0 million, respectively, primarily due to 2022 performance-based equity award adjustments and estimated overall Company performance against 2023 goals, partially offset by the targeted workforce reductions during the fourth quarter of 2022 and first quarter of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transaction-based costs of $2.8 million and $6.1 million, respectively, related to the increase in the volume of transactions for which we process payments and, to a lesser extent, increases in vendor rates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advertising costs of $1.7 million and $1.8 million, respectively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amortization of intangible assets from business combinations of $1.4 million and $2.7 million, respectively, due to our acquisition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91540"/>
                <wp:effectExtent l="0" t="0" r="0" b="0"/>
                <wp:wrapNone/>
                <wp:docPr id="90" name="Frame2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5" descr=""/>
                                                <pic:cNvPicPr>
                                                  <a:picLocks noChangeAspect="1" noChangeArrowheads="1"/>
                                                </pic:cNvPicPr>
                                              </pic:nvPicPr>
                                              <pic:blipFill>
                                                <a:blip r:embed="rId63"/>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5" descr=""/>
                                          <pic:cNvPicPr>
                                            <a:picLocks noChangeAspect="1" noChangeArrowheads="1"/>
                                          </pic:cNvPicPr>
                                        </pic:nvPicPr>
                                        <pic:blipFill>
                                          <a:blip r:embed="rId64"/>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72"/>
        <w:gridCol w:w="2665"/>
        <w:gridCol w:w="37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Net increase of $1.3 million during the nine months ended September 30, 2023 primarily related to higher third-party software costs due to the number of licenses needed and also price increases for the software being used, partially offset by a decrease in rent and utilities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Net decreases of $1.1 million and $2.8 million, respectively, due to an increase in amortization of capitalized software and content development costs, partially offset by an increase in software and content development costs that were required to be capitalized under the internal-use software guidance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continuing to make critical investments in the business in areas such as digital marketing, innovation, cybersecurity, and our continued shift of cloud infrastructure to leading public cloud service providers. Our profitability during the first three quarters of 2023 reflects some of these incremental investments.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28" w:type="dxa"/>
        <w:jc w:val="left"/>
        <w:tblInd w:w="0" w:type="dxa"/>
        <w:tblLayout w:type="fixed"/>
        <w:tblCellMar>
          <w:top w:w="28" w:type="dxa"/>
          <w:left w:w="28" w:type="dxa"/>
          <w:bottom w:w="28" w:type="dxa"/>
          <w:right w:w="28" w:type="dxa"/>
        </w:tblCellMar>
      </w:tblPr>
      <w:tblGrid>
        <w:gridCol w:w="661"/>
        <w:gridCol w:w="583"/>
        <w:gridCol w:w="585"/>
        <w:gridCol w:w="109"/>
        <w:gridCol w:w="109"/>
        <w:gridCol w:w="109"/>
        <w:gridCol w:w="109"/>
        <w:gridCol w:w="109"/>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dollar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533650" cy="1457325"/>
            <wp:effectExtent l="0" t="0" r="0" b="0"/>
            <wp:docPr id="9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6" descr=""/>
                    <pic:cNvPicPr>
                      <a:picLocks noChangeAspect="1" noChangeArrowheads="1"/>
                    </pic:cNvPicPr>
                  </pic:nvPicPr>
                  <pic:blipFill>
                    <a:blip r:embed="rId65"/>
                    <a:stretch>
                      <a:fillRect/>
                    </a:stretch>
                  </pic:blipFill>
                  <pic:spPr bwMode="auto">
                    <a:xfrm>
                      <a:off x="0" y="0"/>
                      <a:ext cx="2533650" cy="1457325"/>
                    </a:xfrm>
                    <a:prstGeom prst="rect">
                      <a:avLst/>
                    </a:prstGeom>
                  </pic:spPr>
                </pic:pic>
              </a:graphicData>
            </a:graphic>
          </wp:inline>
        </w:drawing>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recurring subscription contracts are typically for a term of three years at contract inception. We have been for several years successfully shifting our legacy customer base away from annual renewals and moving them onto multi-year renewal contracts.</w:t>
      </w:r>
    </w:p>
    <w:p>
      <w:pPr>
        <w:pStyle w:val="TextBody"/>
        <w:bidi w:val="0"/>
        <w:spacing w:lineRule="auto" w:line="288" w:before="180" w:after="283"/>
        <w:jc w:val="both"/>
        <w:rPr/>
      </w:pPr>
      <w:r>
        <w:rPr>
          <w:rFonts w:ascii="Calibri;sans-serif" w:hAnsi="Calibri;sans-serif"/>
          <w:b w:val="false"/>
          <w:color w:val="51555C"/>
          <w:sz w:val="20"/>
        </w:rPr>
        <w:t xml:space="preserve">A key factor to our overall success is the renewal and expansion of our existing subscription agreements with our customers. 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September 30, 2023, our gross dollar retention was approximately 90%. This gross dollar retention rate is relatively consistent with our rate for the full year ended December 31, 2022. We are continually investing in innovation, which we believe will increase gross dollar retention over the long-term. Although some customer attrition is normal, our new contract pricing and renewal model (as described above on page </w:t>
      </w:r>
      <w:hyperlink w:anchor="i0ea77bac8f2f4b728c5aa7b48115f09c_12010">
        <w:r>
          <w:rPr>
            <w:rStyle w:val="InternetLink"/>
            <w:rFonts w:ascii="Calibri;sans-serif" w:hAnsi="Calibri;sans-serif"/>
            <w:b w:val="false"/>
            <w:strike w:val="false"/>
            <w:dstrike w:val="false"/>
            <w:color w:val="51555C"/>
            <w:sz w:val="20"/>
            <w:u w:val="none"/>
            <w:effect w:val="none"/>
          </w:rPr>
          <w:t>26</w:t>
        </w:r>
      </w:hyperlink>
      <w:r>
        <w:rPr>
          <w:rFonts w:ascii="Calibri;sans-serif" w:hAnsi="Calibri;sans-serif"/>
          <w:b w:val="false"/>
          <w:color w:val="51555C"/>
          <w:sz w:val="20"/>
        </w:rPr>
        <w:t>) does not appear to have had a significant impact on customer attrition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Balance sheet and cash flow</w:t>
      </w:r>
    </w:p>
    <w:p>
      <w:pPr>
        <w:pStyle w:val="TextBody"/>
        <w:bidi w:val="0"/>
        <w:spacing w:lineRule="auto" w:line="288" w:before="180" w:after="283"/>
        <w:jc w:val="both"/>
        <w:rPr/>
      </w:pPr>
      <w:r>
        <w:rPr>
          <w:rFonts w:ascii="Calibri;sans-serif" w:hAnsi="Calibri;sans-serif"/>
          <w:b w:val="false"/>
          <w:color w:val="51555C"/>
          <w:sz w:val="20"/>
        </w:rPr>
        <w:t xml:space="preserve">At September 30, 2023, our cash and cash equivalents were $31.1 million. Under 2020 Credit Facility, the carrying amount of our debt was $683.2 million and our net leverage ratio </w:t>
      </w:r>
      <w:r>
        <w:rPr>
          <w:rFonts w:ascii="Calibri;sans-serif" w:hAnsi="Calibri;sans-serif"/>
          <w:b w:val="false"/>
          <w:color w:val="51555C"/>
          <w:sz w:val="20"/>
          <w:shd w:fill="FFFFFF" w:val="clear"/>
        </w:rPr>
        <w:t xml:space="preserve">was </w:t>
      </w:r>
      <w:r>
        <w:rPr>
          <w:rFonts w:ascii="Calibri;sans-serif" w:hAnsi="Calibri;sans-serif"/>
          <w:b w:val="false"/>
          <w:color w:val="51555C"/>
          <w:sz w:val="20"/>
        </w:rPr>
        <w:t>2.11 to 1.00</w:t>
      </w:r>
      <w:r>
        <w:rPr>
          <w:rFonts w:ascii="Calibri;sans-serif" w:hAnsi="Calibri;sans-serif"/>
          <w:b w:val="false"/>
          <w:color w:val="51555C"/>
          <w:sz w:val="20"/>
          <w:shd w:fill="FFFFFF" w:val="clear"/>
        </w:rPr>
        <w:t>.</w:t>
      </w:r>
      <w:r>
        <w:rPr>
          <w:color w:val="51555C"/>
        </w:rPr>
        <w:t xml:space="preserve">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nine months ended September 30, 2023, we generated $203.0 million in cash from operations, had a net decrease in borrowings of $118.2 million, and had aggregate cash outlays of $48.9 million for purchases of property and equipment and capitalized software and content development costs.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currently expect to resume stock repurchases during the fourth quarter of 2023 under our existing stock repurchase program that authorizes us to purchase up to $250.0 million of our outstanding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91540"/>
                <wp:effectExtent l="0" t="0" r="0" b="0"/>
                <wp:wrapNone/>
                <wp:docPr id="94" name="Frame3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7" descr=""/>
                                                <pic:cNvPicPr>
                                                  <a:picLocks noChangeAspect="1" noChangeArrowheads="1"/>
                                                </pic:cNvPicPr>
                                              </pic:nvPicPr>
                                              <pic:blipFill>
                                                <a:blip r:embed="rId6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7" descr=""/>
                                          <pic:cNvPicPr>
                                            <a:picLocks noChangeAspect="1" noChangeArrowheads="1"/>
                                          </pic:cNvPicPr>
                                        </pic:nvPicPr>
                                        <pic:blipFill>
                                          <a:blip r:embed="rId6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Security Incident update</w:t>
      </w:r>
    </w:p>
    <w:p>
      <w:pPr>
        <w:pStyle w:val="TextBody"/>
        <w:bidi w:val="0"/>
        <w:spacing w:lineRule="auto" w:line="288" w:before="180" w:after="283"/>
        <w:jc w:val="both"/>
        <w:rPr/>
      </w:pPr>
      <w:r>
        <w:rPr>
          <w:rFonts w:ascii="Calibri;sans-serif" w:hAnsi="Calibri;sans-serif"/>
          <w:b w:val="false"/>
          <w:color w:val="51555C"/>
          <w:sz w:val="20"/>
        </w:rPr>
        <w:t>As discussed in Note 8 to our unaudited, condensed consolidated financial statements in this report, t</w:t>
      </w:r>
      <w:r>
        <w:rPr>
          <w:rFonts w:ascii="Calibri;sans-serif" w:hAnsi="Calibri;sans-serif"/>
          <w:b w:val="false"/>
          <w:color w:val="51555C"/>
          <w:sz w:val="20"/>
          <w:shd w:fill="FFFFFF" w:val="clear"/>
        </w:rPr>
        <w:t>otal costs related to the Security Incident exceeded the limit of our insurance coverage in the first quarter of 2022</w:t>
      </w:r>
      <w:r>
        <w:rPr>
          <w:rFonts w:ascii="Calibri;sans-serif" w:hAnsi="Calibri;sans-serif"/>
          <w:b w:val="false"/>
          <w:color w:val="51555C"/>
          <w:sz w:val="20"/>
        </w:rPr>
        <w:t>. Accordingly, the Security Incident has negatively impacted, and we expect it to continue for the foreseeable future to negatively impact, our GAAP profitab</w:t>
      </w:r>
      <w:r>
        <w:rPr>
          <w:rFonts w:ascii="Calibri;sans-serif" w:hAnsi="Calibri;sans-serif"/>
          <w:b w:val="false"/>
          <w:color w:val="51555C"/>
          <w:sz w:val="20"/>
          <w:shd w:fill="FFFFFF" w:val="clear"/>
        </w:rPr>
        <w:t xml:space="preserve">ility and GAAP cash flow (see discussion regarding non-GAAP free cash flow and non-GAAP adjusted free cash flow on page </w:t>
      </w:r>
      <w:hyperlink w:anchor="i9fc2f01d4d454122a00115b63cf3f9d0_160">
        <w:r>
          <w:rPr>
            <w:rStyle w:val="InternetLink"/>
            <w:rFonts w:ascii="Calibri;sans-serif" w:hAnsi="Calibri;sans-serif"/>
            <w:b w:val="false"/>
            <w:strike w:val="false"/>
            <w:dstrike w:val="false"/>
            <w:color w:val="51555C"/>
            <w:sz w:val="20"/>
            <w:u w:val="none"/>
            <w:effect w:val="none"/>
          </w:rPr>
          <w:t>42</w:t>
        </w:r>
      </w:hyperlink>
      <w:r>
        <w:rPr>
          <w:rFonts w:ascii="Calibri;sans-serif" w:hAnsi="Calibri;sans-serif"/>
          <w:b w:val="false"/>
          <w:color w:val="51555C"/>
          <w:sz w:val="20"/>
          <w:shd w:fill="FFFFFF" w:val="clear"/>
        </w:rPr>
        <w:t xml:space="preserve">). </w:t>
      </w:r>
      <w:r>
        <w:rPr>
          <w:rFonts w:ascii="Calibri;sans-serif" w:hAnsi="Calibri;sans-serif"/>
          <w:b w:val="false"/>
          <w:color w:val="51555C"/>
          <w:sz w:val="20"/>
        </w:rPr>
        <w:t xml:space="preserve">For the three and nine months ended September 30, 2023, we incurred net pre-tax expenses of $4.1 million and $48.6 million, respectively, related to the Security Incident, which included $4.1 million and $18.6 million, respectively, for ongoing legal fees and additional accruals for loss contingencies of $0.0 million and $30.0 million, respectively. During the nine months ended September 30, 2023, we had net cash outlays of $23.1 million related to the Security Incident, which included ongoing legal fees and the $3.0 million civil penalty paid during the first quarter of 2023 related to the SEC settlement (as discussed in Note 8). In line with our policy, legal fees are expensed as incurred. For full year 2023, we currently expect net pre-tax expense of approximately $20.0 million to $30.0 million and net cash outlays of approximately $25.0 million to $35.0 million for ongoing legal fees related to the Security Incident. Not included in these ranges are our previous settlements or current accruals for loss contingencies related to the matters discussed below. For full year 2024, we currently expect a significant decrease in net pre-tax expense related to the Security Incident for ongoing legal fees.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September 30, 2023, we have recorded approximately $50.0 million in aggregate liabilities for loss contingencies based primarily on negotiations with certain governmental agencies related to the Security Incident that we believed we could reasonably estimate in accordance with our loss contingency procedures described in Note 8. In connection with the settlement of the multi-state Attorneys General investigation (as discussed in Note 8 and Note 12), we expect to pay $49.5 million during the fourth quarter of 2023.</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other Security Incident-related matters, including customer claims, customer constituent class actions and governmental investigations, for which we have not recorded a liability for a loss contingency as of September 30, 2023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91540"/>
                <wp:effectExtent l="0" t="0" r="0" b="0"/>
                <wp:wrapNone/>
                <wp:docPr id="97" name="Frame3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8" descr=""/>
                                                <pic:cNvPicPr>
                                                  <a:picLocks noChangeAspect="1" noChangeArrowheads="1"/>
                                                </pic:cNvPicPr>
                                              </pic:nvPicPr>
                                              <pic:blipFill>
                                                <a:blip r:embed="rId68"/>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8" descr=""/>
                                          <pic:cNvPicPr>
                                            <a:picLocks noChangeAspect="1" noChangeArrowheads="1"/>
                                          </pic:cNvPicPr>
                                        </pic:nvPicPr>
                                        <pic:blipFill>
                                          <a:blip r:embed="rId69"/>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2339" w:type="dxa"/>
        <w:jc w:val="left"/>
        <w:tblInd w:w="0" w:type="dxa"/>
        <w:tblLayout w:type="fixed"/>
        <w:tblCellMar>
          <w:top w:w="28" w:type="dxa"/>
          <w:left w:w="28" w:type="dxa"/>
          <w:bottom w:w="28" w:type="dxa"/>
          <w:right w:w="28" w:type="dxa"/>
        </w:tblCellMar>
      </w:tblPr>
      <w:tblGrid>
        <w:gridCol w:w="748"/>
        <w:gridCol w:w="658"/>
        <w:gridCol w:w="9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Results of Operations</w:t>
            </w:r>
          </w:p>
        </w:tc>
      </w:tr>
    </w:tbl>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Comparison of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Calibri;sans-serif" w:hAnsi="Calibri;sans-serif"/>
          <w:b/>
          <w:color w:val="51555C"/>
          <w:sz w:val="20"/>
        </w:rPr>
      </w:pPr>
      <w:r>
        <w:rPr>
          <w:rFonts w:ascii="Calibri;sans-serif" w:hAnsi="Calibri;sans-serif"/>
          <w:b/>
          <w:color w:val="51555C"/>
          <w:sz w:val="20"/>
        </w:rPr>
        <w:t>Revenue and Cost of Revenue</w:t>
      </w:r>
    </w:p>
    <w:tbl>
      <w:tblPr>
        <w:tblW w:w="5498" w:type="dxa"/>
        <w:jc w:val="left"/>
        <w:tblInd w:w="0" w:type="dxa"/>
        <w:tblLayout w:type="fixed"/>
        <w:tblCellMar>
          <w:top w:w="28" w:type="dxa"/>
          <w:left w:w="28" w:type="dxa"/>
          <w:bottom w:w="28" w:type="dxa"/>
          <w:right w:w="28" w:type="dxa"/>
        </w:tblCellMar>
      </w:tblPr>
      <w:tblGrid>
        <w:gridCol w:w="445"/>
        <w:gridCol w:w="391"/>
        <w:gridCol w:w="394"/>
        <w:gridCol w:w="109"/>
        <w:gridCol w:w="109"/>
        <w:gridCol w:w="109"/>
        <w:gridCol w:w="589"/>
        <w:gridCol w:w="589"/>
        <w:gridCol w:w="591"/>
        <w:gridCol w:w="109"/>
        <w:gridCol w:w="109"/>
        <w:gridCol w:w="109"/>
        <w:gridCol w:w="540"/>
        <w:gridCol w:w="540"/>
        <w:gridCol w:w="765"/>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Recurring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profit ($M)</w:t>
              <w:br/>
              <w:t>and gross margin (%)</w:t>
            </w:r>
          </w:p>
        </w:tc>
      </w:tr>
      <w:tr>
        <w:trPr/>
        <w:tc>
          <w:tcPr>
            <w:tcW w:w="123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152650" cy="1581150"/>
            <wp:effectExtent l="0" t="0" r="0" b="0"/>
            <wp:docPr id="10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9" descr=""/>
                    <pic:cNvPicPr>
                      <a:picLocks noChangeAspect="1" noChangeArrowheads="1"/>
                    </pic:cNvPicPr>
                  </pic:nvPicPr>
                  <pic:blipFill>
                    <a:blip r:embed="rId70"/>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0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0" descr=""/>
                    <pic:cNvPicPr>
                      <a:picLocks noChangeAspect="1" noChangeArrowheads="1"/>
                    </pic:cNvPicPr>
                  </pic:nvPicPr>
                  <pic:blipFill>
                    <a:blip r:embed="rId71"/>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0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1" descr=""/>
                    <pic:cNvPicPr>
                      <a:picLocks noChangeAspect="1" noChangeArrowheads="1"/>
                    </pic:cNvPicPr>
                  </pic:nvPicPr>
                  <pic:blipFill>
                    <a:blip r:embed="rId72"/>
                    <a:stretch>
                      <a:fillRect/>
                    </a:stretch>
                  </pic:blipFill>
                  <pic:spPr bwMode="auto">
                    <a:xfrm>
                      <a:off x="0" y="0"/>
                      <a:ext cx="2152650" cy="1581150"/>
                    </a:xfrm>
                    <a:prstGeom prst="rect">
                      <a:avLst/>
                    </a:prstGeom>
                  </pic:spPr>
                </pic:pic>
              </a:graphicData>
            </a:graphic>
          </wp:inline>
        </w:drawing>
      </w:r>
    </w:p>
    <w:p>
      <w:pPr>
        <w:pStyle w:val="TextBody"/>
        <w:bidi w:val="0"/>
        <w:spacing w:before="180" w:after="283"/>
        <w:jc w:val="both"/>
        <w:rPr/>
      </w:pPr>
      <w:r>
        <w:rPr/>
        <w:drawing>
          <wp:inline distT="0" distB="0" distL="0" distR="0">
            <wp:extent cx="2152650" cy="1581150"/>
            <wp:effectExtent l="0" t="0" r="0" b="0"/>
            <wp:docPr id="10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2" descr=""/>
                    <pic:cNvPicPr>
                      <a:picLocks noChangeAspect="1" noChangeArrowheads="1"/>
                    </pic:cNvPicPr>
                  </pic:nvPicPr>
                  <pic:blipFill>
                    <a:blip r:embed="rId73"/>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0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3" descr=""/>
                    <pic:cNvPicPr>
                      <a:picLocks noChangeAspect="1" noChangeArrowheads="1"/>
                    </pic:cNvPicPr>
                  </pic:nvPicPr>
                  <pic:blipFill>
                    <a:blip r:embed="rId74"/>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0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4" descr=""/>
                    <pic:cNvPicPr>
                      <a:picLocks noChangeAspect="1" noChangeArrowheads="1"/>
                    </pic:cNvPicPr>
                  </pic:nvPicPr>
                  <pic:blipFill>
                    <a:blip r:embed="rId75"/>
                    <a:stretch>
                      <a:fillRect/>
                    </a:stretch>
                  </pic:blipFill>
                  <pic:spPr bwMode="auto">
                    <a:xfrm>
                      <a:off x="0" y="0"/>
                      <a:ext cx="2152650" cy="1581150"/>
                    </a:xfrm>
                    <a:prstGeom prst="rect">
                      <a:avLst/>
                    </a:prstGeom>
                  </pic:spPr>
                </pic:pic>
              </a:graphicData>
            </a:graphic>
          </wp:inline>
        </w:drawing>
      </w:r>
    </w:p>
    <w:p>
      <w:pPr>
        <w:pStyle w:val="TextBody"/>
        <w:bidi w:val="0"/>
        <w:spacing w:lineRule="auto" w:line="288" w:before="180" w:after="283"/>
        <w:jc w:val="both"/>
        <w:rPr/>
      </w:pPr>
      <w:r>
        <w:rPr>
          <w:rFonts w:ascii="Calibri;sans-serif" w:hAnsi="Calibri;sans-serif"/>
          <w:b w:val="false"/>
          <w:color w:val="51555C"/>
          <w:sz w:val="20"/>
        </w:rPr>
        <w:t>Recurring revenue is comprised of fees for the use of our subscription-based software solutions, which includes providing access to cloud solutions, Impact-as-a-Service</w:t>
      </w:r>
      <w:r>
        <w:rPr>
          <w:color w:val="51555C"/>
        </w:rPr>
        <w:t xml:space="preserve">™ </w:t>
      </w:r>
      <w:r>
        <w:rPr>
          <w:rFonts w:ascii="Calibri;sans-serif" w:hAnsi="Calibri;sans-serif"/>
          <w:b w:val="false"/>
          <w:color w:val="51555C"/>
          <w:sz w:val="20"/>
        </w:rPr>
        <w:t>digital educational content, hosting services, payment services, online training programs and subscription-based analytic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customers continue to prefer cloud subscription offerings with integrated analytics, training and payment services. We intend to continue focusing on innovation, quality and integration of our cloud solutions, which we believe will drive future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91540"/>
                <wp:effectExtent l="0" t="0" r="0" b="0"/>
                <wp:wrapNone/>
                <wp:docPr id="106" name="Frame3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5" descr=""/>
                                                <pic:cNvPicPr>
                                                  <a:picLocks noChangeAspect="1" noChangeArrowheads="1"/>
                                                </pic:cNvPicPr>
                                              </pic:nvPicPr>
                                              <pic:blipFill>
                                                <a:blip r:embed="rId7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5" descr=""/>
                                          <pic:cNvPicPr>
                                            <a:picLocks noChangeAspect="1" noChangeArrowheads="1"/>
                                          </pic:cNvPicPr>
                                        </pic:nvPicPr>
                                        <pic:blipFill>
                                          <a:blip r:embed="rId7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Recurring revenue increased by $19.6 million, or 7.9%, and $37.6 million, or 5.0%, during the three and nine months ended September 30, 2023, respectively, when compared to the same periods in 2022, driven primarily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05"/>
        <w:gridCol w:w="2693"/>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contractual recurring revenue of $10.9 million and $17.9 million, respectively, related to the performance of our cloud solutions and, to a lesser extent, the early impact of our pricing initiatives; partially offset by decreases in maintenance revenue as customers migrate to our cloud solutions; also offsetting the increases in contractual recurring revenue during the nine months ended September 30, 2023 was a decrease related to fluctuations in foreign currency exchange rates of $0.7 million;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transactional recurring revenue of $8.7 million and $19.7 million, respectively, primarily due to positive results related to pricing initiatives we implemented at the beginning of 2023 and, to a lesser extent, increases in volume for our Blackbaud Tuition Management and JustGiving solutions; also offsetting the increases in transactional recurring revenue during the nine months ended September 30, 2023 was a decrease related to fluctuations in foreign currency exchange rates of $0.9 million.</w:t>
            </w:r>
          </w:p>
        </w:tc>
      </w:tr>
    </w:tbl>
    <w:p>
      <w:pPr>
        <w:pStyle w:val="TextBody"/>
        <w:bidi w:val="0"/>
        <w:spacing w:lineRule="auto" w:line="288" w:before="180" w:after="283"/>
        <w:jc w:val="both"/>
        <w:rPr/>
      </w:pPr>
      <w:r>
        <w:rPr>
          <w:rFonts w:ascii="Calibri;sans-serif" w:hAnsi="Calibri;sans-serif"/>
          <w:b w:val="false"/>
          <w:color w:val="51555C"/>
          <w:sz w:val="20"/>
        </w:rPr>
        <w:t xml:space="preserve">For additional information on the impact of foreign currency fluctuations on our financial results, see Foreign Currency Exchange Rates below on page </w:t>
      </w:r>
      <w:hyperlink w:anchor="i9fc2f01d4d454122a00115b63cf3f9d0_187">
        <w:r>
          <w:rPr>
            <w:rStyle w:val="InternetLink"/>
            <w:rFonts w:ascii="Calibri;sans-serif" w:hAnsi="Calibri;sans-serif"/>
            <w:b w:val="false"/>
            <w:strike w:val="false"/>
            <w:dstrike w:val="false"/>
            <w:color w:val="51555C"/>
            <w:sz w:val="20"/>
            <w:u w:val="none"/>
            <w:effect w:val="none"/>
          </w:rPr>
          <w:t>47</w:t>
        </w:r>
      </w:hyperlink>
      <w:r>
        <w:rPr>
          <w:rFonts w:ascii="Calibri;sans-serif" w:hAnsi="Calibri;sans-serif"/>
          <w:b w:val="false"/>
          <w:color w:val="51555C"/>
          <w:sz w:val="20"/>
        </w:rPr>
        <w: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recurring revenue increased by $2.6 million, or 2.4%, and $4.4 million, or 1.3%, during the three and nine months ended September 30, 2023, respectively, when compared to the same periods in 2022,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65"/>
        <w:gridCol w:w="2666"/>
        <w:gridCol w:w="37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transaction-based costs of $2.8 million and $6.1 million, respectively, related to the increase in the volume of transactions for which we process payments and, to a lesser extent, increases in vendor rates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amortization of software development costs of $1.5 million and $4.2 million, respectively, due to our continued investments in the innovation and security of our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amortization of intangible assets from business combinations of $1.2 million and $2.6 million, respectively, primarily due to our acquisition of EVERFI in December 2021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stock-based compensation costs of $0.8 million and $1.6 million, respectively, primarily due to 2022 performance-based equity award adjustments and estimated overall Company performance against 2023 goals, partially offset by the targeted workforce reductions during the fourth quarter of 2022 and first quarter of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third-party software costs of $0.7 million, for the nine months ended September 30, 2023, primarily related to a higher number of licenses needed and also price increases for the software being used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compensation costs other than stock-based compensation of $2.7 million and $7.5 million, respectively, primarily due to our targeted workforce reductions discussed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third-party contractor and hosting costs of $0.9 million and $4.2 million, respectively, as we continue to migrate our cloud infrastructure to leading public cloud service providers and make investments in security; currently, we expect our cloud infrastructure migration efforts and increased level of cybersecurity investments to continue for the foreseeable future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Recurring gross margin increased by 230 and 160 basis points for the three and nine months ended September 30, 2023, respectively, when compared to the same periods in 2022, primarily due to the increases in recurring revenue outpacing the changes in cost of recurring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91540"/>
                <wp:effectExtent l="0" t="0" r="0" b="0"/>
                <wp:wrapNone/>
                <wp:docPr id="109" name="Frame3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6" descr=""/>
                                                <pic:cNvPicPr>
                                                  <a:picLocks noChangeAspect="1" noChangeArrowheads="1"/>
                                                </pic:cNvPicPr>
                                              </pic:nvPicPr>
                                              <pic:blipFill>
                                                <a:blip r:embed="rId78"/>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6" descr=""/>
                                          <pic:cNvPicPr>
                                            <a:picLocks noChangeAspect="1" noChangeArrowheads="1"/>
                                          </pic:cNvPicPr>
                                        </pic:nvPicPr>
                                        <pic:blipFill>
                                          <a:blip r:embed="rId79"/>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6593" w:type="dxa"/>
        <w:jc w:val="left"/>
        <w:tblInd w:w="0" w:type="dxa"/>
        <w:tblLayout w:type="fixed"/>
        <w:tblCellMar>
          <w:top w:w="28" w:type="dxa"/>
          <w:left w:w="28" w:type="dxa"/>
          <w:bottom w:w="28" w:type="dxa"/>
          <w:right w:w="28" w:type="dxa"/>
        </w:tblCellMar>
      </w:tblPr>
      <w:tblGrid>
        <w:gridCol w:w="842"/>
        <w:gridCol w:w="739"/>
        <w:gridCol w:w="744"/>
        <w:gridCol w:w="109"/>
        <w:gridCol w:w="109"/>
        <w:gridCol w:w="109"/>
        <w:gridCol w:w="589"/>
        <w:gridCol w:w="589"/>
        <w:gridCol w:w="591"/>
        <w:gridCol w:w="109"/>
        <w:gridCol w:w="109"/>
        <w:gridCol w:w="109"/>
        <w:gridCol w:w="540"/>
        <w:gridCol w:w="540"/>
        <w:gridCol w:w="765"/>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i/>
                <w:color w:val="51555C"/>
                <w:sz w:val="20"/>
              </w:rPr>
            </w:pPr>
            <w:r>
              <w:rPr>
                <w:rFonts w:ascii="Calibri;sans-serif" w:hAnsi="Calibri;sans-serif"/>
                <w:b w:val="false"/>
                <w:i/>
                <w:color w:val="51555C"/>
                <w:sz w:val="20"/>
              </w:rPr>
              <w:t>One-time services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Gross profit ($M)</w:t>
              <w:br/>
              <w:t>and gross margin (%)</w:t>
            </w:r>
          </w:p>
        </w:tc>
      </w:tr>
      <w:tr>
        <w:trPr/>
        <w:tc>
          <w:tcPr>
            <w:tcW w:w="2325"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152650" cy="1581150"/>
            <wp:effectExtent l="0" t="0" r="0" b="0"/>
            <wp:docPr id="11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7" descr=""/>
                    <pic:cNvPicPr>
                      <a:picLocks noChangeAspect="1" noChangeArrowheads="1"/>
                    </pic:cNvPicPr>
                  </pic:nvPicPr>
                  <pic:blipFill>
                    <a:blip r:embed="rId80"/>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1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8" descr=""/>
                    <pic:cNvPicPr>
                      <a:picLocks noChangeAspect="1" noChangeArrowheads="1"/>
                    </pic:cNvPicPr>
                  </pic:nvPicPr>
                  <pic:blipFill>
                    <a:blip r:embed="rId81"/>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1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9" descr=""/>
                    <pic:cNvPicPr>
                      <a:picLocks noChangeAspect="1" noChangeArrowheads="1"/>
                    </pic:cNvPicPr>
                  </pic:nvPicPr>
                  <pic:blipFill>
                    <a:blip r:embed="rId82"/>
                    <a:stretch>
                      <a:fillRect/>
                    </a:stretch>
                  </pic:blipFill>
                  <pic:spPr bwMode="auto">
                    <a:xfrm>
                      <a:off x="0" y="0"/>
                      <a:ext cx="2152650" cy="1581150"/>
                    </a:xfrm>
                    <a:prstGeom prst="rect">
                      <a:avLst/>
                    </a:prstGeom>
                  </pic:spPr>
                </pic:pic>
              </a:graphicData>
            </a:graphic>
          </wp:inline>
        </w:drawing>
      </w:r>
    </w:p>
    <w:p>
      <w:pPr>
        <w:pStyle w:val="TextBody"/>
        <w:bidi w:val="0"/>
        <w:spacing w:before="180" w:after="283"/>
        <w:jc w:val="left"/>
        <w:rPr/>
      </w:pPr>
      <w:r>
        <w:rPr/>
        <w:drawing>
          <wp:inline distT="0" distB="0" distL="0" distR="0">
            <wp:extent cx="2152650" cy="1581150"/>
            <wp:effectExtent l="0" t="0" r="0" b="0"/>
            <wp:docPr id="11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0" descr=""/>
                    <pic:cNvPicPr>
                      <a:picLocks noChangeAspect="1" noChangeArrowheads="1"/>
                    </pic:cNvPicPr>
                  </pic:nvPicPr>
                  <pic:blipFill>
                    <a:blip r:embed="rId83"/>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1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1" descr=""/>
                    <pic:cNvPicPr>
                      <a:picLocks noChangeAspect="1" noChangeArrowheads="1"/>
                    </pic:cNvPicPr>
                  </pic:nvPicPr>
                  <pic:blipFill>
                    <a:blip r:embed="rId84"/>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1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2" descr=""/>
                    <pic:cNvPicPr>
                      <a:picLocks noChangeAspect="1" noChangeArrowheads="1"/>
                    </pic:cNvPicPr>
                  </pic:nvPicPr>
                  <pic:blipFill>
                    <a:blip r:embed="rId85"/>
                    <a:stretch>
                      <a:fillRect/>
                    </a:stretch>
                  </pic:blipFill>
                  <pic:spPr bwMode="auto">
                    <a:xfrm>
                      <a:off x="0" y="0"/>
                      <a:ext cx="2152650" cy="1581150"/>
                    </a:xfrm>
                    <a:prstGeom prst="rect">
                      <a:avLst/>
                    </a:prstGeom>
                  </pic:spPr>
                </pic:pic>
              </a:graphicData>
            </a:graphic>
          </wp:inline>
        </w:drawing>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revenue is comprised of fees for one-time consulting (including creative services), analytic and onsite training services, fees for retained and managed services contracts that we do not expect to have a term consistent with our cloud solution contracts, revenue from the sale of our software sold under perpetual license arrangements, and third-party software referral fees.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allocated depreciation, facilities and IT support costs and amortization of intangible assets from business combinations.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revenue decreased by $3.3 million, or 27.6%, and $10.5 million, or 28.6%, during the three and nine months ended September 30, 2023, when compared to the same periods in 2022,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one-time consulting revenue of $2.1 million and $7.8 million, respectively, primarily due to less sales of creative services and implementation and customization services. Also contributing is an increase in utilization of third-party service delivery partners. For several years, we have been strategically shifting away from a one-time services business model towards sales of retained and managed services and also embedding services in our renewable cloud solution contracts. Retained and managed services contracts that we expect to have a term consistent with our cloud solution contracts, and embedded services are recorded as recurring revenue.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one-time analytics revenue of $1.2 million and $2.8 million, respectively, as analytics are generally integrated in our cloud solutions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91540"/>
                <wp:effectExtent l="0" t="0" r="0" b="0"/>
                <wp:wrapNone/>
                <wp:docPr id="118" name="Frame3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3" descr=""/>
                                                <pic:cNvPicPr>
                                                  <a:picLocks noChangeAspect="1" noChangeArrowheads="1"/>
                                                </pic:cNvPicPr>
                                              </pic:nvPicPr>
                                              <pic:blipFill>
                                                <a:blip r:embed="rId8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3" descr=""/>
                                          <pic:cNvPicPr>
                                            <a:picLocks noChangeAspect="1" noChangeArrowheads="1"/>
                                          </pic:cNvPicPr>
                                        </pic:nvPicPr>
                                        <pic:blipFill>
                                          <a:blip r:embed="rId8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Cost of one-time services and other decreased by $1.8 million, or 19.2%, and $8.0 million, or 25.1%, during the three and nine months ended September 30, 2023, respectively, when compared to the same periods in 2022,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compensation costs of $1.9 million and $6.9 million, respectively, primarily related to our targeted workforce reductions discussed above and a continued shift in resources historically supporting one-time services and other towards recurring revenue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One-time services and other gross margin decreased by 920 basis points and 420 basis points during the three and nine months ended September 30, 2023, respectively, when compared to the same periods in 2022, primarily due to the decrease of one-time services and other revenue outpacing the decrease in compensation costs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Calibri;sans-serif" w:hAnsi="Calibri;sans-serif"/>
          <w:b/>
          <w:color w:val="51555C"/>
          <w:sz w:val="20"/>
        </w:rPr>
      </w:pPr>
      <w:r>
        <w:rPr>
          <w:rFonts w:ascii="Calibri;sans-serif" w:hAnsi="Calibri;sans-serif"/>
          <w:b/>
          <w:color w:val="51555C"/>
          <w:sz w:val="20"/>
        </w:rPr>
        <w:t>Operating Expenses</w:t>
      </w:r>
    </w:p>
    <w:tbl>
      <w:tblPr>
        <w:tblW w:w="5842" w:type="dxa"/>
        <w:jc w:val="left"/>
        <w:tblInd w:w="0" w:type="dxa"/>
        <w:tblLayout w:type="fixed"/>
        <w:tblCellMar>
          <w:top w:w="28" w:type="dxa"/>
          <w:left w:w="28" w:type="dxa"/>
          <w:bottom w:w="28" w:type="dxa"/>
          <w:right w:w="28" w:type="dxa"/>
        </w:tblCellMar>
      </w:tblPr>
      <w:tblGrid>
        <w:gridCol w:w="683"/>
        <w:gridCol w:w="602"/>
        <w:gridCol w:w="604"/>
        <w:gridCol w:w="109"/>
        <w:gridCol w:w="109"/>
        <w:gridCol w:w="109"/>
        <w:gridCol w:w="524"/>
        <w:gridCol w:w="524"/>
        <w:gridCol w:w="526"/>
        <w:gridCol w:w="109"/>
        <w:gridCol w:w="109"/>
        <w:gridCol w:w="109"/>
        <w:gridCol w:w="505"/>
        <w:gridCol w:w="505"/>
        <w:gridCol w:w="715"/>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Sales, marketing and</w:t>
              <w:br/>
              <w:t>customer success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Research and</w:t>
              <w:br/>
              <w:t>development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General and</w:t>
              <w:br/>
              <w:t>administrative ($M)</w:t>
            </w:r>
          </w:p>
        </w:tc>
      </w:tr>
      <w:tr>
        <w:trPr/>
        <w:tc>
          <w:tcPr>
            <w:tcW w:w="5842" w:type="dxa"/>
            <w:gridSpan w:val="15"/>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expenses as a percentage of total revenue</w:t>
            </w:r>
          </w:p>
        </w:tc>
      </w:tr>
    </w:tbl>
    <w:p>
      <w:pPr>
        <w:pStyle w:val="TextBody"/>
        <w:bidi w:val="0"/>
        <w:spacing w:before="180" w:after="283"/>
        <w:jc w:val="both"/>
        <w:rPr/>
      </w:pPr>
      <w:r>
        <w:rPr/>
        <w:drawing>
          <wp:inline distT="0" distB="0" distL="0" distR="0">
            <wp:extent cx="2152650" cy="1581150"/>
            <wp:effectExtent l="0" t="0" r="0" b="0"/>
            <wp:docPr id="12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4" descr=""/>
                    <pic:cNvPicPr>
                      <a:picLocks noChangeAspect="1" noChangeArrowheads="1"/>
                    </pic:cNvPicPr>
                  </pic:nvPicPr>
                  <pic:blipFill>
                    <a:blip r:embed="rId88"/>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2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5" descr=""/>
                    <pic:cNvPicPr>
                      <a:picLocks noChangeAspect="1" noChangeArrowheads="1"/>
                    </pic:cNvPicPr>
                  </pic:nvPicPr>
                  <pic:blipFill>
                    <a:blip r:embed="rId89"/>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2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6" descr=""/>
                    <pic:cNvPicPr>
                      <a:picLocks noChangeAspect="1" noChangeArrowheads="1"/>
                    </pic:cNvPicPr>
                  </pic:nvPicPr>
                  <pic:blipFill>
                    <a:blip r:embed="rId90"/>
                    <a:stretch>
                      <a:fillRect/>
                    </a:stretch>
                  </pic:blipFill>
                  <pic:spPr bwMode="auto">
                    <a:xfrm>
                      <a:off x="0" y="0"/>
                      <a:ext cx="2152650" cy="1581150"/>
                    </a:xfrm>
                    <a:prstGeom prst="rect">
                      <a:avLst/>
                    </a:prstGeom>
                  </pic:spPr>
                </pic:pic>
              </a:graphicData>
            </a:graphic>
          </wp:inline>
        </w:drawing>
      </w:r>
    </w:p>
    <w:p>
      <w:pPr>
        <w:pStyle w:val="TextBody"/>
        <w:bidi w:val="0"/>
        <w:spacing w:before="180" w:after="283"/>
        <w:jc w:val="left"/>
        <w:rPr/>
      </w:pPr>
      <w:r>
        <w:rPr/>
        <w:drawing>
          <wp:inline distT="0" distB="0" distL="0" distR="0">
            <wp:extent cx="2152650" cy="1581150"/>
            <wp:effectExtent l="0" t="0" r="0" b="0"/>
            <wp:docPr id="12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7" descr=""/>
                    <pic:cNvPicPr>
                      <a:picLocks noChangeAspect="1" noChangeArrowheads="1"/>
                    </pic:cNvPicPr>
                  </pic:nvPicPr>
                  <pic:blipFill>
                    <a:blip r:embed="rId91"/>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2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8" descr=""/>
                    <pic:cNvPicPr>
                      <a:picLocks noChangeAspect="1" noChangeArrowheads="1"/>
                    </pic:cNvPicPr>
                  </pic:nvPicPr>
                  <pic:blipFill>
                    <a:blip r:embed="rId92"/>
                    <a:stretch>
                      <a:fillRect/>
                    </a:stretch>
                  </pic:blipFill>
                  <pic:spPr bwMode="auto">
                    <a:xfrm>
                      <a:off x="0" y="0"/>
                      <a:ext cx="2152650" cy="1581150"/>
                    </a:xfrm>
                    <a:prstGeom prst="rect">
                      <a:avLst/>
                    </a:prstGeom>
                  </pic:spPr>
                </pic:pic>
              </a:graphicData>
            </a:graphic>
          </wp:inline>
        </w:drawing>
      </w:r>
      <w:r>
        <w:rPr/>
        <w:drawing>
          <wp:inline distT="0" distB="0" distL="0" distR="0">
            <wp:extent cx="2152650" cy="1581150"/>
            <wp:effectExtent l="0" t="0" r="0" b="0"/>
            <wp:docPr id="1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9" descr=""/>
                    <pic:cNvPicPr>
                      <a:picLocks noChangeAspect="1" noChangeArrowheads="1"/>
                    </pic:cNvPicPr>
                  </pic:nvPicPr>
                  <pic:blipFill>
                    <a:blip r:embed="rId93"/>
                    <a:stretch>
                      <a:fillRect/>
                    </a:stretch>
                  </pic:blipFill>
                  <pic:spPr bwMode="auto">
                    <a:xfrm>
                      <a:off x="0" y="0"/>
                      <a:ext cx="2152650" cy="1581150"/>
                    </a:xfrm>
                    <a:prstGeom prst="rect">
                      <a:avLst/>
                    </a:prstGeom>
                  </pic:spPr>
                </pic:pic>
              </a:graphicData>
            </a:graphic>
          </wp:inline>
        </w:drawing>
      </w:r>
    </w:p>
    <w:p>
      <w:pPr>
        <w:pStyle w:val="TextBody"/>
        <w:bidi w:val="0"/>
        <w:spacing w:lineRule="auto" w:line="288" w:before="180" w:after="283"/>
        <w:jc w:val="left"/>
        <w:rPr>
          <w:rFonts w:ascii="Calibri;sans-serif" w:hAnsi="Calibri;sans-serif"/>
          <w:b w:val="false"/>
          <w:i/>
          <w:color w:val="51555C"/>
          <w:sz w:val="20"/>
        </w:rPr>
      </w:pPr>
      <w:r>
        <w:rPr>
          <w:rFonts w:ascii="Calibri;sans-serif" w:hAnsi="Calibri;sans-serif"/>
          <w:b w:val="false"/>
          <w:i/>
          <w:color w:val="51555C"/>
          <w:sz w:val="20"/>
        </w:rPr>
        <w:t>Sales, marketing and customer success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expected to reduce our average customer acquisition cost per customer as well as the related payback period while increasing sales velocity.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91540"/>
                <wp:effectExtent l="0" t="0" r="0" b="0"/>
                <wp:wrapNone/>
                <wp:docPr id="127" name="Frame3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0" descr=""/>
                                                <pic:cNvPicPr>
                                                  <a:picLocks noChangeAspect="1" noChangeArrowheads="1"/>
                                                </pic:cNvPicPr>
                                              </pic:nvPicPr>
                                              <pic:blipFill>
                                                <a:blip r:embed="rId94"/>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0" descr=""/>
                                          <pic:cNvPicPr>
                                            <a:picLocks noChangeAspect="1" noChangeArrowheads="1"/>
                                          </pic:cNvPicPr>
                                        </pic:nvPicPr>
                                        <pic:blipFill>
                                          <a:blip r:embed="rId95"/>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Sales, marketing and customer success expense decreased by $4.0 million or 7.0%, and $4.3 million or 2.6%, during the three and nine months ended September 30, 2023, respectively, when compared to the same periods in 2022,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053"/>
        <w:gridCol w:w="2546"/>
        <w:gridCol w:w="3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Net decreases in the following costs primarily due to our targeted workforce reductions discussed above:</w:t>
            </w:r>
          </w:p>
          <w:p>
            <w:pPr>
              <w:pStyle w:val="TableContents"/>
              <w:bidi w:val="0"/>
              <w:spacing w:lineRule="auto" w:line="288" w:before="0" w:after="0"/>
              <w:ind w:left="0" w:right="0" w:hanging="360"/>
              <w:jc w:val="both"/>
              <w:rPr/>
            </w:pPr>
            <w:r>
              <w:rPr>
                <w:color w:val="51555C"/>
              </w:rPr>
              <w:t>•</w:t>
            </w:r>
            <w:r>
              <w:rPr>
                <w:rFonts w:ascii="Calibri;sans-serif" w:hAnsi="Calibri;sans-serif"/>
                <w:b w:val="false"/>
                <w:color w:val="51555C"/>
                <w:sz w:val="20"/>
              </w:rPr>
              <w:t>Decreases in compensation costs other than stock-based compensation of $3.7 million and $7.1 million, respectively; and</w:t>
            </w:r>
          </w:p>
          <w:p>
            <w:pPr>
              <w:pStyle w:val="TableContents"/>
              <w:bidi w:val="0"/>
              <w:spacing w:lineRule="auto" w:line="288" w:before="0" w:after="0"/>
              <w:ind w:left="0" w:right="0" w:hanging="360"/>
              <w:jc w:val="both"/>
              <w:rPr/>
            </w:pPr>
            <w:r>
              <w:rPr>
                <w:color w:val="51555C"/>
              </w:rPr>
              <w:t>•</w:t>
            </w:r>
            <w:r>
              <w:rPr>
                <w:rFonts w:ascii="Calibri;sans-serif" w:hAnsi="Calibri;sans-serif"/>
                <w:b w:val="false"/>
                <w:color w:val="51555C"/>
                <w:sz w:val="20"/>
              </w:rPr>
              <w:t>Decrease in commissions expense of $1.4 million during the nine months ended September 30, 2023; partially offset by</w:t>
            </w:r>
          </w:p>
          <w:p>
            <w:pPr>
              <w:pStyle w:val="TableContents"/>
              <w:bidi w:val="0"/>
              <w:spacing w:lineRule="auto" w:line="288" w:before="0" w:after="0"/>
              <w:ind w:left="0" w:right="0" w:hanging="360"/>
              <w:jc w:val="both"/>
              <w:rPr/>
            </w:pPr>
            <w:r>
              <w:rPr>
                <w:color w:val="51555C"/>
              </w:rPr>
              <w:t>•</w:t>
            </w:r>
            <w:r>
              <w:rPr>
                <w:rFonts w:ascii="Calibri;sans-serif" w:hAnsi="Calibri;sans-serif"/>
                <w:b w:val="false"/>
                <w:color w:val="51555C"/>
                <w:sz w:val="20"/>
              </w:rPr>
              <w:t>Increase in severance costs of $2.2 million during the nine months ended September 30,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third-party contractor costs of $2.2 million and $2.6 million, respectively, primarily related to strategic consulting costs incurred during 2022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stock-based compensation costs of $2.6 million, during the nine months ended September 30, 2023, primarily due to 2022 performance-based equity award adjustments and estimated overall Company performance against 2023 goals, partially offset by the targeted workforce reductions during the fourth quarter of 2022 and first quarter of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Increases in advertising costs of $1.7 million and $1.8 million,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Research and development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continue to make investments to delight our customers with innovative and secure cloud solutions. Research and development expenses decreased by $2.5 million, or 6.1%, and $4.0 million or 3.4%, during the three and nine months ended September 30, 2023, respectively, when compared to the same periods in 2022,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068"/>
        <w:gridCol w:w="2542"/>
        <w:gridCol w:w="35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35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third-party contractor costs of $1.9 million and $5.5 million, respectively, primarily due to a decrease in our use of third-party software developers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compensation costs other than stock-based compensation of $1.9 million and $3.8 million, respectively, primarily due to our targeted workforce reductions discussed above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Increases in stock-based compensation of $1.8 million and $4.6 million, respectively, primarily due to estimated overall Company performance against 2023 goals, partially offset by the targeted workforce reductions during the fourth quarter of 2022 and first quarter of 2023. 2022 performance-based equity award adjustments also contributed to the increase in stock-based compensation expense during the nine months ended September 30,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Calibri;sans-serif" w:hAnsi="Calibri;sans-serif"/>
                <w:b w:val="false"/>
                <w:color w:val="51555C"/>
                <w:sz w:val="20"/>
              </w:rPr>
            </w:pPr>
            <w:r>
              <w:rPr>
                <w:rFonts w:ascii="Calibri;sans-serif" w:hAnsi="Calibri;sans-serif"/>
                <w:b w:val="false"/>
                <w:color w:val="51555C"/>
                <w:sz w:val="20"/>
              </w:rPr>
              <w:t>Increase in severance costs of $1.1 million, for the nine months ended September 30, 2023, primarily due to our targeted workforce reductions discussed above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Calibri;sans-serif" w:hAnsi="Calibri;sans-serif"/>
          <w:b w:val="false"/>
          <w:color w:val="51555C"/>
          <w:sz w:val="20"/>
        </w:rPr>
        <w:t xml:space="preserve">Not included in research and development expense for the three months ended September 30, 2023 and 2022 were $15.7 million and $15.1 million, respectively, and for the nine months ended September 30, 2023 and 2022 were $45.4 million and $43.6 million, respectively, of qualifying costs associated with software and content development activities that are required to be capitalized under GAAP, such as those for our cloud solutions, as well as development costs associated with acquired companies. Qualifying capitalized development costs associated with our cloud solutions are subsequently amortized to cost </w:t>
      </w:r>
      <w:r>
        <w:rPr>
          <w:rFonts w:ascii="Calibri;sans-serif" w:hAnsi="Calibri;sans-serif"/>
          <w:b w:val="false"/>
          <w:color w:val="51555C"/>
          <w:sz w:val="20"/>
          <w:shd w:fill="FFFFFF" w:val="clear"/>
        </w:rPr>
        <w:t>of recurring revenue over the related assets' estimated useful life, which generally range from three to seven years.</w:t>
      </w:r>
    </w:p>
    <w:p>
      <w:pPr>
        <w:pStyle w:val="TextBody"/>
        <w:bidi w:val="0"/>
        <w:spacing w:lineRule="auto" w:line="288" w:before="180" w:after="283"/>
        <w:jc w:val="left"/>
        <w:rPr>
          <w:rFonts w:ascii="Calibri;sans-serif" w:hAnsi="Calibri;sans-serif"/>
          <w:b w:val="false"/>
          <w:i/>
          <w:color w:val="51555C"/>
          <w:sz w:val="20"/>
        </w:rPr>
      </w:pPr>
      <w:r>
        <w:rPr>
          <w:rFonts w:ascii="Calibri;sans-serif" w:hAnsi="Calibri;sans-serif"/>
          <w:b w:val="false"/>
          <w:i/>
          <w:color w:val="51555C"/>
          <w:sz w:val="20"/>
        </w:rPr>
        <w:t>General and administrative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costs, acquisition-related expenses and other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91540"/>
                <wp:effectExtent l="0" t="0" r="0" b="0"/>
                <wp:wrapNone/>
                <wp:docPr id="130" name="Frame3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1" descr=""/>
                                                <pic:cNvPicPr>
                                                  <a:picLocks noChangeAspect="1" noChangeArrowheads="1"/>
                                                </pic:cNvPicPr>
                                              </pic:nvPicPr>
                                              <pic:blipFill>
                                                <a:blip r:embed="rId9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1" descr=""/>
                                          <pic:cNvPicPr>
                                            <a:picLocks noChangeAspect="1" noChangeArrowheads="1"/>
                                          </pic:cNvPicPr>
                                        </pic:nvPicPr>
                                        <pic:blipFill>
                                          <a:blip r:embed="rId9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General and administrative expense decreased by $7.3 million or 14.6%, during the three months ended September 30, 2023, when compared to the same period in 2022,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01"/>
        <w:gridCol w:w="2655"/>
        <w:gridCol w:w="37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pPr>
            <w:r>
              <w:rPr>
                <w:rFonts w:ascii="Calibri;sans-serif" w:hAnsi="Calibri;sans-serif"/>
                <w:b w:val="false"/>
                <w:color w:val="51555C"/>
                <w:sz w:val="20"/>
              </w:rPr>
              <w:t xml:space="preserve">Decrease in Security Incident-related expenses of $9.6 million. See "Security Incident update" on page </w:t>
            </w:r>
            <w:hyperlink w:anchor="i9fc2f01d4d454122a00115b63cf3f9d0_121">
              <w:r>
                <w:rPr>
                  <w:rStyle w:val="InternetLink"/>
                  <w:rFonts w:ascii="Calibri;sans-serif" w:hAnsi="Calibri;sans-serif"/>
                  <w:b w:val="false"/>
                  <w:strike w:val="false"/>
                  <w:dstrike w:val="false"/>
                  <w:color w:val="51555C"/>
                  <w:sz w:val="20"/>
                  <w:u w:val="none"/>
                  <w:effect w:val="none"/>
                </w:rPr>
                <w:t>30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compensation costs other than stock-based compensation of $1.4 million primarily due to our targeted workforce reductions discussed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corporate costs of $1.1 million primarily related to the release of certain accrued tax liabilities due to favorable sales tax rulings, partially offset by an increase in bad debt expense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acquisition and disposition-related costs of $4.6 million primarily related to the noncash impairment charges against certain operating lease right-of-use assets and property and equipment assets resulting the sublease of our Washington, DC office location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stock-based compensation costs of $1.8 million primarily due to estimated overall Company performance against 2023 goals, partially offset by the targeted workforce reductions during the fourth quarter of 2022 and first quarter of 2023.</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Calibri;sans-serif" w:hAnsi="Calibri;sans-serif"/>
          <w:b w:val="false"/>
          <w:color w:val="51555C"/>
          <w:sz w:val="20"/>
        </w:rPr>
      </w:pPr>
      <w:r>
        <w:rPr>
          <w:rFonts w:ascii="Calibri;sans-serif" w:hAnsi="Calibri;sans-serif"/>
          <w:b w:val="false"/>
          <w:color w:val="51555C"/>
          <w:sz w:val="20"/>
        </w:rPr>
        <w:t>General and administrative expense increased by $13.6 million or 9.6%, during the nine months ended September 30, 2023, when compared to the same period in 2022,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68"/>
        <w:gridCol w:w="2627"/>
        <w:gridCol w:w="37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pPr>
            <w:r>
              <w:rPr>
                <w:rFonts w:ascii="Calibri;sans-serif" w:hAnsi="Calibri;sans-serif"/>
                <w:b w:val="false"/>
                <w:color w:val="51555C"/>
                <w:sz w:val="20"/>
              </w:rPr>
              <w:t xml:space="preserve">Increase in Security Incident-related expenses of $19.4 million. See "Security Incident update" on page </w:t>
            </w:r>
            <w:hyperlink w:anchor="i9fc2f01d4d454122a00115b63cf3f9d0_121">
              <w:r>
                <w:rPr>
                  <w:rStyle w:val="InternetLink"/>
                  <w:rFonts w:ascii="Calibri;sans-serif" w:hAnsi="Calibri;sans-serif"/>
                  <w:b w:val="false"/>
                  <w:strike w:val="false"/>
                  <w:dstrike w:val="false"/>
                  <w:color w:val="51555C"/>
                  <w:sz w:val="20"/>
                  <w:u w:val="none"/>
                  <w:effect w:val="none"/>
                </w:rPr>
                <w:t>30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stock-based compensation costs of $4.0 million primarily due to estimated overall Company performance against 2023 goals, partially offset by the targeted workforce reductions during the fourth quarter of 2022 and first quarter of 2023. 2022 performance-based equity award adjustments also contributed to the increase in stock-based compensation expense during the nine months ended September 30,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Increase in acquisition and disposition-related costs of $1.1 million primarily related to the noncash impairment discussed above, partially offset by the release of $1.4 million in accrued contingent consideration related to our Kilter acquisition during the nine months ended September 30, 2023 and a $2.0 million noncash impairment of certain insignificant intangible assets that were held for sale during the nine months ended September 30, 2022 which did not reoccur in the comparable 2023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compensation costs other than stock-based compensation of $4.7 million primarily due to our targeted workforce reductions discussed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A $2.3 million noncash impairment charge during the nine months ended September 30, 2022 against previously capitalized software development costs that reduced the carrying value of those assets to zero. The impairment charge resulted primarily from our decision to end customer support for certain solutions and did not reoccur in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 in corporate costs of $1.1 million primarily related to the release of certain accrued tax liabilities due to favorable sales tax rulings, partially offset by an increase in bad debt expense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Calibri;sans-serif" w:hAnsi="Calibri;sans-serif"/>
                <w:b w:val="false"/>
                <w:color w:val="51555C"/>
                <w:sz w:val="20"/>
              </w:rPr>
            </w:pPr>
            <w:r>
              <w:rPr>
                <w:rFonts w:ascii="Calibri;sans-serif" w:hAnsi="Calibri;sans-serif"/>
                <w:b w:val="false"/>
                <w:color w:val="51555C"/>
                <w:sz w:val="20"/>
              </w:rPr>
              <w:t>Decreases in travel costs and third-party contractor costs of $0.8 million and $0.8 million, respectively, primarily due to our focus on cost management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91540"/>
                <wp:effectExtent l="0" t="0" r="0" b="0"/>
                <wp:wrapNone/>
                <wp:docPr id="133" name="Frame3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2" descr=""/>
                                                <pic:cNvPicPr>
                                                  <a:picLocks noChangeAspect="1" noChangeArrowheads="1"/>
                                                </pic:cNvPicPr>
                                              </pic:nvPicPr>
                                              <pic:blipFill>
                                                <a:blip r:embed="rId98"/>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2" descr=""/>
                                          <pic:cNvPicPr>
                                            <a:picLocks noChangeAspect="1" noChangeArrowheads="1"/>
                                          </pic:cNvPicPr>
                                        </pic:nvPicPr>
                                        <pic:blipFill>
                                          <a:blip r:embed="rId99"/>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Interest Expense</w:t>
      </w:r>
    </w:p>
    <w:tbl>
      <w:tblPr>
        <w:tblW w:w="3716" w:type="dxa"/>
        <w:jc w:val="left"/>
        <w:tblInd w:w="0" w:type="dxa"/>
        <w:tblLayout w:type="fixed"/>
        <w:tblCellMar>
          <w:top w:w="28" w:type="dxa"/>
          <w:left w:w="28" w:type="dxa"/>
          <w:bottom w:w="28" w:type="dxa"/>
          <w:right w:w="28" w:type="dxa"/>
        </w:tblCellMar>
      </w:tblPr>
      <w:tblGrid>
        <w:gridCol w:w="443"/>
        <w:gridCol w:w="389"/>
        <w:gridCol w:w="389"/>
        <w:gridCol w:w="389"/>
        <w:gridCol w:w="389"/>
        <w:gridCol w:w="389"/>
        <w:gridCol w:w="389"/>
        <w:gridCol w:w="389"/>
        <w:gridCol w:w="550"/>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716"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i/>
                <w:color w:val="51555C"/>
                <w:sz w:val="20"/>
              </w:rPr>
            </w:pPr>
            <w:r>
              <w:rPr>
                <w:rFonts w:ascii="Calibri;sans-serif" w:hAnsi="Calibri;sans-serif"/>
                <w:b w:val="false"/>
                <w:i/>
                <w:color w:val="51555C"/>
                <w:sz w:val="20"/>
              </w:rPr>
              <w:t>Interest expense ($M)</w:t>
            </w:r>
          </w:p>
        </w:tc>
      </w:tr>
      <w:tr>
        <w:trPr/>
        <w:tc>
          <w:tcPr>
            <w:tcW w:w="3716"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expenses as a percentage of total revenue</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3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3" descr=""/>
                    <pic:cNvPicPr>
                      <a:picLocks noChangeAspect="1" noChangeArrowheads="1"/>
                    </pic:cNvPicPr>
                  </pic:nvPicPr>
                  <pic:blipFill>
                    <a:blip r:embed="rId100"/>
                    <a:stretch>
                      <a:fillRect/>
                    </a:stretch>
                  </pic:blipFill>
                  <pic:spPr bwMode="auto">
                    <a:xfrm>
                      <a:off x="0" y="0"/>
                      <a:ext cx="2152650" cy="1581150"/>
                    </a:xfrm>
                    <a:prstGeom prst="rect">
                      <a:avLst/>
                    </a:prstGeom>
                  </pic:spPr>
                </pic:pic>
              </a:graphicData>
            </a:graphic>
          </wp:inline>
        </w:drawing>
      </w:r>
      <w:r>
        <w:rPr>
          <w:color w:val="51555C"/>
        </w:rPr>
        <w:t>                                          </w:t>
      </w:r>
      <w:r>
        <w:rPr/>
        <w:drawing>
          <wp:inline distT="0" distB="0" distL="0" distR="0">
            <wp:extent cx="2152650" cy="1581150"/>
            <wp:effectExtent l="0" t="0" r="0" b="0"/>
            <wp:docPr id="13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4" descr=""/>
                    <pic:cNvPicPr>
                      <a:picLocks noChangeAspect="1" noChangeArrowheads="1"/>
                    </pic:cNvPicPr>
                  </pic:nvPicPr>
                  <pic:blipFill>
                    <a:blip r:embed="rId101"/>
                    <a:stretch>
                      <a:fillRect/>
                    </a:stretch>
                  </pic:blipFill>
                  <pic:spPr bwMode="auto">
                    <a:xfrm>
                      <a:off x="0" y="0"/>
                      <a:ext cx="2152650" cy="1581150"/>
                    </a:xfrm>
                    <a:prstGeom prst="rect">
                      <a:avLst/>
                    </a:prstGeom>
                  </pic:spPr>
                </pic:pic>
              </a:graphicData>
            </a:graphic>
          </wp:inline>
        </w:drawing>
      </w:r>
      <w:r>
        <w:rPr>
          <w:color w:val="51555C"/>
        </w:rPr>
        <w: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Interest expense in dollars and as a percentage of total revenue during the three months ended September 30, 2023, was relatively in line with the same period in 2022. The increase in interest expense in dollars and as a percentage of total revenue during the nine months ended September 30, 2023, respectively, when compared to the same period in 2022, was primarily due to an increase in our weighted average effective interest rates. We currently expect interest expense for the full year 2023 to be approximately $37 million to $41 million although our interest expense in connection with the variable rate portion of our outstanding debt could increase in a rising interest rate environment. See Note 7 to our unaudited,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Deferred Revenue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table below compares the components of deferred revenue from our unaudited, consolidated balance sheets:</w:t>
      </w:r>
    </w:p>
    <w:tbl>
      <w:tblPr>
        <w:tblW w:w="4997" w:type="dxa"/>
        <w:jc w:val="left"/>
        <w:tblInd w:w="0" w:type="dxa"/>
        <w:tblLayout w:type="fixed"/>
        <w:tblCellMar>
          <w:top w:w="28" w:type="dxa"/>
          <w:left w:w="28" w:type="dxa"/>
          <w:bottom w:w="28" w:type="dxa"/>
          <w:right w:w="28" w:type="dxa"/>
        </w:tblCellMar>
      </w:tblPr>
      <w:tblGrid>
        <w:gridCol w:w="718"/>
        <w:gridCol w:w="629"/>
        <w:gridCol w:w="633"/>
        <w:gridCol w:w="257"/>
        <w:gridCol w:w="750"/>
        <w:gridCol w:w="132"/>
        <w:gridCol w:w="247"/>
        <w:gridCol w:w="721"/>
        <w:gridCol w:w="127"/>
        <w:gridCol w:w="203"/>
        <w:gridCol w:w="203"/>
        <w:gridCol w:w="3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11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0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c>
          <w:tcPr>
            <w:tcW w:w="783"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19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Deferred revenue</w:t>
            </w:r>
            <w:r>
              <w:rPr>
                <w:rFonts w:ascii="Calibri;sans-serif" w:hAnsi="Calibri;sans-serif"/>
                <w:b w:val="false"/>
                <w:color w:val="51555C"/>
                <w:sz w:val="13"/>
              </w:rPr>
              <w:t>(1)</w:t>
            </w:r>
          </w:p>
        </w:tc>
        <w:tc>
          <w:tcPr>
            <w:tcW w:w="25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418.8 </w:t>
            </w:r>
          </w:p>
        </w:tc>
        <w:tc>
          <w:tcPr>
            <w:tcW w:w="13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385.2 </w:t>
            </w:r>
          </w:p>
        </w:tc>
        <w:tc>
          <w:tcPr>
            <w:tcW w:w="12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8.7 </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Less: Long-term portion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7.3 </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198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Current portion</w:t>
            </w:r>
            <w:r>
              <w:rPr>
                <w:rFonts w:ascii="Calibri;sans-serif" w:hAnsi="Calibri;sans-serif"/>
                <w:b w:val="false"/>
                <w:color w:val="51555C"/>
                <w:sz w:val="13"/>
              </w:rPr>
              <w:t>(1)</w:t>
            </w:r>
          </w:p>
        </w:tc>
        <w:tc>
          <w:tcPr>
            <w:tcW w:w="2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5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415.8 </w:t>
            </w:r>
          </w:p>
        </w:tc>
        <w:tc>
          <w:tcPr>
            <w:tcW w:w="13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2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382.4 </w:t>
            </w:r>
          </w:p>
        </w:tc>
        <w:tc>
          <w:tcPr>
            <w:tcW w:w="12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8.7 </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deferred revenue or current portion of deferred revenue due to rounding.</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have been for several years successfully shifting our legacy customer base away from annual renewals and moving them onto multi-year renewal contracts. We generally invoice our customers with recurring revenue contracts in annual cycles 30 days prior to the end of each one-year period.</w:t>
      </w:r>
    </w:p>
    <w:p>
      <w:pPr>
        <w:pStyle w:val="TextBody"/>
        <w:bidi w:val="0"/>
        <w:spacing w:lineRule="auto" w:line="288" w:before="180" w:after="283"/>
        <w:jc w:val="both"/>
        <w:rPr/>
      </w:pPr>
      <w:r>
        <w:rPr>
          <w:rFonts w:ascii="Calibri;sans-serif" w:hAnsi="Calibri;sans-serif"/>
          <w:b w:val="false"/>
          <w:color w:val="51555C"/>
          <w:sz w:val="20"/>
          <w:shd w:fill="FFFFFF" w:val="clear"/>
        </w:rPr>
        <w:t xml:space="preserve">The increase in deferred revenue during the nine months ended September 30, 2023 was primarily due to </w:t>
      </w:r>
      <w:r>
        <w:rPr>
          <w:rFonts w:ascii="Calibri;sans-serif" w:hAnsi="Calibri;sans-serif"/>
          <w:b w:val="false"/>
          <w:color w:val="51555C"/>
          <w:sz w:val="20"/>
        </w:rPr>
        <w:t>a seasonal increase in customer contract billings/renewals, which includes impact from our recent pricing initiatives</w:t>
      </w:r>
      <w:r>
        <w:rPr>
          <w:rFonts w:ascii="Calibri;sans-serif" w:hAnsi="Calibri;sans-serif"/>
          <w:b w:val="false"/>
          <w:color w:val="51555C"/>
          <w:sz w:val="20"/>
          <w:shd w:fill="FFFFFF" w:val="clear"/>
        </w:rPr>
        <w:t xml:space="preserve">. Historically, due to the timing of customer budget cycles, we have an increase in customer contract renewals at or near the beginning of our third quarter. Generally, our lowest balance of deferred revenue during the year is at the end of our first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91540"/>
                <wp:effectExtent l="0" t="0" r="0" b="0"/>
                <wp:wrapNone/>
                <wp:docPr id="138" name="Frame3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65" descr=""/>
                                                <pic:cNvPicPr>
                                                  <a:picLocks noChangeAspect="1" noChangeArrowheads="1"/>
                                                </pic:cNvPicPr>
                                              </pic:nvPicPr>
                                              <pic:blipFill>
                                                <a:blip r:embed="rId102"/>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5" descr=""/>
                                          <pic:cNvPicPr>
                                            <a:picLocks noChangeAspect="1" noChangeArrowheads="1"/>
                                          </pic:cNvPicPr>
                                        </pic:nvPicPr>
                                        <pic:blipFill>
                                          <a:blip r:embed="rId10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300" w:after="300"/>
        <w:jc w:val="left"/>
        <w:rPr>
          <w:rFonts w:ascii="Calibri;sans-serif" w:hAnsi="Calibri;sans-serif"/>
          <w:b/>
          <w:color w:val="51555C"/>
          <w:sz w:val="20"/>
        </w:rPr>
      </w:pPr>
      <w:r>
        <w:rPr>
          <w:rFonts w:ascii="Calibri;sans-serif" w:hAnsi="Calibri;sans-serif"/>
          <w:b/>
          <w:color w:val="51555C"/>
          <w:sz w:val="20"/>
        </w:rPr>
        <w:t>Income Taxes</w:t>
      </w:r>
    </w:p>
    <w:tbl>
      <w:tblPr>
        <w:tblW w:w="2969" w:type="dxa"/>
        <w:jc w:val="left"/>
        <w:tblInd w:w="0" w:type="dxa"/>
        <w:tblLayout w:type="fixed"/>
        <w:tblCellMar>
          <w:top w:w="28" w:type="dxa"/>
          <w:left w:w="28" w:type="dxa"/>
          <w:bottom w:w="28" w:type="dxa"/>
          <w:right w:w="28" w:type="dxa"/>
        </w:tblCellMar>
      </w:tblPr>
      <w:tblGrid>
        <w:gridCol w:w="353"/>
        <w:gridCol w:w="311"/>
        <w:gridCol w:w="311"/>
        <w:gridCol w:w="311"/>
        <w:gridCol w:w="311"/>
        <w:gridCol w:w="311"/>
        <w:gridCol w:w="311"/>
        <w:gridCol w:w="311"/>
        <w:gridCol w:w="439"/>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969"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Calibri;sans-serif" w:hAnsi="Calibri;sans-serif"/>
                <w:b w:val="false"/>
                <w:i/>
                <w:color w:val="51555C"/>
                <w:sz w:val="20"/>
              </w:rPr>
            </w:pPr>
            <w:r>
              <w:rPr>
                <w:rFonts w:ascii="Calibri;sans-serif" w:hAnsi="Calibri;sans-serif"/>
                <w:b w:val="false"/>
                <w:i/>
                <w:color w:val="51555C"/>
                <w:sz w:val="20"/>
              </w:rPr>
              <w:t>Income tax provision (benefit) ($M)</w:t>
            </w:r>
          </w:p>
        </w:tc>
      </w:tr>
      <w:tr>
        <w:trPr/>
        <w:tc>
          <w:tcPr>
            <w:tcW w:w="2969"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i/>
                <w:color w:val="51555C"/>
                <w:sz w:val="14"/>
              </w:rPr>
            </w:pPr>
            <w:r>
              <w:rPr>
                <w:rFonts w:ascii="Calibri;sans-serif" w:hAnsi="Calibri;sans-serif"/>
                <w:b w:val="false"/>
                <w:i/>
                <w:color w:val="51555C"/>
                <w:sz w:val="14"/>
              </w:rPr>
              <w:t>Percentages indicate effective income tax rates</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4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6" descr=""/>
                    <pic:cNvPicPr>
                      <a:picLocks noChangeAspect="1" noChangeArrowheads="1"/>
                    </pic:cNvPicPr>
                  </pic:nvPicPr>
                  <pic:blipFill>
                    <a:blip r:embed="rId104"/>
                    <a:stretch>
                      <a:fillRect/>
                    </a:stretch>
                  </pic:blipFill>
                  <pic:spPr bwMode="auto">
                    <a:xfrm>
                      <a:off x="0" y="0"/>
                      <a:ext cx="2152650" cy="1581150"/>
                    </a:xfrm>
                    <a:prstGeom prst="rect">
                      <a:avLst/>
                    </a:prstGeom>
                  </pic:spPr>
                </pic:pic>
              </a:graphicData>
            </a:graphic>
          </wp:inline>
        </w:drawing>
      </w:r>
      <w:r>
        <w:rPr>
          <w:color w:val="51555C"/>
        </w:rPr>
        <w:t>                                          </w:t>
      </w:r>
      <w:r>
        <w:rPr/>
        <w:drawing>
          <wp:inline distT="0" distB="0" distL="0" distR="0">
            <wp:extent cx="2152650" cy="1581150"/>
            <wp:effectExtent l="0" t="0" r="0" b="0"/>
            <wp:docPr id="14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7" descr=""/>
                    <pic:cNvPicPr>
                      <a:picLocks noChangeAspect="1" noChangeArrowheads="1"/>
                    </pic:cNvPicPr>
                  </pic:nvPicPr>
                  <pic:blipFill>
                    <a:blip r:embed="rId105"/>
                    <a:stretch>
                      <a:fillRect/>
                    </a:stretch>
                  </pic:blipFill>
                  <pic:spPr bwMode="auto">
                    <a:xfrm>
                      <a:off x="0" y="0"/>
                      <a:ext cx="2152650" cy="1581150"/>
                    </a:xfrm>
                    <a:prstGeom prst="rect">
                      <a:avLst/>
                    </a:prstGeom>
                  </pic:spPr>
                </pic:pic>
              </a:graphicData>
            </a:graphic>
          </wp:inline>
        </w:drawing>
      </w:r>
      <w:r>
        <w:rPr>
          <w:color w:val="51555C"/>
        </w:rPr>
        <w: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 increases in our effective income tax rate for the three and nine months ended September 30, 2023, when compared to the same periods in 2022 were primarily attributable to unfavorable impact of non-deductible Security Incident accruals. See Note 8 to our unaudited, condensed consolidated financial statements in this report for additional information about our loss contingency accruals related to the Security Incident.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Non-GAAP Financial Measures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91540"/>
                <wp:effectExtent l="0" t="0" r="0" b="0"/>
                <wp:wrapNone/>
                <wp:docPr id="143" name="Frame3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8" descr=""/>
                                                <pic:cNvPicPr>
                                                  <a:picLocks noChangeAspect="1" noChangeArrowheads="1"/>
                                                </pic:cNvPicPr>
                                              </pic:nvPicPr>
                                              <pic:blipFill>
                                                <a:blip r:embed="rId106"/>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8" descr=""/>
                                          <pic:cNvPicPr>
                                            <a:picLocks noChangeAspect="1" noChangeArrowheads="1"/>
                                          </pic:cNvPicPr>
                                        </pic:nvPicPr>
                                        <pic:blipFill>
                                          <a:blip r:embed="rId107"/>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9928" w:type="dxa"/>
        <w:jc w:val="left"/>
        <w:tblInd w:w="0" w:type="dxa"/>
        <w:tblLayout w:type="fixed"/>
        <w:tblCellMar>
          <w:top w:w="28" w:type="dxa"/>
          <w:left w:w="28" w:type="dxa"/>
          <w:bottom w:w="28" w:type="dxa"/>
          <w:right w:w="28" w:type="dxa"/>
        </w:tblCellMar>
      </w:tblPr>
      <w:tblGrid>
        <w:gridCol w:w="1684"/>
        <w:gridCol w:w="1477"/>
        <w:gridCol w:w="1489"/>
        <w:gridCol w:w="251"/>
        <w:gridCol w:w="695"/>
        <w:gridCol w:w="226"/>
        <w:gridCol w:w="251"/>
        <w:gridCol w:w="695"/>
        <w:gridCol w:w="226"/>
        <w:gridCol w:w="109"/>
        <w:gridCol w:w="109"/>
        <w:gridCol w:w="109"/>
        <w:gridCol w:w="109"/>
        <w:gridCol w:w="251"/>
        <w:gridCol w:w="695"/>
        <w:gridCol w:w="226"/>
        <w:gridCol w:w="251"/>
        <w:gridCol w:w="695"/>
        <w:gridCol w:w="22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 except per share amounts)</w:t>
            </w:r>
          </w:p>
        </w:tc>
        <w:tc>
          <w:tcPr>
            <w:tcW w:w="117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7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17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Revenue</w:t>
            </w:r>
          </w:p>
        </w:tc>
        <w:tc>
          <w:tcPr>
            <w:tcW w:w="2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277.6 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261.3 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810.4 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783.3 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gross profit</w:t>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155.9 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140.4 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444.1 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413.4 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gross margin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56.1 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53.7 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54.8 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52.8 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11.9 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39.4 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36.8 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(1)</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17.3 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15.3 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52.4 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48.5 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gross profit</w:t>
            </w:r>
            <w:r>
              <w:rPr>
                <w:rFonts w:ascii="Calibri;sans-serif" w:hAnsi="Calibri;sans-serif"/>
                <w:b/>
                <w:color w:val="51555C"/>
                <w:sz w:val="10"/>
              </w:rPr>
              <w:t>(1)</w:t>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173.1 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155.7 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496.5 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461.9 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gross margin</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62.4 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59.6 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61.3 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59.0 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income (loss) from operations</w:t>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22.0 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(7.0)</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12.4 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(12.9)</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operating margin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7.9 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13.9 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12.6 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41.7 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39.1 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Add: Acquisition and disposition-related costs</w:t>
            </w:r>
            <w:r>
              <w:rPr>
                <w:rFonts w:ascii="Calibri;sans-serif" w:hAnsi="Calibri;sans-serif"/>
                <w:b w:val="false"/>
                <w:color w:val="51555C"/>
                <w:sz w:val="10"/>
              </w:rPr>
              <w:t>(2)(3)</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7.0 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6.8 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5.7 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Restructuring and other real estate activities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Add: Security Incident-related costs, net of insurance</w:t>
            </w:r>
            <w:r>
              <w:rPr>
                <w:rFonts w:ascii="Calibri;sans-serif" w:hAnsi="Calibri;sans-serif"/>
                <w:b w:val="false"/>
                <w:color w:val="51555C"/>
                <w:sz w:val="10"/>
              </w:rPr>
              <w:t>(4)</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13.7 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48.6 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29.2 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Impairment of capitalized software development costs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(1)</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57.5 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56.9 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197.9 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160.7 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income from operations</w:t>
            </w:r>
            <w:r>
              <w:rPr>
                <w:rFonts w:ascii="Calibri;sans-serif" w:hAnsi="Calibri;sans-serif"/>
                <w:b/>
                <w:color w:val="51555C"/>
                <w:sz w:val="10"/>
              </w:rPr>
              <w:t>(1)</w:t>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79.6 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49.8 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210.3 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147.7 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operating margin</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28.7 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19.1 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26.0 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9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18.9 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income (loss) before provision (benefit) for income taxes</w:t>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(11.9)</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(8.6)</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(30.1)</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net income (loss)</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Shares used in computing GAAP diluted earnings (loss) per share</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54,089,897 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51,692,152 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52,495,556 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51,519,340 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diluted earnings (loss) per share</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adjustments:</w:t>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GAAP income tax provision (benefit)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Total non-GAAP adjustments affecting income from operations</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57.5 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56.9 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197.9 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160.7 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income before provision for income taxes</w:t>
            </w:r>
          </w:p>
        </w:tc>
        <w:tc>
          <w:tcPr>
            <w:tcW w:w="9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75.6 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45.0 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189.3 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130.5 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Assumed non-GAAP income tax provision</w:t>
            </w:r>
            <w:r>
              <w:rPr>
                <w:rFonts w:ascii="Calibri;sans-serif" w:hAnsi="Calibri;sans-serif"/>
                <w:b w:val="false"/>
                <w:color w:val="51555C"/>
                <w:sz w:val="10"/>
              </w:rPr>
              <w:t>(5)</w:t>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9.0 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37.9 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net income</w:t>
            </w:r>
            <w:r>
              <w:rPr>
                <w:rFonts w:ascii="Calibri;sans-serif" w:hAnsi="Calibri;sans-serif"/>
                <w:b/>
                <w:color w:val="51555C"/>
                <w:sz w:val="10"/>
              </w:rPr>
              <w:t>(1)</w:t>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60.5 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36.0 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151.5 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104.4 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Shares used in computing non-GAAP diluted earnings per share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54,089,897 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52,362,781 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53,469,768 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51,985,207 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diluted earnings per share</w:t>
            </w:r>
          </w:p>
        </w:tc>
        <w:tc>
          <w:tcPr>
            <w:tcW w:w="25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1.12 </w:t>
            </w:r>
          </w:p>
        </w:tc>
        <w:tc>
          <w:tcPr>
            <w:tcW w:w="2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0.69 </w:t>
            </w:r>
          </w:p>
        </w:tc>
        <w:tc>
          <w:tcPr>
            <w:tcW w:w="2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2.83 </w:t>
            </w:r>
          </w:p>
        </w:tc>
        <w:tc>
          <w:tcPr>
            <w:tcW w:w="2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69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2.01 </w:t>
            </w:r>
          </w:p>
        </w:tc>
        <w:tc>
          <w:tcPr>
            <w:tcW w:w="2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subtotal, non-GAAP gross profit, non-GAAP income from operations, non-GAAP income before provision for income taxes or non-GAAP net income due to rounding.</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(2)Includes a $2.0 million noncash impairment of certain intangible assets held for sale during the nine months ended September 30, 2022.</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(3)Includes noncash impairment charges incurred during the three and nine months ended September 30, 2023 related to the sublease of our Washington, DC office location the lease of which was acquired during the EVERFI acquisition.</w:t>
      </w:r>
    </w:p>
    <w:p>
      <w:pPr>
        <w:pStyle w:val="TextBody"/>
        <w:bidi w:val="0"/>
        <w:spacing w:lineRule="auto" w:line="288" w:before="0" w:after="0"/>
        <w:ind w:left="0" w:right="0" w:hanging="360"/>
        <w:jc w:val="both"/>
        <w:rPr/>
      </w:pPr>
      <w:r>
        <w:rPr>
          <w:rFonts w:ascii="Calibri;sans-serif" w:hAnsi="Calibri;sans-serif"/>
          <w:b w:val="false"/>
          <w:color w:val="51555C"/>
          <w:sz w:val="16"/>
          <w:shd w:fill="FFFFFF" w:val="clear"/>
        </w:rPr>
        <w:t>(4)</w:t>
      </w:r>
      <w:r>
        <w:rPr>
          <w:rFonts w:ascii="Calibri;sans-serif" w:hAnsi="Calibri;sans-serif"/>
          <w:b w:val="false"/>
          <w:color w:val="51555C"/>
          <w:sz w:val="16"/>
        </w:rPr>
        <w:t xml:space="preserve">Includes Security Incident-related costs incurred during the three and nine months ended September 30, 2023 of $4.1 million and $48.6 million, respectively, which includes approximately $0.0 million and $30.0 million, respectively, in recorded liabilities for loss contingencies, net of insurance recoveries during the same periods of $0.0 million, and during the three and nine months ended September 30, 2022 of $13.7 million and $31.1 million, respectively, net of insurance recoveries during the same periods that were $0.0 million and $1.9 million, respectively. Recorded expenses consisted primarily of payments to third-party service providers and consultants, including legal fees, as well as settlements of customer claims, negotiated settlements and accruals for certain loss contingencies. Not included in this adjustment were costs associated with enhancements to our cybersecurity program. For full year 2023, we currently expect net pre-tax expense of approximately $20 million to $30 million and net cash outlays of approximately $25 million to $35 million for ongoing legal fees related to the Security Incident. Not included in these ranges are our previous settlements or current accruals for loss contingencies related to the matters discussed below. For full year 2024, we currently expect a significant decrease in net pre-tax expense related to the Security Incident for ongoing legal fees. In line with our policy, legal fees are expensed as incurred. As of September 30, 2023, we have recorded approximately $50.0 million in aggregate liabilities for loss contingencies based primarily on recent negotiations with certain governmental agencies related to the Security Incident that we believe we can reasonably estimate. In connection with the settlement of the multi-state Attorneys General investigation (as discussed in Note 8 and Note 12), we expect to pay $49.5 million during the fourth quarter of 2023. There are other Security Incident-related matters, including customer claims, customer constituent class actions and governmental investigations, for which we have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91540"/>
                <wp:effectExtent l="0" t="0" r="0" b="0"/>
                <wp:wrapNone/>
                <wp:docPr id="146" name="Frame4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9" descr=""/>
                                                <pic:cNvPicPr>
                                                  <a:picLocks noChangeAspect="1" noChangeArrowheads="1"/>
                                                </pic:cNvPicPr>
                                              </pic:nvPicPr>
                                              <pic:blipFill>
                                                <a:blip r:embed="rId10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9" descr=""/>
                                          <pic:cNvPicPr>
                                            <a:picLocks noChangeAspect="1" noChangeArrowheads="1"/>
                                          </pic:cNvPicPr>
                                        </pic:nvPicPr>
                                        <pic:blipFill>
                                          <a:blip r:embed="rId10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0" w:after="0"/>
        <w:jc w:val="both"/>
        <w:rPr>
          <w:rFonts w:ascii="Calibri;sans-serif" w:hAnsi="Calibri;sans-serif"/>
          <w:b w:val="false"/>
          <w:color w:val="51555C"/>
          <w:sz w:val="16"/>
        </w:rPr>
      </w:pPr>
      <w:r>
        <w:rPr>
          <w:rFonts w:ascii="Calibri;sans-serif" w:hAnsi="Calibri;sans-serif"/>
          <w:b w:val="false"/>
          <w:color w:val="51555C"/>
          <w:sz w:val="16"/>
        </w:rPr>
        <w:t>recorded a liability for a loss contingency as of September 30, 2023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(5)We apply a non-GAAP effective tax rate of 20.0% when calculating non-GAAP net income and non-GAAP diluted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Non-GAAP organic revenue growth</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 </w:t>
      </w:r>
    </w:p>
    <w:tbl>
      <w:tblPr>
        <w:tblW w:w="9044" w:type="dxa"/>
        <w:jc w:val="left"/>
        <w:tblInd w:w="0" w:type="dxa"/>
        <w:tblLayout w:type="fixed"/>
        <w:tblCellMar>
          <w:top w:w="28" w:type="dxa"/>
          <w:left w:w="28" w:type="dxa"/>
          <w:bottom w:w="28" w:type="dxa"/>
          <w:right w:w="28" w:type="dxa"/>
        </w:tblCellMar>
      </w:tblPr>
      <w:tblGrid>
        <w:gridCol w:w="1832"/>
        <w:gridCol w:w="1607"/>
        <w:gridCol w:w="1615"/>
        <w:gridCol w:w="196"/>
        <w:gridCol w:w="541"/>
        <w:gridCol w:w="226"/>
        <w:gridCol w:w="196"/>
        <w:gridCol w:w="541"/>
        <w:gridCol w:w="109"/>
        <w:gridCol w:w="109"/>
        <w:gridCol w:w="109"/>
        <w:gridCol w:w="109"/>
        <w:gridCol w:w="196"/>
        <w:gridCol w:w="541"/>
        <w:gridCol w:w="226"/>
        <w:gridCol w:w="196"/>
        <w:gridCol w:w="541"/>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1809"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r>
      <w:tr>
        <w:trPr/>
        <w:tc>
          <w:tcPr>
            <w:tcW w:w="5054"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96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8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89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r>
      <w:tr>
        <w:trPr/>
        <w:tc>
          <w:tcPr>
            <w:tcW w:w="50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revenue</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277.6 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261.3 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810.4 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783.3 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revenue growth</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6.2</w:t>
            </w: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3.5</w:t>
            </w: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Less: Non-GAAP revenue from divested businesses</w:t>
            </w:r>
            <w:r>
              <w:rPr>
                <w:rFonts w:ascii="Calibri;sans-serif" w:hAnsi="Calibri;sans-serif"/>
                <w:b w:val="false"/>
                <w:color w:val="51555C"/>
                <w:sz w:val="10"/>
              </w:rPr>
              <w:t>(1)</w:t>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(0.9)</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(3.5)</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revenue</w:t>
            </w:r>
            <w:r>
              <w:rPr>
                <w:rFonts w:ascii="Calibri;sans-serif" w:hAnsi="Calibri;sans-serif"/>
                <w:b w:val="false"/>
                <w:color w:val="51555C"/>
                <w:sz w:val="10"/>
              </w:rPr>
              <w:t>(2)</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277.6 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260.4 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810.4 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779.8 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revenue growth</w:t>
            </w:r>
          </w:p>
        </w:tc>
        <w:tc>
          <w:tcPr>
            <w:tcW w:w="73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6.6</w:t>
            </w:r>
            <w:r>
              <w:rPr>
                <w:color w:val="51555C"/>
              </w:rPr>
              <w:t>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3.9</w:t>
            </w:r>
            <w:r>
              <w:rPr>
                <w:color w:val="51555C"/>
              </w:rPr>
              <w:t>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revenue</w:t>
            </w:r>
            <w:r>
              <w:rPr>
                <w:rFonts w:ascii="Calibri;sans-serif" w:hAnsi="Calibri;sans-serif"/>
                <w:b w:val="false"/>
                <w:color w:val="51555C"/>
                <w:sz w:val="10"/>
              </w:rPr>
              <w:t>(2)</w:t>
            </w:r>
          </w:p>
        </w:tc>
        <w:tc>
          <w:tcPr>
            <w:tcW w:w="19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277.6 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260.4 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810.4 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779.8 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Foreign currency impact on Non-GAAP organic revenue</w:t>
            </w:r>
            <w:r>
              <w:rPr>
                <w:rFonts w:ascii="Calibri;sans-serif" w:hAnsi="Calibri;sans-serif"/>
                <w:b w:val="false"/>
                <w:color w:val="51555C"/>
                <w:sz w:val="10"/>
              </w:rPr>
              <w:t>(3)</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revenue on constant currency basis</w:t>
            </w:r>
            <w:r>
              <w:rPr>
                <w:rFonts w:ascii="Calibri;sans-serif" w:hAnsi="Calibri;sans-serif"/>
                <w:b w:val="false"/>
                <w:color w:val="51555C"/>
                <w:sz w:val="10"/>
              </w:rPr>
              <w:t>(3)</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275.7 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260.4 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812.1 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779.8 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revenue growth on constant currency basis</w:t>
            </w:r>
          </w:p>
        </w:tc>
        <w:tc>
          <w:tcPr>
            <w:tcW w:w="7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5.9</w:t>
            </w:r>
            <w:r>
              <w:rPr>
                <w:color w:val="51555C"/>
              </w:rPr>
              <w:t>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4.1</w:t>
            </w:r>
            <w:r>
              <w:rPr>
                <w:color w:val="51555C"/>
              </w:rPr>
              <w:t>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recurring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784.1 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recurring revenue growth</w:t>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7.9</w:t>
            </w:r>
            <w:r>
              <w:rPr>
                <w:color w:val="51555C"/>
              </w:rPr>
              <w:t> </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5.0</w:t>
            </w:r>
            <w:r>
              <w:rPr>
                <w:color w:val="51555C"/>
              </w:rPr>
              <w:t> </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Less: Non-GAAP recurring revenue from divested businesses</w:t>
            </w:r>
            <w:r>
              <w:rPr>
                <w:rFonts w:ascii="Calibri;sans-serif" w:hAnsi="Calibri;sans-serif"/>
                <w:b w:val="false"/>
                <w:color w:val="51555C"/>
                <w:sz w:val="10"/>
              </w:rPr>
              <w:t>(1)</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recurring revenue</w:t>
            </w:r>
            <w:r>
              <w:rPr>
                <w:rFonts w:ascii="Calibri;sans-serif" w:hAnsi="Calibri;sans-serif"/>
                <w:b w:val="false"/>
                <w:color w:val="51555C"/>
                <w:sz w:val="10"/>
              </w:rPr>
              <w:t>(2)</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269.0 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248.5 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784.1 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743.1 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recurring revenue growth</w:t>
            </w:r>
          </w:p>
        </w:tc>
        <w:tc>
          <w:tcPr>
            <w:tcW w:w="7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8.3</w:t>
            </w:r>
            <w:r>
              <w:rPr>
                <w:color w:val="51555C"/>
              </w:rPr>
              <w:t>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5.5</w:t>
            </w:r>
            <w:r>
              <w:rPr>
                <w:color w:val="51555C"/>
              </w:rPr>
              <w:t>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recurring revenue</w:t>
            </w:r>
            <w:r>
              <w:rPr>
                <w:rFonts w:ascii="Calibri;sans-serif" w:hAnsi="Calibri;sans-serif"/>
                <w:b w:val="false"/>
                <w:color w:val="51555C"/>
                <w:sz w:val="10"/>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784.1 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Foreign currency impact on non-GAAP organic recurring revenue</w:t>
            </w:r>
            <w:r>
              <w:rPr>
                <w:rFonts w:ascii="Calibri;sans-serif" w:hAnsi="Calibri;sans-serif"/>
                <w:b w:val="false"/>
                <w:color w:val="51555C"/>
                <w:sz w:val="10"/>
              </w:rPr>
              <w:t>(3)</w:t>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1.6 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organic recurring revenue on constant currency basis</w:t>
            </w:r>
            <w:r>
              <w:rPr>
                <w:rFonts w:ascii="Calibri;sans-serif" w:hAnsi="Calibri;sans-serif"/>
                <w:b w:val="false"/>
                <w:color w:val="51555C"/>
                <w:sz w:val="10"/>
              </w:rPr>
              <w:t>(3)</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267.3 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248.5 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785.8 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743.1 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organic recurring revenue growth on constant currency basis</w:t>
            </w:r>
          </w:p>
        </w:tc>
        <w:tc>
          <w:tcPr>
            <w:tcW w:w="73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7.5</w:t>
            </w:r>
            <w:r>
              <w:rPr>
                <w:color w:val="51555C"/>
              </w:rPr>
              <w:t> </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5.7</w:t>
            </w:r>
            <w:r>
              <w:rPr>
                <w:color w:val="51555C"/>
              </w:rPr>
              <w:t> </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91"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91540"/>
                <wp:effectExtent l="0" t="0" r="0" b="0"/>
                <wp:wrapNone/>
                <wp:docPr id="149" name="Frame4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0" descr=""/>
                                                <pic:cNvPicPr>
                                                  <a:picLocks noChangeAspect="1" noChangeArrowheads="1"/>
                                                </pic:cNvPicPr>
                                              </pic:nvPicPr>
                                              <pic:blipFill>
                                                <a:blip r:embed="rId110"/>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0" descr=""/>
                                          <pic:cNvPicPr>
                                            <a:picLocks noChangeAspect="1" noChangeArrowheads="1"/>
                                          </pic:cNvPicPr>
                                        </pic:nvPicPr>
                                        <pic:blipFill>
                                          <a:blip r:embed="rId111"/>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Rule of 40</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previously defined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and content development costs; stock-based compensation; employee severance; acquisition and disposition-related costs; restructuring and other real estate activities; Security Incident-related costs, net of insurance; and impairment of capitalized software development costs. Beginning in the fiscal quarter ended June 30, 2022, we now also include in non-GAAP adjusted EBITDA impairment of capitalized software development costs because we believe it is not directly related to our operating performance in any particular period.</w:t>
      </w:r>
    </w:p>
    <w:tbl>
      <w:tblPr>
        <w:tblW w:w="8482" w:type="dxa"/>
        <w:jc w:val="left"/>
        <w:tblInd w:w="0" w:type="dxa"/>
        <w:tblLayout w:type="fixed"/>
        <w:tblCellMar>
          <w:top w:w="28" w:type="dxa"/>
          <w:left w:w="28" w:type="dxa"/>
          <w:bottom w:w="28" w:type="dxa"/>
          <w:right w:w="28" w:type="dxa"/>
        </w:tblCellMar>
      </w:tblPr>
      <w:tblGrid>
        <w:gridCol w:w="1593"/>
        <w:gridCol w:w="1397"/>
        <w:gridCol w:w="1404"/>
        <w:gridCol w:w="196"/>
        <w:gridCol w:w="451"/>
        <w:gridCol w:w="226"/>
        <w:gridCol w:w="196"/>
        <w:gridCol w:w="511"/>
        <w:gridCol w:w="109"/>
        <w:gridCol w:w="109"/>
        <w:gridCol w:w="109"/>
        <w:gridCol w:w="109"/>
        <w:gridCol w:w="109"/>
        <w:gridCol w:w="196"/>
        <w:gridCol w:w="541"/>
        <w:gridCol w:w="226"/>
        <w:gridCol w:w="196"/>
        <w:gridCol w:w="541"/>
        <w:gridCol w:w="109"/>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Three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87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81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84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GAAP net income (loss)</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9.0 </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(10.3)</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(3.6)</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(24.1)</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adjustments:</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Interest, net</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6.6 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24.9 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GAAP income tax provision (benefit)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Depreciation</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9.9 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Amortization of intangibles from business combinations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Add: Amortization of software and content development costs</w:t>
            </w:r>
            <w:r>
              <w:rPr>
                <w:rFonts w:ascii="Calibri;sans-serif" w:hAnsi="Calibri;sans-serif"/>
                <w:b w:val="false"/>
                <w:color w:val="51555C"/>
                <w:sz w:val="10"/>
              </w:rPr>
              <w:t>(1)</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11.6 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28.5 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(2)</w:t>
            </w:r>
          </w:p>
        </w:tc>
        <w:tc>
          <w:tcPr>
            <w:tcW w:w="64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44.5 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33.0 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104.6 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97.3 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EBITDA</w:t>
            </w:r>
            <w:r>
              <w:rPr>
                <w:rFonts w:ascii="Calibri;sans-serif" w:hAnsi="Calibri;sans-serif"/>
                <w:b w:val="false"/>
                <w:color w:val="51555C"/>
                <w:sz w:val="10"/>
              </w:rPr>
              <w:t>(2)</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53.5 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22.6 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101.0 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73.1 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EBITDA margin</w:t>
            </w:r>
            <w:r>
              <w:rPr>
                <w:rFonts w:ascii="Calibri;sans-serif" w:hAnsi="Calibri;sans-serif"/>
                <w:b w:val="false"/>
                <w:color w:val="51555C"/>
                <w:sz w:val="10"/>
              </w:rPr>
              <w:t>(3)</w:t>
            </w:r>
          </w:p>
        </w:tc>
        <w:tc>
          <w:tcPr>
            <w:tcW w:w="64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19.3 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81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12.5 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w:t>
            </w:r>
          </w:p>
        </w:tc>
        <w:tc>
          <w:tcPr>
            <w:tcW w:w="84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adjustments:</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Stock-based compensation expense</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32.4 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27.9 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95.7 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83.7 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Employee severance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Add: Acquisition and disposition-related costs</w:t>
            </w:r>
            <w:r>
              <w:rPr>
                <w:rFonts w:ascii="Calibri;sans-serif" w:hAnsi="Calibri;sans-serif"/>
                <w:b w:val="false"/>
                <w:color w:val="51555C"/>
                <w:sz w:val="10"/>
              </w:rPr>
              <w:t>(4)</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7.0 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6.8 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Restructuring and other real estate activities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Add: Security Incident-related costs, net of insurance</w:t>
            </w:r>
            <w:r>
              <w:rPr>
                <w:rFonts w:ascii="Calibri;sans-serif" w:hAnsi="Calibri;sans-serif"/>
                <w:b w:val="false"/>
                <w:color w:val="51555C"/>
                <w:sz w:val="10"/>
              </w:rPr>
              <w:t>(4)</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48.6 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29.2 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Add: Impairment of capitalized software development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Subtotal</w:t>
            </w:r>
            <w:r>
              <w:rPr>
                <w:rFonts w:ascii="Calibri;sans-serif" w:hAnsi="Calibri;sans-serif"/>
                <w:b w:val="false"/>
                <w:color w:val="51555C"/>
                <w:sz w:val="10"/>
              </w:rPr>
              <w:t>(2)</w:t>
            </w:r>
          </w:p>
        </w:tc>
        <w:tc>
          <w:tcPr>
            <w:tcW w:w="64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43.6 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44.3 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156.2 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121.6 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Adjusted EBITDA</w:t>
            </w:r>
            <w:r>
              <w:rPr>
                <w:rFonts w:ascii="Calibri;sans-serif" w:hAnsi="Calibri;sans-serif"/>
                <w:b w:val="false"/>
                <w:color w:val="51555C"/>
                <w:sz w:val="10"/>
              </w:rPr>
              <w:t>(2)</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97.1 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66.9 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257.2 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194.7 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Adjusted EBITDA margin</w:t>
            </w:r>
            <w:r>
              <w:rPr>
                <w:rFonts w:ascii="Calibri;sans-serif" w:hAnsi="Calibri;sans-serif"/>
                <w:b/>
                <w:color w:val="51555C"/>
                <w:sz w:val="10"/>
              </w:rPr>
              <w:t>(5)</w:t>
            </w:r>
          </w:p>
        </w:tc>
        <w:tc>
          <w:tcPr>
            <w:tcW w:w="64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35.0</w:t>
            </w:r>
            <w:r>
              <w:rPr>
                <w:color w:val="51555C"/>
              </w:rPr>
              <w:t>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1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31.7</w:t>
            </w:r>
            <w:r>
              <w:rPr>
                <w:color w:val="51555C"/>
              </w:rPr>
              <w:t>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Rule of 40</w:t>
            </w:r>
            <w:r>
              <w:rPr>
                <w:rFonts w:ascii="Calibri;sans-serif" w:hAnsi="Calibri;sans-serif"/>
                <w:b/>
                <w:color w:val="51555C"/>
                <w:sz w:val="10"/>
              </w:rPr>
              <w:t>(6)</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41.6</w:t>
            </w:r>
            <w:r>
              <w:rPr>
                <w:color w:val="51555C"/>
              </w:rPr>
              <w:t> </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1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35.6</w:t>
            </w:r>
            <w:r>
              <w:rPr>
                <w:color w:val="51555C"/>
              </w:rPr>
              <w:t> </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Non-GAAP adjusted EBITDA</w:t>
            </w:r>
          </w:p>
        </w:tc>
        <w:tc>
          <w:tcPr>
            <w:tcW w:w="64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97.1 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66.9 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257.2 </w:t>
            </w:r>
          </w:p>
        </w:tc>
        <w:tc>
          <w:tcPr>
            <w:tcW w:w="22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194.7 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Foreign currency impact on Non-GAAP adjusted EBITDA</w:t>
            </w:r>
            <w:r>
              <w:rPr>
                <w:rFonts w:ascii="Calibri;sans-serif" w:hAnsi="Calibri;sans-serif"/>
                <w:b w:val="false"/>
                <w:color w:val="51555C"/>
                <w:sz w:val="10"/>
              </w:rPr>
              <w:t>(7)</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51555C"/>
                <w:sz w:val="16"/>
              </w:rPr>
              <w:t>Non-GAAP adjusted EBITDA on constant currency basis</w:t>
            </w:r>
            <w:r>
              <w:rPr>
                <w:rFonts w:ascii="Calibri;sans-serif" w:hAnsi="Calibri;sans-serif"/>
                <w:b w:val="false"/>
                <w:color w:val="51555C"/>
                <w:sz w:val="10"/>
              </w:rPr>
              <w:t>(7)</w:t>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45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95.9 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69.8 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257.9 </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199.7 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Non-GAAP adjusted EBITDA margin on constant currency basis</w:t>
            </w:r>
          </w:p>
        </w:tc>
        <w:tc>
          <w:tcPr>
            <w:tcW w:w="64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34.8</w:t>
            </w:r>
            <w:r>
              <w:rPr>
                <w:color w:val="51555C"/>
              </w:rPr>
              <w:t>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1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31.8</w:t>
            </w:r>
            <w:r>
              <w:rPr>
                <w:color w:val="51555C"/>
              </w:rPr>
              <w:t> </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Rule of 40 on constant currency basis</w:t>
            </w:r>
            <w:r>
              <w:rPr>
                <w:rFonts w:ascii="Calibri;sans-serif" w:hAnsi="Calibri;sans-serif"/>
                <w:b/>
                <w:color w:val="51555C"/>
                <w:sz w:val="10"/>
              </w:rPr>
              <w:t>(8)</w:t>
            </w:r>
          </w:p>
        </w:tc>
        <w:tc>
          <w:tcPr>
            <w:tcW w:w="64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40.7</w:t>
            </w:r>
            <w:r>
              <w:rPr>
                <w:color w:val="51555C"/>
              </w:rPr>
              <w:t> </w:t>
            </w:r>
          </w:p>
        </w:tc>
        <w:tc>
          <w:tcPr>
            <w:tcW w:w="22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16"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Calibri;sans-serif" w:hAnsi="Calibri;sans-serif"/>
                <w:b/>
                <w:color w:val="51555C"/>
                <w:sz w:val="16"/>
              </w:rPr>
              <w:t>35.9</w:t>
            </w:r>
            <w:r>
              <w:rPr>
                <w:color w:val="51555C"/>
              </w:rPr>
              <w:t> </w:t>
            </w:r>
          </w:p>
        </w:tc>
        <w:tc>
          <w:tcPr>
            <w:tcW w:w="22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color w:val="51555C"/>
                <w:sz w:val="16"/>
              </w:rPr>
            </w:pPr>
            <w:r>
              <w:rPr>
                <w:rFonts w:ascii="Calibri;sans-serif" w:hAnsi="Calibri;sans-serif"/>
                <w:b/>
                <w:color w:val="51555C"/>
                <w:sz w:val="16"/>
              </w:rPr>
              <w:t>%</w:t>
            </w:r>
          </w:p>
        </w:tc>
        <w:tc>
          <w:tcPr>
            <w:tcW w:w="846"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amortization expense related to software development costs and amortization expense from capitalized cloud computing implementation costs.</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(2)The individual amounts for each year may not sum to subtotal, non-GAAP EBITDA, non-GAAP adjusted EBITDA or non-GAAP adjusted EBITDA on a constant currency basis due to rounding.</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(3)Measured by GAAP revenue divided by non-GAAP EBITDA.</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(4)See additional details in the reconciliation of GAAP to Non-GAAP operating income above.</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(5)Measured by non-GAAP organic revenue divided by non-GAAP adjusted EBITDA.</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(6)Measured by non-GAAP organic revenue growth plus non-GAAP adjusted EBITDA margin. See Non-GAAP organic revenue growth table above.</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(7)To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(8)Measured by non-GAAP organic revenue growth on constant currency basis plus non-GAAP adjusted EBITDA margin on constant currency basis. See Non-GAAP organic revenue growth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91540"/>
                <wp:effectExtent l="0" t="0" r="0" b="0"/>
                <wp:wrapNone/>
                <wp:docPr id="152" name="Frame4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71" descr=""/>
                                                <pic:cNvPicPr>
                                                  <a:picLocks noChangeAspect="1" noChangeArrowheads="1"/>
                                                </pic:cNvPicPr>
                                              </pic:nvPicPr>
                                              <pic:blipFill>
                                                <a:blip r:embed="rId112"/>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1" descr=""/>
                                          <pic:cNvPicPr>
                                            <a:picLocks noChangeAspect="1" noChangeArrowheads="1"/>
                                          </pic:cNvPicPr>
                                        </pic:nvPicPr>
                                        <pic:blipFill>
                                          <a:blip r:embed="rId11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i/>
          <w:color w:val="51555C"/>
          <w:sz w:val="20"/>
        </w:rPr>
      </w:pPr>
      <w:bookmarkStart w:id="1" w:name="ie7bf8ce21222439e92137ee3aaeacb8d_1018"/>
      <w:bookmarkEnd w:id="1"/>
      <w:r>
        <w:rPr>
          <w:rFonts w:ascii="Calibri;sans-serif" w:hAnsi="Calibri;sans-serif"/>
          <w:b w:val="false"/>
          <w:i/>
          <w:color w:val="51555C"/>
          <w:sz w:val="20"/>
        </w:rPr>
        <w:t>Non-GAAP free cash flow and non-GAAP adjusted free cash flow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Non-GAAP free cash flow is defined as operating cash flow less capital expenditures, including costs required to be capitalized for software and content development, and capital expenditures for property and equipment.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Non-GAAP adjusted free cash flow is defined as operating cash flow less capital expenditures, including costs required to be capitalized for software and content development and capital expenditures for property and equipment, plus cash outflows, net of insurance, related to the Security Incident.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tbl>
      <w:tblPr>
        <w:tblW w:w="5866" w:type="dxa"/>
        <w:jc w:val="left"/>
        <w:tblInd w:w="0" w:type="dxa"/>
        <w:tblLayout w:type="fixed"/>
        <w:tblCellMar>
          <w:top w:w="28" w:type="dxa"/>
          <w:left w:w="28" w:type="dxa"/>
          <w:bottom w:w="28" w:type="dxa"/>
          <w:right w:w="28" w:type="dxa"/>
        </w:tblCellMar>
      </w:tblPr>
      <w:tblGrid>
        <w:gridCol w:w="1457"/>
        <w:gridCol w:w="1279"/>
        <w:gridCol w:w="1284"/>
        <w:gridCol w:w="196"/>
        <w:gridCol w:w="541"/>
        <w:gridCol w:w="109"/>
        <w:gridCol w:w="196"/>
        <w:gridCol w:w="541"/>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84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84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16"/>
              </w:rPr>
            </w:pPr>
            <w:r>
              <w:rPr>
                <w:rFonts w:ascii="Calibri;sans-serif" w:hAnsi="Calibri;sans-serif"/>
                <w:b/>
                <w:color w:val="51555C"/>
                <w:sz w:val="16"/>
              </w:rPr>
              <w:t>GAAP net cash provided by operating activities</w:t>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203.0 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189.8 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purchase of property and equipment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Less: capitalized software and content development costs</w:t>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(44.7)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(42.8)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free cash flow</w:t>
            </w:r>
            <w:r>
              <w:rPr>
                <w:rFonts w:ascii="Calibri;sans-serif" w:hAnsi="Calibri;sans-serif"/>
                <w:b/>
                <w:color w:val="51555C"/>
                <w:sz w:val="10"/>
              </w:rPr>
              <w:t>(1)</w:t>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154.1 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136.5 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Add: Security Incident-related cash flows, net of insurance</w:t>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23.1 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9.5 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Calibri;sans-serif" w:hAnsi="Calibri;sans-serif"/>
                <w:b/>
                <w:color w:val="51555C"/>
                <w:sz w:val="16"/>
              </w:rPr>
              <w:t>Non-GAAP adjusted free cash flow</w:t>
            </w:r>
            <w:r>
              <w:rPr>
                <w:rFonts w:ascii="Calibri;sans-serif" w:hAnsi="Calibri;sans-serif"/>
                <w:b/>
                <w:color w:val="51555C"/>
                <w:sz w:val="10"/>
              </w:rPr>
              <w:t>(1)</w:t>
            </w:r>
          </w:p>
        </w:tc>
        <w:tc>
          <w:tcPr>
            <w:tcW w:w="19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177.2 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16"/>
              </w:rPr>
            </w:pPr>
            <w:r>
              <w:rPr>
                <w:rFonts w:ascii="Calibri;sans-serif" w:hAnsi="Calibri;sans-serif"/>
                <w:b w:val="false"/>
                <w:color w:val="51555C"/>
                <w:sz w:val="16"/>
              </w:rPr>
              <w:t>$</w:t>
            </w:r>
          </w:p>
        </w:tc>
        <w:tc>
          <w:tcPr>
            <w:tcW w:w="54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16"/>
              </w:rPr>
            </w:pPr>
            <w:r>
              <w:rPr>
                <w:rFonts w:ascii="Calibri;sans-serif" w:hAnsi="Calibri;sans-serif"/>
                <w:b w:val="false"/>
                <w:color w:val="51555C"/>
                <w:sz w:val="16"/>
              </w:rPr>
              <w:t>146.1 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for each year may not sum to non-GAAP free cash flow or non-GAAP adjusted free cash flow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Seasonality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renewals and student enrollments or significant acquisitions. Our cash flow from financing is negatively impacted in our first quarter when most of our equity awards vest, as we pay taxes on behalf of our employees related to the settlement or exercise of equity awards.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These patterns may change as a result of the continued shift to online giving, growth in volume of transactions for which we process payments, large dollar customer bookings and contract renewals, or as a result of acquisitions, new market opportunities, new solution introductions or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91540"/>
                <wp:effectExtent l="0" t="0" r="0" b="0"/>
                <wp:wrapNone/>
                <wp:docPr id="155" name="Frame4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2" descr=""/>
                                                <pic:cNvPicPr>
                                                  <a:picLocks noChangeAspect="1" noChangeArrowheads="1"/>
                                                </pic:cNvPicPr>
                                              </pic:nvPicPr>
                                              <pic:blipFill>
                                                <a:blip r:embed="rId114"/>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2" descr=""/>
                                          <pic:cNvPicPr>
                                            <a:picLocks noChangeAspect="1" noChangeArrowheads="1"/>
                                          </pic:cNvPicPr>
                                        </pic:nvPicPr>
                                        <pic:blipFill>
                                          <a:blip r:embed="rId115"/>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3359" w:type="dxa"/>
        <w:jc w:val="left"/>
        <w:tblInd w:w="0" w:type="dxa"/>
        <w:tblLayout w:type="fixed"/>
        <w:tblCellMar>
          <w:top w:w="28" w:type="dxa"/>
          <w:left w:w="28" w:type="dxa"/>
          <w:bottom w:w="28" w:type="dxa"/>
          <w:right w:w="28" w:type="dxa"/>
        </w:tblCellMar>
      </w:tblPr>
      <w:tblGrid>
        <w:gridCol w:w="1076"/>
        <w:gridCol w:w="946"/>
        <w:gridCol w:w="1337"/>
      </w:tblGrid>
      <w:tr>
        <w:trPr/>
        <w:tc>
          <w:tcPr>
            <w:tcW w:w="10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Liquidity and Capital Resources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selected financial information about our financial position:</w:t>
      </w:r>
    </w:p>
    <w:tbl>
      <w:tblPr>
        <w:tblW w:w="6870" w:type="dxa"/>
        <w:jc w:val="left"/>
        <w:tblInd w:w="0" w:type="dxa"/>
        <w:tblLayout w:type="fixed"/>
        <w:tblCellMar>
          <w:top w:w="28" w:type="dxa"/>
          <w:left w:w="28" w:type="dxa"/>
          <w:bottom w:w="28" w:type="dxa"/>
          <w:right w:w="28" w:type="dxa"/>
        </w:tblCellMar>
      </w:tblPr>
      <w:tblGrid>
        <w:gridCol w:w="1331"/>
        <w:gridCol w:w="1169"/>
        <w:gridCol w:w="1175"/>
        <w:gridCol w:w="288"/>
        <w:gridCol w:w="700"/>
        <w:gridCol w:w="151"/>
        <w:gridCol w:w="277"/>
        <w:gridCol w:w="673"/>
        <w:gridCol w:w="144"/>
        <w:gridCol w:w="290"/>
        <w:gridCol w:w="295"/>
        <w:gridCol w:w="377"/>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11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September 30,</w:t>
              <w:br/>
              <w:t>2023</w:t>
            </w:r>
          </w:p>
        </w:tc>
        <w:tc>
          <w:tcPr>
            <w:tcW w:w="10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December 31,</w:t>
              <w:br/>
              <w:t>2022</w:t>
            </w:r>
          </w:p>
        </w:tc>
        <w:tc>
          <w:tcPr>
            <w:tcW w:w="962"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367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Cash and cash equivalents</w:t>
            </w:r>
          </w:p>
        </w:tc>
        <w:tc>
          <w:tcPr>
            <w:tcW w:w="28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0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31.1 </w:t>
            </w:r>
          </w:p>
        </w:tc>
        <w:tc>
          <w:tcPr>
            <w:tcW w:w="15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7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31.7 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Property and equipment, net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(6.4)</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Software and content development costs, net</w:t>
            </w:r>
          </w:p>
        </w:tc>
        <w:tc>
          <w:tcPr>
            <w:tcW w:w="98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155.9 </w:t>
            </w:r>
          </w:p>
        </w:tc>
        <w:tc>
          <w:tcPr>
            <w:tcW w:w="1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141.0 </w:t>
            </w:r>
          </w:p>
        </w:tc>
        <w:tc>
          <w:tcPr>
            <w:tcW w:w="14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10.6 </w:t>
            </w:r>
          </w:p>
        </w:tc>
        <w:tc>
          <w:tcPr>
            <w:tcW w:w="37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Total carrying value of debt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742.6 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859.0 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(13.6)</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67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Working capital</w:t>
            </w:r>
          </w:p>
        </w:tc>
        <w:tc>
          <w:tcPr>
            <w:tcW w:w="98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(358.2)</w:t>
            </w:r>
          </w:p>
        </w:tc>
        <w:tc>
          <w:tcPr>
            <w:tcW w:w="15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(312.0)</w:t>
            </w:r>
          </w:p>
        </w:tc>
        <w:tc>
          <w:tcPr>
            <w:tcW w:w="14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(14.8)</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presents selected financial information about our cash flows:</w:t>
      </w:r>
    </w:p>
    <w:tbl>
      <w:tblPr>
        <w:tblW w:w="6309" w:type="dxa"/>
        <w:jc w:val="left"/>
        <w:tblInd w:w="0" w:type="dxa"/>
        <w:tblLayout w:type="fixed"/>
        <w:tblCellMar>
          <w:top w:w="28" w:type="dxa"/>
          <w:left w:w="28" w:type="dxa"/>
          <w:bottom w:w="28" w:type="dxa"/>
          <w:right w:w="28" w:type="dxa"/>
        </w:tblCellMar>
      </w:tblPr>
      <w:tblGrid>
        <w:gridCol w:w="1201"/>
        <w:gridCol w:w="1054"/>
        <w:gridCol w:w="1059"/>
        <w:gridCol w:w="229"/>
        <w:gridCol w:w="669"/>
        <w:gridCol w:w="118"/>
        <w:gridCol w:w="229"/>
        <w:gridCol w:w="669"/>
        <w:gridCol w:w="118"/>
        <w:gridCol w:w="293"/>
        <w:gridCol w:w="293"/>
        <w:gridCol w:w="377"/>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Nine months ended September 30,</w:t>
            </w:r>
          </w:p>
        </w:tc>
      </w:tr>
      <w:tr>
        <w:trPr/>
        <w:tc>
          <w:tcPr>
            <w:tcW w:w="331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(dollars in millions)</w:t>
            </w:r>
          </w:p>
        </w:tc>
        <w:tc>
          <w:tcPr>
            <w:tcW w:w="101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2023</w:t>
            </w:r>
          </w:p>
        </w:tc>
        <w:tc>
          <w:tcPr>
            <w:tcW w:w="101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2022</w:t>
            </w:r>
          </w:p>
        </w:tc>
        <w:tc>
          <w:tcPr>
            <w:tcW w:w="96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Change</w:t>
            </w:r>
          </w:p>
        </w:tc>
      </w:tr>
      <w:tr>
        <w:trPr/>
        <w:tc>
          <w:tcPr>
            <w:tcW w:w="331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provided by operating activities</w:t>
            </w:r>
          </w:p>
        </w:tc>
        <w:tc>
          <w:tcPr>
            <w:tcW w:w="2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203.0 </w:t>
            </w:r>
          </w:p>
        </w:tc>
        <w:tc>
          <w:tcPr>
            <w:tcW w:w="11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6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189.8 </w:t>
            </w:r>
          </w:p>
        </w:tc>
        <w:tc>
          <w:tcPr>
            <w:tcW w:w="11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6.9 </w:t>
            </w:r>
          </w:p>
        </w:tc>
        <w:tc>
          <w:tcPr>
            <w:tcW w:w="3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used in investing activities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(67.8)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(27.5)</w:t>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r>
        <w:trPr/>
        <w:tc>
          <w:tcPr>
            <w:tcW w:w="331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Net cash used in financing activities</w:t>
            </w:r>
          </w:p>
        </w:tc>
        <w:tc>
          <w:tcPr>
            <w:tcW w:w="89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(496.7)</w:t>
            </w:r>
          </w:p>
        </w:tc>
        <w:tc>
          <w:tcPr>
            <w:tcW w:w="118"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(384.2)</w:t>
            </w:r>
          </w:p>
        </w:tc>
        <w:tc>
          <w:tcPr>
            <w:tcW w:w="118"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29.3 </w:t>
            </w:r>
          </w:p>
        </w:tc>
        <w:tc>
          <w:tcPr>
            <w:tcW w:w="37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 In the near term, excluding any future material events noted above or otherwise, we intend to reduce our net leverage, which was 2.11 to 1.00 at September 30, 2023, as defined by our credit agreement, to our target level of 2 to 1 or less. We also currently expect to resume stock repurchases during the fourth quarter of 2023.</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a well-known seasoned issuer, we filed an automatic shelf registration statement for an undetermined amount of debt and equity securities with the SEC on January 14, 2022. Under this universal shelf registration statement we may offer and sell, from time to time, debt securities, common stock, preferred stock, depositary shares, warrants, stock purchase contracts and stock purchase units. Subject to certain conditions, this registration statement will be effective through January 13, 2024.</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At September 30, 2023, our total cash and cash equivalents balance included approximately $19.7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91540"/>
                <wp:effectExtent l="0" t="0" r="0" b="0"/>
                <wp:wrapNone/>
                <wp:docPr id="158" name="Frame4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3" descr=""/>
                                                <pic:cNvPicPr>
                                                  <a:picLocks noChangeAspect="1" noChangeArrowheads="1"/>
                                                </pic:cNvPicPr>
                                              </pic:nvPicPr>
                                              <pic:blipFill>
                                                <a:blip r:embed="rId116"/>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3" descr=""/>
                                          <pic:cNvPicPr>
                                            <a:picLocks noChangeAspect="1" noChangeArrowheads="1"/>
                                          </pic:cNvPicPr>
                                        </pic:nvPicPr>
                                        <pic:blipFill>
                                          <a:blip r:embed="rId11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Operating Cash Flow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Working capital changes are composed of changes in accounts receivable, prepaid expenses and other assets, trade accounts payable, accrued expenses and other liabilities, and deferred revenue.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Net cash provided by operating activities increased by $13.2 million during the nine months ended September 30, 2023, when compared to the same period in 2022, primarily due to a $27.5 million increase in net income adjusted for non-cash expenses and a $14.4 million decrease in cash flow from operations associated with working capital.</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decrease in cash flow from operations associated with working capital during the nine months ended September 30, 2023, when compared to the same period in 2022, was primarily due to:</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 xml:space="preserve">fluctuations in the timing of vendor payments; and </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a decrease in taxes payable; partially offset by</w:t>
      </w:r>
    </w:p>
    <w:p>
      <w:pPr>
        <w:pStyle w:val="TextBody"/>
        <w:bidi w:val="0"/>
        <w:spacing w:lineRule="auto" w:line="288" w:before="180" w:after="283"/>
        <w:ind w:left="0" w:right="0" w:hanging="360"/>
        <w:jc w:val="both"/>
        <w:rPr/>
      </w:pPr>
      <w:r>
        <w:rPr>
          <w:color w:val="51555C"/>
        </w:rPr>
        <w:t>•</w:t>
      </w:r>
      <w:r>
        <w:rPr>
          <w:rFonts w:ascii="Calibri;sans-serif" w:hAnsi="Calibri;sans-serif"/>
          <w:b w:val="false"/>
          <w:color w:val="51555C"/>
          <w:sz w:val="20"/>
        </w:rPr>
        <w:t>an increase in accrued expenses, including accrued bonuses and the Security Incident.</w:t>
      </w:r>
    </w:p>
    <w:p>
      <w:pPr>
        <w:pStyle w:val="TextBody"/>
        <w:bidi w:val="0"/>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Security Incident update</w:t>
      </w:r>
    </w:p>
    <w:p>
      <w:pPr>
        <w:pStyle w:val="TextBody"/>
        <w:bidi w:val="0"/>
        <w:spacing w:lineRule="auto" w:line="288" w:before="180" w:after="283"/>
        <w:jc w:val="both"/>
        <w:rPr/>
      </w:pPr>
      <w:r>
        <w:rPr>
          <w:rFonts w:ascii="Calibri;sans-serif" w:hAnsi="Calibri;sans-serif"/>
          <w:b w:val="false"/>
          <w:color w:val="51555C"/>
          <w:sz w:val="20"/>
        </w:rPr>
        <w:t>As discussed in Note 8 to our unaudited, condensed consolidated financial statements in this report, t</w:t>
      </w:r>
      <w:r>
        <w:rPr>
          <w:rFonts w:ascii="Calibri;sans-serif" w:hAnsi="Calibri;sans-serif"/>
          <w:b w:val="false"/>
          <w:color w:val="51555C"/>
          <w:sz w:val="20"/>
          <w:shd w:fill="FFFFFF" w:val="clear"/>
        </w:rPr>
        <w:t>otal costs related to the Security Incident exceeded the limit of our insurance coverage in the first quarter of 2022</w:t>
      </w:r>
      <w:r>
        <w:rPr>
          <w:rFonts w:ascii="Calibri;sans-serif" w:hAnsi="Calibri;sans-serif"/>
          <w:b w:val="false"/>
          <w:color w:val="51555C"/>
          <w:sz w:val="20"/>
        </w:rPr>
        <w:t>. Accordingly, the Security Incident has negatively impacted, and we expect it to continue for the foreseeable future to negatively impact, our GAAP profitab</w:t>
      </w:r>
      <w:r>
        <w:rPr>
          <w:rFonts w:ascii="Calibri;sans-serif" w:hAnsi="Calibri;sans-serif"/>
          <w:b w:val="false"/>
          <w:color w:val="51555C"/>
          <w:sz w:val="20"/>
          <w:shd w:fill="FFFFFF" w:val="clear"/>
        </w:rPr>
        <w:t xml:space="preserve">ility and GAAP cash flow (see discussion regarding non-GAAP free cash flow and non-GAAP adjusted free cash flow on page </w:t>
      </w:r>
      <w:hyperlink w:anchor="i9fc2f01d4d454122a00115b63cf3f9d0_160">
        <w:r>
          <w:rPr>
            <w:rStyle w:val="InternetLink"/>
            <w:rFonts w:ascii="Calibri;sans-serif" w:hAnsi="Calibri;sans-serif"/>
            <w:b w:val="false"/>
            <w:strike w:val="false"/>
            <w:dstrike w:val="false"/>
            <w:color w:val="51555C"/>
            <w:sz w:val="20"/>
            <w:u w:val="none"/>
            <w:effect w:val="none"/>
          </w:rPr>
          <w:t>42</w:t>
        </w:r>
      </w:hyperlink>
      <w:r>
        <w:rPr>
          <w:rFonts w:ascii="Calibri;sans-serif" w:hAnsi="Calibri;sans-serif"/>
          <w:b w:val="false"/>
          <w:color w:val="51555C"/>
          <w:sz w:val="20"/>
        </w:rPr>
        <w:t xml:space="preserve">). For full year 2023, we currently expect net pre-tax expense of approximately $20 million to $30 million and net cash outlays of approximately $25 million to $35 million for ongoing legal fees related to the Security Incident. In line with our policy, legal fees are expensed as incurred. Not included in these ranges are our previous settlements or current accruals for loss contingencies related to the matters discussed below. For full year 2024, we currently expect a significant decrease in net pre-tax expense related to the Security Incident for ongoing legal fees.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September 30, 2023, we have recorded approximately $50.0 million in aggregate liabilities for loss contingencies based primarily on negotiations with certain governmental agencies related to the Security Incident that we believed we could reasonably estimate in accordance with our loss contingency procedures described in Note 8. In connection with the settlement of the multi-state Attorneys General investigation (as discussed in Note 8 and Note 12), we expect pay $49.5 million during the fourth quarter of 2023.</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are other Security Incident-related matters, including customer claims, customer constituent class actions and governmental investigations, for which we have not recorded a liability for a loss contingency as of September 30, 2023 because we are unable at this time to reasonably estimate the possible loss or range of loss. Each of these matters could, separately or in the aggregate, result in an adverse judgment, settlement, fine, penalty or other resolution, the amount, scope and timing of which we are currently unable to predict, but could have a material adverse impact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Investing Cash Flow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Net cash used in investing activities of $49.2 million decreased by $18.6 million during the nine months ended September 30, 2023, when compared to the same period in 2022.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nine months ended September 2022, we received net cash of $6.4 million related to our disposition of Blackbaud FIMS™ and DonorCentral® NXT.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91540"/>
                <wp:effectExtent l="0" t="0" r="0" b="0"/>
                <wp:wrapNone/>
                <wp:docPr id="161" name="Frame4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4" descr=""/>
                                                <pic:cNvPicPr>
                                                  <a:picLocks noChangeAspect="1" noChangeArrowheads="1"/>
                                                </pic:cNvPicPr>
                                              </pic:nvPicPr>
                                              <pic:blipFill>
                                                <a:blip r:embed="rId118"/>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4" descr=""/>
                                          <pic:cNvPicPr>
                                            <a:picLocks noChangeAspect="1" noChangeArrowheads="1"/>
                                          </pic:cNvPicPr>
                                        </pic:nvPicPr>
                                        <pic:blipFill>
                                          <a:blip r:embed="rId119"/>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nine months ended September 30, 2022, we used $20.9 million of net cash for our acquisitions of EVERFI and Kilter, comprised primarily of (i) $17.4 million that had not been paid by EVERFI to its former option holders as of December 31, 2021, solely due to the timing of the acquisition on the last day of 2021; (ii) $2.9 million that was paid to acquire Kilter; and (iii) $2.6 million that was paid to a number of EVERFI's selling shareholders after determining they would be paid in cash, rather than shares of our common stock.</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nine months ended September 30, 2023, we used $44.7 million for software and content development costs, which was up $1.9 million from cash spent during the same period in 2022. We also spent $4.2 million of cash for purchases of property and equipment during the nine months ended September 30, 2023, which was a decrease of $6.3 million when compared to the same period in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Financing Cash Flow</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nine months ended September 30, 2023, we had a net decrease in borrowings of $118.2 million.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paid $35.6 million to satisfy tax obligations of employees upon settlement of equity awards during the nine months ended September 30, 2023 compared to $36.1 million during the same period in 2022.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nine months ended September 30, 2023, cash flow from financing activities associated with changes in restricted cash due to customers decreased $339.7 million, compared to a decrease of $243.1 million during the same period in 2022. This line in the statement of cash flows represents the change in the amount of restricted cash held and payable by us to customers from one period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Stock repurchase program</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December 2021, our Board of Directors reauthorized and replenished our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three and nine months ended September 30, 2023, we did not purchase any shares. The remaining amount available to purchase stock under the stock repurchase program was $250.0 million as of September 30, 2023. We currently expect to resume stock repurchases during the fourth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Calibri;sans-serif" w:hAnsi="Calibri;sans-serif"/>
          <w:b w:val="false"/>
          <w:color w:val="51555C"/>
          <w:sz w:val="20"/>
          <w:u w:val="single"/>
        </w:rPr>
      </w:pPr>
      <w:r>
        <w:rPr>
          <w:rFonts w:ascii="Calibri;sans-serif" w:hAnsi="Calibri;sans-serif"/>
          <w:b w:val="false"/>
          <w:color w:val="51555C"/>
          <w:sz w:val="20"/>
          <w:u w:val="single"/>
        </w:rPr>
        <w:t>2020 Credit Facility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Historically, we have drawn on our credit facility from time to time to help us meet financial needs, primarily due to the seasonality of our cash flows from operations and financing for business acquisitions. At September 30, 2023, our available borrowing capacity under the 2020 Credit Facility was $425.7 million. The 2020 Credit Facility matures in October 2025.</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At September 30, 2023, the carrying amount of our debt under the 2020 Credit Facility was $683.2 million. Our average daily borrowings during the three and nine months ended September 30, 2023 were $727.8 million and $785.5 million, respectively.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is a summary of the financial covenants under the 2020 Credit Facility:</w:t>
      </w:r>
    </w:p>
    <w:tbl>
      <w:tblPr>
        <w:tblW w:w="5444" w:type="dxa"/>
        <w:jc w:val="left"/>
        <w:tblInd w:w="0" w:type="dxa"/>
        <w:tblLayout w:type="fixed"/>
        <w:tblCellMar>
          <w:top w:w="28" w:type="dxa"/>
          <w:left w:w="28" w:type="dxa"/>
          <w:bottom w:w="28" w:type="dxa"/>
          <w:right w:w="28" w:type="dxa"/>
        </w:tblCellMar>
      </w:tblPr>
      <w:tblGrid>
        <w:gridCol w:w="684"/>
        <w:gridCol w:w="602"/>
        <w:gridCol w:w="604"/>
        <w:gridCol w:w="424"/>
        <w:gridCol w:w="424"/>
        <w:gridCol w:w="426"/>
        <w:gridCol w:w="667"/>
        <w:gridCol w:w="667"/>
        <w:gridCol w:w="946"/>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Financial covenant</w:t>
            </w:r>
          </w:p>
        </w:tc>
        <w:tc>
          <w:tcPr>
            <w:tcW w:w="12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Requirement</w:t>
            </w:r>
          </w:p>
        </w:tc>
        <w:tc>
          <w:tcPr>
            <w:tcW w:w="2280"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center"/>
              <w:rPr>
                <w:rFonts w:ascii="Calibri;sans-serif" w:hAnsi="Calibri;sans-serif"/>
                <w:b/>
                <w:color w:val="FFFFFF"/>
                <w:sz w:val="16"/>
              </w:rPr>
            </w:pPr>
            <w:r>
              <w:rPr>
                <w:rFonts w:ascii="Calibri;sans-serif" w:hAnsi="Calibri;sans-serif"/>
                <w:b/>
                <w:color w:val="FFFFFF"/>
                <w:sz w:val="16"/>
              </w:rPr>
              <w:t>Ratio as of September 30, 2023</w:t>
            </w:r>
          </w:p>
        </w:tc>
      </w:tr>
      <w:tr>
        <w:trPr/>
        <w:tc>
          <w:tcPr>
            <w:tcW w:w="18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Calibri;sans-serif" w:hAnsi="Calibri;sans-serif"/>
                <w:b w:val="false"/>
                <w:color w:val="51555C"/>
                <w:sz w:val="20"/>
              </w:rPr>
              <w:t>Net leverage ratio</w:t>
            </w:r>
            <w:r>
              <w:rPr>
                <w:rFonts w:ascii="Calibri;sans-serif" w:hAnsi="Calibri;sans-serif"/>
                <w:b w:val="false"/>
                <w:color w:val="51555C"/>
                <w:sz w:val="13"/>
              </w:rPr>
              <w:t>(1)</w:t>
            </w:r>
          </w:p>
        </w:tc>
        <w:tc>
          <w:tcPr>
            <w:tcW w:w="12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 xml:space="preserve">≤ </w:t>
            </w:r>
            <w:r>
              <w:rPr>
                <w:rFonts w:ascii="Calibri;sans-serif" w:hAnsi="Calibri;sans-serif"/>
                <w:b w:val="false"/>
                <w:color w:val="51555C"/>
                <w:sz w:val="20"/>
              </w:rPr>
              <w:t>4.00 to 1.00</w:t>
            </w:r>
          </w:p>
        </w:tc>
        <w:tc>
          <w:tcPr>
            <w:tcW w:w="22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2.11 to 1.00</w:t>
            </w:r>
          </w:p>
        </w:tc>
      </w:tr>
      <w:tr>
        <w:trPr/>
        <w:tc>
          <w:tcPr>
            <w:tcW w:w="189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coverage ratio</w:t>
            </w:r>
          </w:p>
        </w:tc>
        <w:tc>
          <w:tcPr>
            <w:tcW w:w="127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1555C"/>
              </w:rPr>
            </w:pPr>
            <w:r>
              <w:rPr>
                <w:color w:val="51555C"/>
              </w:rPr>
              <w:t xml:space="preserve">≥ </w:t>
            </w:r>
            <w:r>
              <w:rPr>
                <w:rFonts w:ascii="Calibri;sans-serif" w:hAnsi="Calibri;sans-serif"/>
                <w:b w:val="false"/>
                <w:color w:val="51555C"/>
                <w:sz w:val="20"/>
              </w:rPr>
              <w:t>2.50 to 1.00</w:t>
            </w:r>
          </w:p>
        </w:tc>
        <w:tc>
          <w:tcPr>
            <w:tcW w:w="228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8.24 to 1.00</w:t>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(1)Under the terms of the 2020 Credit Facility, the Net Leverage Ratio requirement may be increased by up to 0.50 provided we satisfy certain requirements, including a permitted business acquisition, and provided that the maximum Net Leverage Ratio shall not exceed 4.25 to 1.00.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91540"/>
                <wp:effectExtent l="0" t="0" r="0" b="0"/>
                <wp:wrapNone/>
                <wp:docPr id="164" name="Frame4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75" descr=""/>
                                                <pic:cNvPicPr>
                                                  <a:picLocks noChangeAspect="1" noChangeArrowheads="1"/>
                                                </pic:cNvPicPr>
                                              </pic:nvPicPr>
                                              <pic:blipFill>
                                                <a:blip r:embed="rId120"/>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5" descr=""/>
                                          <pic:cNvPicPr>
                                            <a:picLocks noChangeAspect="1" noChangeArrowheads="1"/>
                                          </pic:cNvPicPr>
                                        </pic:nvPicPr>
                                        <pic:blipFill>
                                          <a:blip r:embed="rId121"/>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September 30, 2023, we were in compliance with our debt covenants under the 2020 Credit Facility. See Note 6 to our unaudited, condensed consolidated financial statements in this report for additional information regarding the 2020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51555C"/>
          <w:sz w:val="20"/>
        </w:rPr>
      </w:pPr>
      <w:r>
        <w:rPr>
          <w:rFonts w:ascii="Calibri;sans-serif" w:hAnsi="Calibri;sans-serif"/>
          <w:b/>
          <w:color w:val="51555C"/>
          <w:sz w:val="20"/>
        </w:rPr>
        <w:t>Commitments and Contingencies</w:t>
      </w:r>
    </w:p>
    <w:tbl>
      <w:tblPr>
        <w:tblW w:w="6198" w:type="dxa"/>
        <w:jc w:val="left"/>
        <w:tblInd w:w="0" w:type="dxa"/>
        <w:tblLayout w:type="fixed"/>
        <w:tblCellMar>
          <w:top w:w="28" w:type="dxa"/>
          <w:left w:w="28" w:type="dxa"/>
          <w:bottom w:w="28" w:type="dxa"/>
          <w:right w:w="28" w:type="dxa"/>
        </w:tblCellMar>
      </w:tblPr>
      <w:tblGrid>
        <w:gridCol w:w="1102"/>
        <w:gridCol w:w="967"/>
        <w:gridCol w:w="976"/>
        <w:gridCol w:w="211"/>
        <w:gridCol w:w="616"/>
        <w:gridCol w:w="109"/>
        <w:gridCol w:w="211"/>
        <w:gridCol w:w="766"/>
        <w:gridCol w:w="109"/>
        <w:gridCol w:w="211"/>
        <w:gridCol w:w="76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Payments due by period</w:t>
            </w:r>
          </w:p>
        </w:tc>
      </w:tr>
      <w:tr>
        <w:trPr/>
        <w:tc>
          <w:tcPr>
            <w:tcW w:w="304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(in millions)</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Less than</w:t>
              <w:br/>
              <w:t>1 year</w:t>
            </w:r>
          </w:p>
        </w:tc>
        <w:tc>
          <w:tcPr>
            <w:tcW w:w="10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More than</w:t>
              <w:br/>
              <w:t>1 year</w:t>
            </w:r>
          </w:p>
        </w:tc>
        <w:tc>
          <w:tcPr>
            <w:tcW w:w="113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Calibri;sans-serif" w:hAnsi="Calibri;sans-serif"/>
                <w:b/>
                <w:color w:val="FFFFFF"/>
                <w:sz w:val="16"/>
              </w:rPr>
              <w:t>Total</w:t>
            </w:r>
            <w:r>
              <w:rPr>
                <w:rFonts w:ascii="Calibri;sans-serif" w:hAnsi="Calibri;sans-serif"/>
                <w:b/>
                <w:color w:val="FFFFFF"/>
                <w:sz w:val="10"/>
              </w:rPr>
              <w:t>(1)</w:t>
            </w:r>
          </w:p>
        </w:tc>
      </w:tr>
      <w:tr>
        <w:trPr/>
        <w:tc>
          <w:tcPr>
            <w:tcW w:w="304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Recorded contractual obligations:</w:t>
            </w:r>
          </w:p>
        </w:tc>
        <w:tc>
          <w:tcPr>
            <w:tcW w:w="93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Operating leases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49.0 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57.8 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Unrecorded contractual obligations:</w:t>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Purchase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Interest payments on debt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23.8 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77.8 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101.6 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pPr>
            <w:r>
              <w:rPr>
                <w:rFonts w:ascii="Calibri;sans-serif" w:hAnsi="Calibri;sans-serif"/>
                <w:b/>
                <w:color w:val="51555C"/>
                <w:sz w:val="20"/>
              </w:rPr>
              <w:t>Total contractual obligations</w:t>
            </w:r>
            <w:r>
              <w:rPr>
                <w:rFonts w:ascii="Calibri;sans-serif" w:hAnsi="Calibri;sans-serif"/>
                <w:b/>
                <w:color w:val="51555C"/>
                <w:sz w:val="13"/>
              </w:rPr>
              <w:t>(1)</w:t>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137.5 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1,040.9 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76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1,178.4 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(1)The individual amounts may not sum to the total due to rounding.</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Debt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September 30, 2023, we had total remaining principal payments of $744.4 million. These payments represent principal payments only, under the following assumptions: (i) that the amounts outstanding under the 2020 Credit Facility, our real estate loans and our other debt at September 30, 2023 will remain outstanding until maturity, with minimum payments occurring as currently scheduled, and (ii) that there are no assumed future borrowings on the revolving credit loans under the 2020 Credit Facility for the purposes of determining minimum commitment amounts. See Note 6 to our unaudited, condensed consolidated financial statements in this report for more information.</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Interest payments on debt</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to principal payments, as of September 30, 2023, we expect to pay interest expense over the life of our debt obligations of approximately $101.6 million. These payments represent our estimated future interest payments on debt using our debt balances and the related weighted average effective interest rates as of September 30, 2023, which includes the effect of interest rate swap agreements. The actual interest expense recognized in our unaudited, condensed consolidated statements of comprehensive income will depend on the amount of debt, the length of time the debt is outstanding and the interest rate, which could be different from our assumptions on our remaining principal payments described above.</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Operating leases</w:t>
      </w:r>
    </w:p>
    <w:p>
      <w:pPr>
        <w:pStyle w:val="TextBody"/>
        <w:bidi w:val="0"/>
        <w:spacing w:lineRule="auto" w:line="288" w:before="180" w:after="283"/>
        <w:jc w:val="both"/>
        <w:rPr/>
      </w:pPr>
      <w:r>
        <w:rPr>
          <w:rFonts w:ascii="Calibri;sans-serif" w:hAnsi="Calibri;sans-serif"/>
          <w:b w:val="false"/>
          <w:color w:val="51555C"/>
          <w:sz w:val="20"/>
        </w:rPr>
        <w:t>As of September 30, 2023, we had remaining operating lease payments of $57.8 million. These payments have not been reduced by sublease income, incentive payments, reimbursement of leasehold improvements or the amount representing imputed interest of $9.2 million. Our operating leases are generally for corporate offices, subleased offices and certain equipment and furnit</w:t>
      </w:r>
      <w:r>
        <w:rPr>
          <w:rFonts w:ascii="Calibri;sans-serif" w:hAnsi="Calibri;sans-serif"/>
          <w:b w:val="false"/>
          <w:color w:val="51555C"/>
          <w:sz w:val="20"/>
          <w:shd w:fill="FFFFFF" w:val="clear"/>
        </w:rPr>
        <w:t>ure. Given our remote-first workforce strategy and real estate footprint optimization efforts, as discussed above, we do not anticipate entering any new, material operating leases for offices for the foreseeable future. See Note 8 to our unaud</w:t>
      </w:r>
      <w:r>
        <w:rPr>
          <w:rFonts w:ascii="Calibri;sans-serif" w:hAnsi="Calibri;sans-serif"/>
          <w:b w:val="false"/>
          <w:color w:val="51555C"/>
          <w:sz w:val="20"/>
        </w:rPr>
        <w:t>ited, condensed consolidated financial statements in this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91540"/>
                <wp:effectExtent l="0" t="0" r="0" b="0"/>
                <wp:wrapNone/>
                <wp:docPr id="167" name="Frame4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76" descr=""/>
                                                <pic:cNvPicPr>
                                                  <a:picLocks noChangeAspect="1" noChangeArrowheads="1"/>
                                                </pic:cNvPicPr>
                                              </pic:nvPicPr>
                                              <pic:blipFill>
                                                <a:blip r:embed="rId122"/>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6" descr=""/>
                                          <pic:cNvPicPr>
                                            <a:picLocks noChangeAspect="1" noChangeArrowheads="1"/>
                                          </pic:cNvPicPr>
                                        </pic:nvPicPr>
                                        <pic:blipFill>
                                          <a:blip r:embed="rId123"/>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Purchase obligations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of September 30, 2023, we had remaining purchase obligations of $273.3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unaudited, condensed consolidated balance sheets as of September 30, 2023, as we had not received the related services. See Note 8 to our unaudited, condensed consolidated financial statements in this report for more information.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total liability for uncertain tax positions as of September 30, 2023 was $3.4 million. Our accrued interest and penalties related to tax positions taken on our tax returns was insignificant as of September 30, 2023.</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connection with the settlement of the multi-state Attorneys General investigation relating to the Security Incident, as discussed in Note 12 to our unaudited, condensed consolidated financial statements in this report, we have agreed to implement and improve certain of our cybersecurity programs and tools through October 2030. The currently anticipated costs in connection with these efforts are expected to be expensed as incurred.</w:t>
      </w:r>
    </w:p>
    <w:p>
      <w:pPr>
        <w:pStyle w:val="TextBody"/>
        <w:bidi w:val="0"/>
        <w:spacing w:lineRule="auto" w:line="288" w:before="180" w:after="283"/>
        <w:jc w:val="both"/>
        <w:rPr>
          <w:rFonts w:ascii="Calibri;sans-serif" w:hAnsi="Calibri;sans-serif"/>
          <w:b w:val="false"/>
          <w:i/>
          <w:color w:val="51555C"/>
          <w:sz w:val="20"/>
        </w:rPr>
      </w:pPr>
      <w:r>
        <w:rPr>
          <w:rFonts w:ascii="Calibri;sans-serif" w:hAnsi="Calibri;sans-serif"/>
          <w:b w:val="false"/>
          <w:i/>
          <w:color w:val="51555C"/>
          <w:sz w:val="20"/>
        </w:rPr>
        <w:t>Contingent consideration</w:t>
      </w:r>
    </w:p>
    <w:p>
      <w:pPr>
        <w:pStyle w:val="TextBody"/>
        <w:bidi w:val="0"/>
        <w:spacing w:lineRule="auto" w:line="288" w:before="180" w:after="283"/>
        <w:jc w:val="both"/>
        <w:rPr/>
      </w:pPr>
      <w:r>
        <w:rPr>
          <w:rFonts w:ascii="Calibri;sans-serif" w:hAnsi="Calibri;sans-serif"/>
          <w:b w:val="false"/>
          <w:color w:val="51555C"/>
          <w:sz w:val="20"/>
        </w:rPr>
        <w:t xml:space="preserve">In connection with our acquisition of Kilter in August 2022, we may be required to pay up to a maximum of </w:t>
      </w:r>
      <w:r>
        <w:rPr>
          <w:rFonts w:ascii="Calibri;sans-serif" w:hAnsi="Calibri;sans-serif"/>
          <w:b w:val="false"/>
          <w:color w:val="51555C"/>
          <w:sz w:val="20"/>
          <w:shd w:fill="FFFFFF" w:val="clear"/>
        </w:rPr>
        <w:t>$3.0 million</w:t>
      </w:r>
      <w:r>
        <w:rPr>
          <w:color w:val="51555C"/>
        </w:rPr>
        <w:t xml:space="preserve"> </w:t>
      </w:r>
      <w:r>
        <w:rPr>
          <w:rFonts w:ascii="Calibri;sans-serif" w:hAnsi="Calibri;sans-serif"/>
          <w:b w:val="false"/>
          <w:color w:val="51555C"/>
          <w:sz w:val="20"/>
        </w:rPr>
        <w:t xml:space="preserve">in additional cash consideration if, during the two-year period commencing January 1, 2023, Kilter meets certain application participation targets. As of September 30, 2023, a liability for the contingent consideration is recorded at its current estimated fair value of </w:t>
      </w:r>
      <w:r>
        <w:rPr>
          <w:rFonts w:ascii="Calibri;sans-serif" w:hAnsi="Calibri;sans-serif"/>
          <w:b w:val="false"/>
          <w:color w:val="51555C"/>
          <w:sz w:val="20"/>
          <w:shd w:fill="FFFFFF" w:val="clear"/>
        </w:rPr>
        <w:t>$1.4 million</w:t>
      </w:r>
      <w:r>
        <w:rPr>
          <w:color w:val="51555C"/>
        </w:rPr>
        <w:t xml:space="preserve"> </w:t>
      </w:r>
      <w:r>
        <w:rPr>
          <w:rFonts w:ascii="Calibri;sans-serif" w:hAnsi="Calibri;sans-serif"/>
          <w:b w:val="false"/>
          <w:color w:val="51555C"/>
          <w:sz w:val="20"/>
        </w:rPr>
        <w:t>in other liabilities on our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39" w:type="dxa"/>
        <w:jc w:val="left"/>
        <w:tblInd w:w="0" w:type="dxa"/>
        <w:tblLayout w:type="fixed"/>
        <w:tblCellMar>
          <w:top w:w="28" w:type="dxa"/>
          <w:left w:w="28" w:type="dxa"/>
          <w:bottom w:w="28" w:type="dxa"/>
          <w:right w:w="28" w:type="dxa"/>
        </w:tblCellMar>
      </w:tblPr>
      <w:tblGrid>
        <w:gridCol w:w="1132"/>
        <w:gridCol w:w="996"/>
        <w:gridCol w:w="1411"/>
      </w:tblGrid>
      <w:tr>
        <w:trPr/>
        <w:tc>
          <w:tcPr>
            <w:tcW w:w="11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Foreign Currency Exchange Rates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Approximately 15% of our total revenue for the nine months ended September 30, 2023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income as a component of stockholders’ equity, was a loss of $14.5 million as of September 30, 2023 and a loss of $14.9 million as of December 31, 2022. We have entered into foreign currency forward contracts to hedge a portion of the foreign currency exposure that arises on translation of our investments denominated in British Pounds into U.S. dollars.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nine months ended September 30, 2023, foreign translation resulted in a decrease in our revenues and an immaterial increase in our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nine months ended September 30, 2023, the fluctuation in foreign currency exchange rates reduced our total revenue by $1.7 million and increased our income from operations by an insignificant amount.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91540"/>
                <wp:effectExtent l="0" t="0" r="0" b="0"/>
                <wp:wrapNone/>
                <wp:docPr id="170" name="Frame4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7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77" descr=""/>
                                                <pic:cNvPicPr>
                                                  <a:picLocks noChangeAspect="1" noChangeArrowheads="1"/>
                                                </pic:cNvPicPr>
                                              </pic:nvPicPr>
                                              <pic:blipFill>
                                                <a:blip r:embed="rId12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7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7" descr=""/>
                                          <pic:cNvPicPr>
                                            <a:picLocks noChangeAspect="1" noChangeArrowheads="1"/>
                                          </pic:cNvPicPr>
                                        </pic:nvPicPr>
                                        <pic:blipFill>
                                          <a:blip r:embed="rId125"/>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4365" w:type="dxa"/>
        <w:jc w:val="left"/>
        <w:tblInd w:w="0" w:type="dxa"/>
        <w:tblLayout w:type="fixed"/>
        <w:tblCellMar>
          <w:top w:w="28" w:type="dxa"/>
          <w:left w:w="28" w:type="dxa"/>
          <w:bottom w:w="28" w:type="dxa"/>
          <w:right w:w="28" w:type="dxa"/>
        </w:tblCellMar>
      </w:tblPr>
      <w:tblGrid>
        <w:gridCol w:w="1398"/>
        <w:gridCol w:w="1229"/>
        <w:gridCol w:w="1738"/>
      </w:tblGrid>
      <w:tr>
        <w:trPr/>
        <w:tc>
          <w:tcPr>
            <w:tcW w:w="139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Critical Accounting Policies and Estimates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There have been no significant changes in our critical accounting policies and estimates during the nine months ended September 30, 2023 as compared to those disclosed in “Management’s Discussion and Analysis of Financial Condition and Results of Operations” included in our Annual Report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69" w:type="dxa"/>
        <w:jc w:val="left"/>
        <w:tblInd w:w="0" w:type="dxa"/>
        <w:tblLayout w:type="fixed"/>
        <w:tblCellMar>
          <w:top w:w="28" w:type="dxa"/>
          <w:left w:w="28" w:type="dxa"/>
          <w:bottom w:w="28" w:type="dxa"/>
          <w:right w:w="28" w:type="dxa"/>
        </w:tblCellMar>
      </w:tblPr>
      <w:tblGrid>
        <w:gridCol w:w="1527"/>
        <w:gridCol w:w="1343"/>
        <w:gridCol w:w="1899"/>
      </w:tblGrid>
      <w:tr>
        <w:trPr/>
        <w:tc>
          <w:tcPr>
            <w:tcW w:w="152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Recently Issued Accounting Pronouncements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3. QUANTITATIVE AND QUALITATIVE DISCLOSURES ABOUT MARKET RISK</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have market rate sensitivity for interest rates and foreign currency exchange rates.</w:t>
      </w:r>
    </w:p>
    <w:tbl>
      <w:tblPr>
        <w:tblW w:w="1950" w:type="dxa"/>
        <w:jc w:val="left"/>
        <w:tblInd w:w="0" w:type="dxa"/>
        <w:tblLayout w:type="fixed"/>
        <w:tblCellMar>
          <w:top w:w="28" w:type="dxa"/>
          <w:left w:w="28" w:type="dxa"/>
          <w:bottom w:w="28" w:type="dxa"/>
          <w:right w:w="28" w:type="dxa"/>
        </w:tblCellMar>
      </w:tblPr>
      <w:tblGrid>
        <w:gridCol w:w="623"/>
        <w:gridCol w:w="548"/>
        <w:gridCol w:w="77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Interest Rate Risk</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SOFR rates. Because the Financial Conduct Authority in the U.K. previously stated that it would phase out all tenors of LIBOR by June 2023, we modified our financial contracts that were indexed to LIBOR to reference SOFR during 2022. These modifications did not have a significant financial impact. Due to the nature of our debt, the materiality of the fair values of the derivative instruments and the highly liquid, short-term nature and level of our cash and cash equivalents as of September 30, 2023, we believe that the risk of exposure to changing interest rates for those positions is immaterial. There were no significant changes in how we manage interest rate risk between December 31, 2022 and September 30, 2023.</w:t>
      </w:r>
    </w:p>
    <w:tbl>
      <w:tblPr>
        <w:tblW w:w="2369" w:type="dxa"/>
        <w:jc w:val="left"/>
        <w:tblInd w:w="0" w:type="dxa"/>
        <w:tblLayout w:type="fixed"/>
        <w:tblCellMar>
          <w:top w:w="28" w:type="dxa"/>
          <w:left w:w="28" w:type="dxa"/>
          <w:bottom w:w="28" w:type="dxa"/>
          <w:right w:w="28" w:type="dxa"/>
        </w:tblCellMar>
      </w:tblPr>
      <w:tblGrid>
        <w:gridCol w:w="758"/>
        <w:gridCol w:w="666"/>
        <w:gridCol w:w="945"/>
      </w:tblGrid>
      <w:tr>
        <w:trPr/>
        <w:tc>
          <w:tcPr>
            <w:tcW w:w="7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Foreign Currency Risk</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our exposure to foreign currency exchange rate fluctuations, see “Management’s Discussion and Analysis of Financial Condition and Results of Operations — Foreign Currency Exchange Rates”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4. CONTROLS AND PROCEDURES</w:t>
      </w:r>
    </w:p>
    <w:tbl>
      <w:tblPr>
        <w:tblW w:w="5189" w:type="dxa"/>
        <w:jc w:val="left"/>
        <w:tblInd w:w="0" w:type="dxa"/>
        <w:tblLayout w:type="fixed"/>
        <w:tblCellMar>
          <w:top w:w="28" w:type="dxa"/>
          <w:left w:w="28" w:type="dxa"/>
          <w:bottom w:w="28" w:type="dxa"/>
          <w:right w:w="28" w:type="dxa"/>
        </w:tblCellMar>
      </w:tblPr>
      <w:tblGrid>
        <w:gridCol w:w="1662"/>
        <w:gridCol w:w="1461"/>
        <w:gridCol w:w="2066"/>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Evaluation of Disclosure Controls and Procedures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91540"/>
                <wp:effectExtent l="0" t="0" r="0" b="0"/>
                <wp:wrapNone/>
                <wp:docPr id="173" name="Frame4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8" descr=""/>
                                                <pic:cNvPicPr>
                                                  <a:picLocks noChangeAspect="1" noChangeArrowheads="1"/>
                                                </pic:cNvPicPr>
                                              </pic:nvPicPr>
                                              <pic:blipFill>
                                                <a:blip r:embed="rId126"/>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48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7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8" descr=""/>
                                          <pic:cNvPicPr>
                                            <a:picLocks noChangeAspect="1" noChangeArrowheads="1"/>
                                          </pic:cNvPicPr>
                                        </pic:nvPicPr>
                                        <pic:blipFill>
                                          <a:blip r:embed="rId127"/>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(Unaudited)</w:t>
      </w:r>
    </w:p>
    <w:tbl>
      <w:tblPr>
        <w:tblW w:w="5534" w:type="dxa"/>
        <w:jc w:val="left"/>
        <w:tblInd w:w="0" w:type="dxa"/>
        <w:tblLayout w:type="fixed"/>
        <w:tblCellMar>
          <w:top w:w="28" w:type="dxa"/>
          <w:left w:w="28" w:type="dxa"/>
          <w:bottom w:w="28" w:type="dxa"/>
          <w:right w:w="28" w:type="dxa"/>
        </w:tblCellMar>
      </w:tblPr>
      <w:tblGrid>
        <w:gridCol w:w="1772"/>
        <w:gridCol w:w="1555"/>
        <w:gridCol w:w="2207"/>
      </w:tblGrid>
      <w:tr>
        <w:trPr/>
        <w:tc>
          <w:tcPr>
            <w:tcW w:w="177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Changes in Internal Control Over Financial Reporting</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No changes in internal control over financial reporting occurred during the most recent fiscal quarter ended September 30, 2023 with respect to our operations, which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91540"/>
                <wp:effectExtent l="0" t="0" r="0" b="0"/>
                <wp:wrapNone/>
                <wp:docPr id="176" name="Frame5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7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9" descr=""/>
                                                <pic:cNvPicPr>
                                                  <a:picLocks noChangeAspect="1" noChangeArrowheads="1"/>
                                                </pic:cNvPicPr>
                                              </pic:nvPicPr>
                                              <pic:blipFill>
                                                <a:blip r:embed="rId12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7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9" descr=""/>
                                          <pic:cNvPicPr>
                                            <a:picLocks noChangeAspect="1" noChangeArrowheads="1"/>
                                          </pic:cNvPicPr>
                                        </pic:nvPicPr>
                                        <pic:blipFill>
                                          <a:blip r:embed="rId129"/>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tbl>
      <w:tblPr>
        <w:tblW w:w="6562"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1669"/>
        <w:gridCol w:w="1669"/>
        <w:gridCol w:w="2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7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80" descr=""/>
                          <pic:cNvPicPr>
                            <a:picLocks noChangeAspect="1" noChangeArrowheads="1"/>
                          </pic:cNvPicPr>
                        </pic:nvPicPr>
                        <pic:blipFill>
                          <a:blip r:embed="rId130"/>
                          <a:stretch>
                            <a:fillRect/>
                          </a:stretch>
                        </pic:blipFill>
                        <pic:spPr bwMode="auto">
                          <a:xfrm>
                            <a:off x="0" y="0"/>
                            <a:ext cx="276225" cy="276225"/>
                          </a:xfrm>
                          <a:prstGeom prst="rect">
                            <a:avLst/>
                          </a:prstGeom>
                        </pic:spPr>
                      </pic:pic>
                    </a:graphicData>
                  </a:graphic>
                </wp:inline>
              </w:drawing>
            </w:r>
          </w:p>
        </w:tc>
        <w:tc>
          <w:tcPr>
            <w:tcW w:w="5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0535A"/>
                <w:sz w:val="44"/>
              </w:rPr>
            </w:pPr>
            <w:r>
              <w:rPr>
                <w:rFonts w:ascii="Calibri;sans-serif" w:hAnsi="Calibri;sans-serif"/>
                <w:b/>
                <w:color w:val="50535A"/>
                <w:sz w:val="44"/>
              </w:rPr>
              <w:t>PART II.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1. LEGAL PROCEEDINGS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For a discussion of our legal proceedings, see Note 8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1A. RISK FACTORS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supplementing Item 1A. Risk Factors in our Annual Report on Form 10-K for the year ended December 31, 2022, as filed with the Securities and Exchange Commission on February 24, 2023 (the “Annual Report”). The following risk factors should be read in conjunction with the risk factors set forth in that Annual Report.</w:t>
      </w:r>
    </w:p>
    <w:tbl>
      <w:tblPr>
        <w:tblW w:w="1635" w:type="dxa"/>
        <w:jc w:val="left"/>
        <w:tblInd w:w="0" w:type="dxa"/>
        <w:tblLayout w:type="fixed"/>
        <w:tblCellMar>
          <w:top w:w="28" w:type="dxa"/>
          <w:left w:w="28" w:type="dxa"/>
          <w:bottom w:w="28" w:type="dxa"/>
          <w:right w:w="28" w:type="dxa"/>
        </w:tblCellMar>
      </w:tblPr>
      <w:tblGrid>
        <w:gridCol w:w="523"/>
        <w:gridCol w:w="460"/>
        <w:gridCol w:w="652"/>
      </w:tblGrid>
      <w:tr>
        <w:trPr/>
        <w:tc>
          <w:tcPr>
            <w:tcW w:w="52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Strategic Risks</w:t>
            </w:r>
          </w:p>
        </w:tc>
      </w:tr>
    </w:tbl>
    <w:p>
      <w:pPr>
        <w:pStyle w:val="TextBody"/>
        <w:bidi w:val="0"/>
        <w:spacing w:lineRule="auto" w:line="288" w:before="180" w:after="283"/>
        <w:jc w:val="both"/>
        <w:rPr>
          <w:rFonts w:ascii="Calibri;sans-serif" w:hAnsi="Calibri;sans-serif"/>
          <w:b/>
          <w:i/>
          <w:color w:val="51555C"/>
          <w:sz w:val="20"/>
        </w:rPr>
      </w:pPr>
      <w:r>
        <w:rPr>
          <w:rFonts w:ascii="Calibri;sans-serif" w:hAnsi="Calibri;sans-serif"/>
          <w:b/>
          <w:i/>
          <w:color w:val="51555C"/>
          <w:sz w:val="20"/>
        </w:rPr>
        <w:t>We are incorporating generative artificial intelligence, or AI, into certain of our products and services. This technology is new and developing, and while we aim to adopt known best practices, it may result in operational, financial and reputational harm and other adverse consequences to our business.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are implementing AI features in certain of our products and services. The technologies underpinning these features are in the early stages of commercial use and exist in an emerging regulatory environment, which presents regulatory, litigation, ethical, reputational, operational and financial risks. Many U.S. and international governmental bodies and regulators have proposed, or are in the process of developing, new regulations related to the use of AI and machine learning technologies. The final form of these may impose obligations related to our development, offering and use of AI technologies and expose us to increased risk of regulatory enforcement and litigation. We also expect that many of our generative AI features will include the processing of personal data and may be subject to laws, policies, legal obligations and codes of conduct related to privacy and data protection. There is uncertainty about the extent to which privacy and data protection laws apply to AI technologies, and any delay in addressing privacy or data protection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implementation of generative AI technologies into our products and services may result in exposure to claims related to copyright infringement or other intellectual property misappropriation.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Furthermore, many of our AI features may rely on third-party service providers. As such, any improper processing of personal data by these service providers could harm our reputation, business or customers, or expose us to legal liability. Any disruption or failure in our AI systems or infrastructure could result in delays or errors in our operations, which could harm our business and financial results.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generative AI features may also generate output that is misleading, insecure,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New and emerging AI technologies may require additional investment in the development and maintenance of various models, approaches and processes, as well as development of protections and safeguards for the use of AI technologies, which may be expensive and could impact our financial results if we decide to further expand generative AI into our products and services. Likewise, the use of AI involves significant technical complexity and requires specialized expertise. The success of any enhancement or new product depends on many factors, including its relevance to our customers, timely implementation and market acceptance. If our enhanced products and services do not achieve widespread market adoption or there is a reduction in demand due to a lack of customer acceptance, technology challenges, strengthening competition, weakening economic conditions, or security or privacy concerns, our business could be harmed and our financial results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91540"/>
                <wp:effectExtent l="0" t="0" r="0" b="0"/>
                <wp:wrapNone/>
                <wp:docPr id="180" name="Frame5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81" descr=""/>
                                                <pic:cNvPicPr>
                                                  <a:picLocks noChangeAspect="1" noChangeArrowheads="1"/>
                                                </pic:cNvPicPr>
                                              </pic:nvPicPr>
                                              <pic:blipFill>
                                                <a:blip r:embed="rId131"/>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8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81" descr=""/>
                                          <pic:cNvPicPr>
                                            <a:picLocks noChangeAspect="1" noChangeArrowheads="1"/>
                                          </pic:cNvPicPr>
                                        </pic:nvPicPr>
                                        <pic:blipFill>
                                          <a:blip r:embed="rId132"/>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Although we aim to develop and use AI responsibly and attempt to identify and mitigate ethical and legal issues presented by its use, we may be unsuccessful in identifying or resolving issues before they arise.</w:t>
      </w:r>
    </w:p>
    <w:tbl>
      <w:tblPr>
        <w:tblW w:w="1934" w:type="dxa"/>
        <w:jc w:val="left"/>
        <w:tblInd w:w="0" w:type="dxa"/>
        <w:tblLayout w:type="fixed"/>
        <w:tblCellMar>
          <w:top w:w="28" w:type="dxa"/>
          <w:left w:w="28" w:type="dxa"/>
          <w:bottom w:w="28" w:type="dxa"/>
          <w:right w:w="28" w:type="dxa"/>
        </w:tblCellMar>
      </w:tblPr>
      <w:tblGrid>
        <w:gridCol w:w="619"/>
        <w:gridCol w:w="543"/>
        <w:gridCol w:w="772"/>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Operational Risks</w:t>
            </w:r>
          </w:p>
        </w:tc>
      </w:tr>
    </w:tbl>
    <w:p>
      <w:pPr>
        <w:pStyle w:val="TextBody"/>
        <w:bidi w:val="0"/>
        <w:spacing w:lineRule="auto" w:line="288" w:before="180" w:after="283"/>
        <w:jc w:val="both"/>
        <w:rPr>
          <w:rFonts w:ascii="Calibri;sans-serif" w:hAnsi="Calibri;sans-serif"/>
          <w:b/>
          <w:i/>
          <w:color w:val="51555C"/>
          <w:sz w:val="20"/>
        </w:rPr>
      </w:pPr>
      <w:r>
        <w:rPr>
          <w:rFonts w:ascii="Calibri;sans-serif" w:hAnsi="Calibri;sans-serif"/>
          <w:b/>
          <w:i/>
          <w:color w:val="51555C"/>
          <w:sz w:val="20"/>
        </w:rPr>
        <w:t>The Security Incident has had, and may continue to have, numerous adverse effects on our business, results of operations, financial condition and cash flows.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that affected over 13,000 customers. Based on the nature of the incident, our research and third party (including law enforcement) investigation we believe that no data went beyond the cybercriminal, was or will be misused, or will be disseminated or otherwise made available publicly. However, our investigation into the Security Incident remains ongoing and may provide additional information.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To date, we have received approximately 260 customer reimbursement requests and approximately 400 reservations of the right to seek expense recovery in the future from customers or their attorneys in the U.S., U.K. and Canada related to the Security Incident. We have also received notices of proposed claims on behalf of a number of U.K. data subjects, which we are reviewing. In addition, insurance companies representing various customers’ interests through subrogation claims have contacted us, and certain insurance companies have filed subrogation claims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putative consumer class action cases in U.S. federal courts (most of which have been consolidated under multi district litigation to a single federal court) and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We have received a Civil Investigative Demand from the office of the California Attorney General relating to the Security Incident. In addition, we are subject to pending governmental actions or investigations by the U.S. Federal Trade Commission, the U.S. Department of Health and Human Services, the Office of the Australian Information Commissioner and the Office of the Privacy Commissioner of Canada.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October 5, 2023, the Company reached a settlement with each of 49 state Attorneys General and the District of Columbia in connection with the Security Incident. This settlement fully resolves the previously disclosed multi-state Civil Investigative Demand and the separate Civil Investigative Demand from the Office of the Indiana Attorney General relating to the Security Incident, which is further described in the substantially similar Administrative Orders filed in each of the 49 states and the District of Columbia.</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Under the terms of the Administrative Orders, we have agreed: (i) to comply with state consumer protection laws, data breach notification laws, and HIPAA; (ii) not to make misleading misrepresentations to our customers or the individuals whose data is stored by us concerning (a) the extent to which we protect the privacy, security, confidentiality, or integrity of certain data, (b) the likelihood that data impacted by a security incident may be subject to unauthorized access, disclosure, or other misuse, or (c) the data breach notification requirements; and (iii) to implement and improve certain cybersecurity programs and tools.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As part of the Administrative Orders, we also agreed to pay a total of $49.5 million to the 49 states and District of Columbia. We expect to pay the full settlement amount to each state and the District of Columbia during the fourth quarter of 2023 from our existing liquidity. This amount was fully accrued as a contingent liability in our financial statements as of June 30, 2023. We entered into the Administrative Orders without admitting fault of liability in connection with the matters subject to the Multistate Investigation. The form of Administrative Order was furnished as Exhibit 99.2 to the Company’s Current Report on Form 8-K filed with the SEC on October 5,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91540"/>
                <wp:effectExtent l="0" t="0" r="0" b="0"/>
                <wp:wrapNone/>
                <wp:docPr id="183" name="Frame5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8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2" descr=""/>
                                                <pic:cNvPicPr>
                                                  <a:picLocks noChangeAspect="1" noChangeArrowheads="1"/>
                                                </pic:cNvPicPr>
                                              </pic:nvPicPr>
                                              <pic:blipFill>
                                                <a:blip r:embed="rId13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2" descr=""/>
                                          <pic:cNvPicPr>
                                            <a:picLocks noChangeAspect="1" noChangeArrowheads="1"/>
                                          </pic:cNvPicPr>
                                        </pic:nvPicPr>
                                        <pic:blipFill>
                                          <a:blip r:embed="rId13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On March 9, 2023, the Company reached a settlement with the SEC in connection with the Security Incident. This settlement fully resolves the previously disclosed SEC investigation of the Security Incident and is further described in the SEC Order. Under the terms of the SEC Order, the Company agreed to cease-and-desist from committing or causing any violations or any future violations of Sections 17(a)(2) and (3) of the Securities Act and Section 13(a) of the Exchange Act, and Rules 12b-20, 13a-13 and 13a-15(a) thereunder. As part of the SEC Order, the Company also agreed to pay, and has paid, a civil penalty in the amount of $3.0 million.</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See Note 8 to our unaudited, condensed consolidated financial statements in this report for a more detailed description of the Security Incident and related matters.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will not be covered by insurance. It is reasonably possible that our estimated or actual losses may change in the near term for those matters and be materially in excess of the amounts accrued. Certain governmental authorities are seeking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any legislative or regulatory changes adopted in reaction to the Security Incident or other companies’ data breaches could require us to make modifications to the operation of our business that could have an adverse effect and/or increase or accelerate our compliance costs.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Significant management time and Company resources have been, and are expected to continue to be, devoted to the Security Incident. For example, for the three and nine months ended September 30, 2023, we incurred net pre-tax expenses of $4.1 million and $48.6 million, respectively, related to the Security Incident, which included $4.1 million and $18.6 million, respectively, for ongoing legal fees and additional accruals for loss contingencies of $0.0 million and $30.0 million, respectively. During the nine months ended September 30, 2023, we had net cash outlays of $23.1 million related to the Security Incident, which included ongoing legal fees and the $3.0 million civil penalty paid during the first quarter of 2023 related to the SEC settlement (as discussed in Note 8). For full year 2023, we currently expect net pre-tax expense of approximately $20.0 million to $30.0 million and net cash outlays of approximately $25.0 million to $35.0 million for ongoing legal fees related to the Security Incident. Although we carry insurance against certain losses related to the Security Incident, we exceeded the limit of that insurance coverage in the first quarter of 2022. As a result, we will be responsible for all expenses or other losses (including penalties, fines or other judgments) or all types of claims that may arise in connection with the Security Incident, which could materially and adversely affect our liquidity and results of operations. (See Note 8 to our unaudited, condensed consolidated financial statements in this report.) If any such fines or penalties were great enough that we could not pay them through funds generated from operating activities and/or cause a default under the 2020 Credit Facility, we may be forced to renegotiate or obtain a waiver under the 2020 Credit Facility and/or seek additional debt or equity financing. Such renegotiation or financing may not be available on acceptable terms, or at all. In these circumstances, if we were unable to obtain sufficient financing, we may not be able to meet our obligations as they come due.</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91540"/>
                <wp:effectExtent l="0" t="0" r="0" b="0"/>
                <wp:wrapNone/>
                <wp:docPr id="186" name="Frame5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3" descr=""/>
                                                <pic:cNvPicPr>
                                                  <a:picLocks noChangeAspect="1" noChangeArrowheads="1"/>
                                                </pic:cNvPicPr>
                                              </pic:nvPicPr>
                                              <pic:blipFill>
                                                <a:blip r:embed="rId135"/>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8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3" descr=""/>
                                          <pic:cNvPicPr>
                                            <a:picLocks noChangeAspect="1" noChangeArrowheads="1"/>
                                          </pic:cNvPicPr>
                                        </pic:nvPicPr>
                                        <pic:blipFill>
                                          <a:blip r:embed="rId136"/>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tbl>
      <w:tblPr>
        <w:tblW w:w="2940" w:type="dxa"/>
        <w:jc w:val="left"/>
        <w:tblInd w:w="0" w:type="dxa"/>
        <w:tblLayout w:type="fixed"/>
        <w:tblCellMar>
          <w:top w:w="28" w:type="dxa"/>
          <w:left w:w="28" w:type="dxa"/>
          <w:bottom w:w="28" w:type="dxa"/>
          <w:right w:w="28" w:type="dxa"/>
        </w:tblCellMar>
      </w:tblPr>
      <w:tblGrid>
        <w:gridCol w:w="940"/>
        <w:gridCol w:w="827"/>
        <w:gridCol w:w="1173"/>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Legal and Compliance Risks</w:t>
            </w:r>
          </w:p>
        </w:tc>
      </w:tr>
    </w:tbl>
    <w:p>
      <w:pPr>
        <w:pStyle w:val="TextBody"/>
        <w:bidi w:val="0"/>
        <w:spacing w:lineRule="auto" w:line="288" w:before="180" w:after="283"/>
        <w:jc w:val="both"/>
        <w:rPr/>
      </w:pPr>
      <w:r>
        <w:rPr>
          <w:rFonts w:ascii="Calibri;sans-serif" w:hAnsi="Calibri;sans-serif"/>
          <w:b/>
          <w:i/>
          <w:color w:val="51555C"/>
          <w:sz w:val="20"/>
        </w:rPr>
        <w:t xml:space="preserve">Provisions in our organizational documents, our Stockholder Rights Agreement </w:t>
      </w:r>
      <w:r>
        <w:rPr>
          <w:rFonts w:ascii="Calibri;sans-serif" w:hAnsi="Calibri;sans-serif"/>
          <w:b w:val="false"/>
          <w:color w:val="51555C"/>
          <w:sz w:val="20"/>
        </w:rPr>
        <w:t>(as described below, the "Rights Agreement")</w:t>
      </w:r>
      <w:r>
        <w:rPr>
          <w:rFonts w:ascii="Calibri;sans-serif" w:hAnsi="Calibri;sans-serif"/>
          <w:b/>
          <w:i/>
          <w:color w:val="51555C"/>
          <w:sz w:val="20"/>
        </w:rPr>
        <w:t>, certain officer compensation arrangements and Delaware law may delay or prevent an acquisition or change of control of our Company that could be deemed beneficial to our stockholders.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Certain provisions in our organizational documents, the Rights Agreement, compensation arrangements with our officers and Delaware law (as summarized below) may have the effect of delaying, deferring, discouraging or preventing an acquisition or change in control of the Company or a change in our management. This includes tender offers for our common stock, proxy contests or other takeover attempts. These anti-takeover effects may discourage transactions that might result in the payment of a premium over the market price for shares of our common stock. Even in the absence of a takeover attempt, the existence of these provisions may adversely affect the prevailing market price of our common stock if they are viewed as discouraging takeover attempts in the future.</w:t>
      </w:r>
    </w:p>
    <w:p>
      <w:pPr>
        <w:pStyle w:val="TextBody"/>
        <w:bidi w:val="0"/>
        <w:spacing w:lineRule="auto" w:line="288" w:before="180" w:after="283"/>
        <w:jc w:val="both"/>
        <w:rPr/>
      </w:pPr>
      <w:r>
        <w:rPr>
          <w:rFonts w:ascii="Calibri;sans-serif" w:hAnsi="Calibri;sans-serif"/>
          <w:b w:val="false"/>
          <w:i/>
          <w:color w:val="51555C"/>
          <w:sz w:val="20"/>
        </w:rPr>
        <w:t>Certificate of Incorporation and Bylaw provisions.</w:t>
      </w:r>
      <w:r>
        <w:rPr>
          <w:color w:val="51555C"/>
        </w:rPr>
        <w:t xml:space="preserve"> </w:t>
      </w:r>
      <w:r>
        <w:rPr>
          <w:rFonts w:ascii="Calibri;sans-serif" w:hAnsi="Calibri;sans-serif"/>
          <w:b w:val="false"/>
          <w:color w:val="51555C"/>
          <w:sz w:val="20"/>
        </w:rPr>
        <w:t>The Board of Directors is divided into three classes of directors, as nearly equal in number as possible, with each class serving a staggered term of three years. The classification of directors will have the effect of making it more difficult and time-consuming for stockholders to change the composition of the Board of Directors, could discourage a third-party from making a tender offer or otherwise attempting to obtain control of the Company and may maintain the incumbency of the Board of Directors.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Our Bylaws contain an advance notice procedure for stockholders proposals to be brought before a meeting of stockholders, including any proposed nominations of persons for election to the Board of Directors. The Bylaws may have the effect of precluding the conduct of business at a meeting if the proper procedures are not followed and may discourage or deter a potential acquirer from conducting a solicitation of proxies to elect its own slate of directors or otherwise attempting to obtain control of the Company.</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 xml:space="preserve">The Board of Directors has the authority to issue up to an aggregate of 20,000,000 shares of preferred stock in one 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 or series or the designation of such class or series, without further vote or action by the stockholders. This preferred stock, including the Series A Preferred Stock described below, could have terms that may discourage a potential acquirer from making, without first negotiating with the Board of Directors, an acquisition attempt through which such acquirer may be able to change the composition of the Board of Directors, including a tender offer or other takeover attempt. </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Board of Directors possesses the authority to call and hold emergency special meetings of the Board of Directors with less than forty-eight hours’ notice. This power to hold an emergency special meeting of the Board of Directors on short notice could discourage a potential acquirer from launching a bid to acquire majority ownership of the Company, a proxy solicitation in order to replace the current Board of Directors, or otherwise attempting to obtain control of the Company.</w:t>
      </w:r>
    </w:p>
    <w:p>
      <w:pPr>
        <w:pStyle w:val="TextBody"/>
        <w:bidi w:val="0"/>
        <w:spacing w:lineRule="auto" w:line="288" w:before="180" w:after="283"/>
        <w:jc w:val="both"/>
        <w:rPr/>
      </w:pPr>
      <w:r>
        <w:rPr>
          <w:rFonts w:ascii="Calibri;sans-serif" w:hAnsi="Calibri;sans-serif"/>
          <w:b w:val="false"/>
          <w:i/>
          <w:color w:val="51555C"/>
          <w:sz w:val="20"/>
        </w:rPr>
        <w:t xml:space="preserve">Stockholder Rights Agreement. </w:t>
      </w:r>
      <w:r>
        <w:rPr>
          <w:rFonts w:ascii="Calibri;sans-serif" w:hAnsi="Calibri;sans-serif"/>
          <w:b w:val="false"/>
          <w:color w:val="51555C"/>
          <w:sz w:val="20"/>
        </w:rPr>
        <w:t xml:space="preserve">On October 7, 2022, the Company declared a dividend of one preferred share purchase right for each of the Company’s issued and outstanding shares of Common Stock. The description and terms of these Rights are set forth in the Rights Agreement by and between the Company and American Stock Transfer &amp; Trust Company, LLC. Each Right entitles the registered holder, subject to the terms of the Rights Agreement, to purchase from us one one-thousandth of a share of the Series A Junior Participating Preferred Stock, par value $0.001 per share (the “Series A Preferred Stock”) at a price of $313.00, subject to certain adjustments (as adjusted from time to time, the “Exercise Price”). Under the Rights Agreement, the Rights will become exercisable if an entity, person or group acquires beneficial ownership of 20% or more of the outstanding Common Stock in a transaction not approved by the Board of Directors. In the event that the Rights become exercisable due to the ownership threshold being crossed, each Right will entitle its holder (other than the person, entity or group triggering the Rights Plan, whose rights will become void and will not be exercisable) to purchase additional shares of Common Stock having a then-current market value of twice the Exercise Price, which would likely make any takeover or change of control attempt by such entity, person or group prohibitively expensive. Subject to the terms of the Rights Agreement, the Rights were scheduled to expire on October 2, 2023. On October 2, 2023, the Company amended the Rights Agreement to extend the final expiration date from October 2, 2023 to October 2, 2024. The Company expects to submit the Amendment to the Company’s stockholders for ratification at the Company’s 2024 annual meeting of stockholders.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91540"/>
                <wp:effectExtent l="0" t="0" r="0" b="0"/>
                <wp:wrapNone/>
                <wp:docPr id="189" name="Frame5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4" descr=""/>
                                                <pic:cNvPicPr>
                                                  <a:picLocks noChangeAspect="1" noChangeArrowheads="1"/>
                                                </pic:cNvPicPr>
                                              </pic:nvPicPr>
                                              <pic:blipFill>
                                                <a:blip r:embed="rId137"/>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center"/>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9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4" descr=""/>
                                          <pic:cNvPicPr>
                                            <a:picLocks noChangeAspect="1" noChangeArrowheads="1"/>
                                          </pic:cNvPicPr>
                                        </pic:nvPicPr>
                                        <pic:blipFill>
                                          <a:blip r:embed="rId138"/>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information regarding the Amendment, including a copy of the Amendment, is contained in the Company’s Current Report on Form 8-K filed with the SEC on October 2, 2023.</w:t>
      </w:r>
    </w:p>
    <w:p>
      <w:pPr>
        <w:pStyle w:val="TextBody"/>
        <w:bidi w:val="0"/>
        <w:spacing w:lineRule="auto" w:line="288" w:before="180" w:after="283"/>
        <w:jc w:val="both"/>
        <w:rPr/>
      </w:pPr>
      <w:r>
        <w:rPr>
          <w:rFonts w:ascii="Calibri;sans-serif" w:hAnsi="Calibri;sans-serif"/>
          <w:b w:val="false"/>
          <w:i/>
          <w:color w:val="51555C"/>
          <w:sz w:val="20"/>
        </w:rPr>
        <w:t xml:space="preserve">Officer Compensation Arrangements. </w:t>
      </w:r>
      <w:r>
        <w:rPr>
          <w:rFonts w:ascii="Calibri;sans-serif" w:hAnsi="Calibri;sans-serif"/>
          <w:b w:val="false"/>
          <w:color w:val="51555C"/>
          <w:sz w:val="20"/>
        </w:rPr>
        <w:t>We have entered into an employment agreement with our Chief Executive Officer and retention agreements with certain of our officers, which provide that, upon the occurrence of a change in control of us and either the termination of their employment without cause (as defined) or their resignation for good reason (as defined), such persons would be entitled to certain termination or severance payments made by us (which may include a lump sum payment equal to defined percentages of compensation and accelerated vesting of certain equity stock awards paid in accordance with the terms and conditions of the respective agreement). Such provisions could significantly increase the costs to a third-party acquirer and/or deter such third-party from acquiring us.</w:t>
      </w:r>
    </w:p>
    <w:p>
      <w:pPr>
        <w:pStyle w:val="TextBody"/>
        <w:bidi w:val="0"/>
        <w:spacing w:lineRule="auto" w:line="288" w:before="180" w:after="283"/>
        <w:jc w:val="both"/>
        <w:rPr/>
      </w:pPr>
      <w:r>
        <w:rPr>
          <w:rFonts w:ascii="Calibri;sans-serif" w:hAnsi="Calibri;sans-serif"/>
          <w:b w:val="false"/>
          <w:i/>
          <w:color w:val="51555C"/>
          <w:sz w:val="20"/>
        </w:rPr>
        <w:t>Delaware anti-takeover law</w:t>
      </w:r>
      <w:r>
        <w:rPr>
          <w:rFonts w:ascii="Calibri;sans-serif" w:hAnsi="Calibri;sans-serif"/>
          <w:b w:val="false"/>
          <w:color w:val="51555C"/>
          <w:sz w:val="20"/>
        </w:rPr>
        <w:t>. We are subject to Section 203 of the Delaware General Corporation Law, an anti-takeover law. In general, Section 203 prohibits a publicly held Delaware corporation, such as the Company, from engaging in a “business combination” with an “interested stockholder” for a period of three years following the date the person became an interested stockholder, unless certain criteria are met. Generally, a “business combination” includes a merger, asset or stock sale, or other transaction resulting in a financial benefit to the interested stockholder. Generally, an “interested stockholder” is a person who, together with affiliates and associates, owns, or is an affiliate or associate of the corporation, and within three years prior to the determination of interested stockholder status did own, 15% or more of a corporation’s voting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2. UNREGISTERED SALES OF EQUITY SECURITIES AND USE OF PROCEEDS</w:t>
      </w:r>
    </w:p>
    <w:tbl>
      <w:tblPr>
        <w:tblW w:w="3854" w:type="dxa"/>
        <w:jc w:val="left"/>
        <w:tblInd w:w="0" w:type="dxa"/>
        <w:tblLayout w:type="fixed"/>
        <w:tblCellMar>
          <w:top w:w="28" w:type="dxa"/>
          <w:left w:w="28" w:type="dxa"/>
          <w:bottom w:w="28" w:type="dxa"/>
          <w:right w:w="28" w:type="dxa"/>
        </w:tblCellMar>
      </w:tblPr>
      <w:tblGrid>
        <w:gridCol w:w="1235"/>
        <w:gridCol w:w="1085"/>
        <w:gridCol w:w="1534"/>
      </w:tblGrid>
      <w:tr>
        <w:trPr/>
        <w:tc>
          <w:tcPr>
            <w:tcW w:w="123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Issuer Purchases of Equity Securities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following table provides information about shares of common stock acquired or repurchased during the three months ended September 30, 2023 under the stock repurchase program then in effect, as well as common stock withheld by us to satisfy the minimum tax obligations of employees due upon vesting of restricted stock awards and units.</w:t>
      </w:r>
    </w:p>
    <w:tbl>
      <w:tblPr>
        <w:tblW w:w="9171" w:type="dxa"/>
        <w:jc w:val="left"/>
        <w:tblInd w:w="0" w:type="dxa"/>
        <w:tblLayout w:type="fixed"/>
        <w:tblCellMar>
          <w:top w:w="28" w:type="dxa"/>
          <w:left w:w="28" w:type="dxa"/>
          <w:bottom w:w="28" w:type="dxa"/>
          <w:right w:w="28" w:type="dxa"/>
        </w:tblCellMar>
      </w:tblPr>
      <w:tblGrid>
        <w:gridCol w:w="1439"/>
        <w:gridCol w:w="1262"/>
        <w:gridCol w:w="1289"/>
        <w:gridCol w:w="360"/>
        <w:gridCol w:w="361"/>
        <w:gridCol w:w="316"/>
        <w:gridCol w:w="109"/>
        <w:gridCol w:w="109"/>
        <w:gridCol w:w="109"/>
        <w:gridCol w:w="211"/>
        <w:gridCol w:w="616"/>
        <w:gridCol w:w="109"/>
        <w:gridCol w:w="109"/>
        <w:gridCol w:w="109"/>
        <w:gridCol w:w="109"/>
        <w:gridCol w:w="345"/>
        <w:gridCol w:w="345"/>
        <w:gridCol w:w="346"/>
        <w:gridCol w:w="109"/>
        <w:gridCol w:w="109"/>
        <w:gridCol w:w="109"/>
        <w:gridCol w:w="211"/>
        <w:gridCol w:w="82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Calibri;sans-serif" w:hAnsi="Calibri;sans-serif"/>
                <w:b/>
                <w:color w:val="FFFFFF"/>
                <w:sz w:val="16"/>
              </w:rPr>
            </w:pPr>
            <w:r>
              <w:rPr>
                <w:rFonts w:ascii="Calibri;sans-serif" w:hAnsi="Calibri;sans-serif"/>
                <w:b/>
                <w:color w:val="FFFFFF"/>
                <w:sz w:val="16"/>
              </w:rPr>
              <w:t>Period</w:t>
            </w:r>
          </w:p>
        </w:tc>
        <w:tc>
          <w:tcPr>
            <w:tcW w:w="103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Total</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number</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of shares</w:t>
            </w:r>
          </w:p>
          <w:p>
            <w:pPr>
              <w:pStyle w:val="TableContents"/>
              <w:bidi w:val="0"/>
              <w:spacing w:lineRule="auto" w:line="288" w:before="0" w:after="0"/>
              <w:jc w:val="right"/>
              <w:rPr/>
            </w:pPr>
            <w:r>
              <w:rPr>
                <w:rFonts w:ascii="Calibri;sans-serif" w:hAnsi="Calibri;sans-serif"/>
                <w:b/>
                <w:color w:val="FFFFFF"/>
                <w:sz w:val="16"/>
              </w:rPr>
              <w:t>purchased</w:t>
            </w:r>
            <w:r>
              <w:rPr>
                <w:rFonts w:ascii="Calibri;sans-serif" w:hAnsi="Calibri;sans-serif"/>
                <w:b/>
                <w:color w:val="FFFFFF"/>
                <w:sz w:val="10"/>
              </w:rPr>
              <w:t>(1)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Average</w:t>
              <w:br/>
              <w:t>price</w:t>
              <w:br/>
              <w:t>paid</w:t>
              <w:br/>
              <w:t>per</w:t>
              <w:br/>
              <w:t>share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Total number</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of shares</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purchased as</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part of</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publicly</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announced</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plans or</w:t>
            </w:r>
          </w:p>
          <w:p>
            <w:pPr>
              <w:pStyle w:val="TableContents"/>
              <w:bidi w:val="0"/>
              <w:spacing w:lineRule="auto" w:line="288" w:before="0" w:after="0"/>
              <w:jc w:val="right"/>
              <w:rPr/>
            </w:pPr>
            <w:r>
              <w:rPr>
                <w:rFonts w:ascii="Calibri;sans-serif" w:hAnsi="Calibri;sans-serif"/>
                <w:b/>
                <w:color w:val="FFFFFF"/>
                <w:sz w:val="16"/>
              </w:rPr>
              <w:t>programs</w:t>
            </w:r>
            <w:r>
              <w:rPr>
                <w:rFonts w:ascii="Calibri;sans-serif" w:hAnsi="Calibri;sans-serif"/>
                <w:b/>
                <w:color w:val="FFFFFF"/>
                <w:sz w:val="10"/>
              </w:rPr>
              <w:t>(2)</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Approximate</w:t>
              <w:br/>
              <w:t>dollar value</w:t>
              <w:br/>
              <w:t>of shares</w:t>
              <w:br/>
              <w:t>that may yet</w:t>
              <w:br/>
              <w:t>be purchased</w:t>
              <w:br/>
              <w:t>under the</w:t>
              <w:br/>
              <w:t>plans or</w:t>
              <w:br/>
              <w:t>programs</w:t>
              <w:br/>
              <w:t>(in thousands)</w:t>
            </w:r>
          </w:p>
        </w:tc>
      </w:tr>
      <w:tr>
        <w:trPr/>
        <w:tc>
          <w:tcPr>
            <w:tcW w:w="39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Beginning balance, July 1, 2023</w:t>
            </w:r>
          </w:p>
        </w:tc>
        <w:tc>
          <w:tcPr>
            <w:tcW w:w="103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July 1, 2023 through July 31, 2023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August 1, 2023 through August 31, 2023</w:t>
            </w:r>
          </w:p>
        </w:tc>
        <w:tc>
          <w:tcPr>
            <w:tcW w:w="7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25,710 </w:t>
            </w:r>
          </w:p>
        </w:tc>
        <w:tc>
          <w:tcPr>
            <w:tcW w:w="3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73.16 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September 1, 2023 through September 30, 2023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Total</w:t>
            </w:r>
          </w:p>
        </w:tc>
        <w:tc>
          <w:tcPr>
            <w:tcW w:w="72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25,710 </w:t>
            </w:r>
          </w:p>
        </w:tc>
        <w:tc>
          <w:tcPr>
            <w:tcW w:w="3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6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73.16 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3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250,000 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(1)Includes 25,710 shares in August withheld by us to satisfy the minimum tax obligations of employees due upon vesting of restricted stock awards and units. The level of this acquisition activity varies from period to period based upon the timing of award grants and vesting.</w:t>
      </w:r>
    </w:p>
    <w:p>
      <w:pPr>
        <w:pStyle w:val="TextBody"/>
        <w:bidi w:val="0"/>
        <w:spacing w:lineRule="auto" w:line="288" w:before="0" w:after="0"/>
        <w:ind w:left="0" w:right="0" w:hanging="360"/>
        <w:jc w:val="both"/>
        <w:rPr>
          <w:rFonts w:ascii="Calibri;sans-serif" w:hAnsi="Calibri;sans-serif"/>
          <w:b w:val="false"/>
          <w:color w:val="51555C"/>
          <w:sz w:val="16"/>
        </w:rPr>
      </w:pPr>
      <w:r>
        <w:rPr>
          <w:rFonts w:ascii="Calibri;sans-serif" w:hAnsi="Calibri;sans-serif"/>
          <w:b w:val="false"/>
          <w:color w:val="51555C"/>
          <w:sz w:val="16"/>
        </w:rPr>
        <w:t>(2)In December 2021, our Board of Directors reauthorized and replenished our stock repurchase program to authorize us to purchase up to $250.0 million of our outstanding shares of common stock. The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Calibri;sans-serif" w:hAnsi="Calibri;sans-serif"/>
          <w:b/>
          <w:color w:val="004054"/>
          <w:sz w:val="32"/>
        </w:rPr>
      </w:pPr>
      <w:r>
        <w:rPr>
          <w:rFonts w:ascii="Calibri;sans-serif" w:hAnsi="Calibri;sans-serif"/>
          <w:b/>
          <w:color w:val="004054"/>
          <w:sz w:val="3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50" w:type="dxa"/>
        <w:jc w:val="left"/>
        <w:tblInd w:w="0" w:type="dxa"/>
        <w:tblLayout w:type="fixed"/>
        <w:tblCellMar>
          <w:top w:w="28" w:type="dxa"/>
          <w:left w:w="28" w:type="dxa"/>
          <w:bottom w:w="28" w:type="dxa"/>
          <w:right w:w="28" w:type="dxa"/>
        </w:tblCellMar>
      </w:tblPr>
      <w:tblGrid>
        <w:gridCol w:w="1585"/>
        <w:gridCol w:w="1392"/>
        <w:gridCol w:w="1973"/>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6880"/>
                <w:sz w:val="24"/>
              </w:rPr>
            </w:pPr>
            <w:r>
              <w:rPr>
                <w:rFonts w:ascii="Calibri;sans-serif" w:hAnsi="Calibri;sans-serif"/>
                <w:b/>
                <w:color w:val="006880"/>
                <w:sz w:val="24"/>
              </w:rPr>
              <w:t>Trading Arrangements Adopted or Terminated</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During the three months ended September 30, 2023, none of the Company’s directors or executive officers adopted or terminated any contract, instruction or written plan for the purchase or sale of Company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91540"/>
                <wp:effectExtent l="0" t="0" r="0" b="0"/>
                <wp:wrapNone/>
                <wp:docPr id="192" name="Frame5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5" descr=""/>
                                                <pic:cNvPicPr>
                                                  <a:picLocks noChangeAspect="1" noChangeArrowheads="1"/>
                                                </pic:cNvPicPr>
                                              </pic:nvPicPr>
                                              <pic:blipFill>
                                                <a:blip r:embed="rId139"/>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9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5" descr=""/>
                                          <pic:cNvPicPr>
                                            <a:picLocks noChangeAspect="1" noChangeArrowheads="1"/>
                                          </pic:cNvPicPr>
                                        </pic:nvPicPr>
                                        <pic:blipFill>
                                          <a:blip r:embed="rId140"/>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0" w:after="0"/>
        <w:jc w:val="left"/>
        <w:rPr>
          <w:rFonts w:ascii="Calibri;sans-serif" w:hAnsi="Calibri;sans-serif"/>
          <w:b/>
          <w:color w:val="004054"/>
          <w:sz w:val="32"/>
        </w:rPr>
      </w:pPr>
      <w:r>
        <w:rPr>
          <w:rFonts w:ascii="Calibri;sans-serif" w:hAnsi="Calibri;sans-serif"/>
          <w:b/>
          <w:color w:val="004054"/>
          <w:sz w:val="32"/>
        </w:rPr>
        <w:t>ITEM 6. EXHIBITS</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The exhibits listed below are filed or incorporated by reference as part of this Quarterly Report on Form 10-Q:</w:t>
      </w:r>
    </w:p>
    <w:tbl>
      <w:tblPr>
        <w:tblW w:w="10205" w:type="dxa"/>
        <w:jc w:val="left"/>
        <w:tblInd w:w="0" w:type="dxa"/>
        <w:tblLayout w:type="fixed"/>
        <w:tblCellMar>
          <w:top w:w="28" w:type="dxa"/>
          <w:left w:w="28" w:type="dxa"/>
          <w:bottom w:w="28" w:type="dxa"/>
          <w:right w:w="28" w:type="dxa"/>
        </w:tblCellMar>
      </w:tblPr>
      <w:tblGrid>
        <w:gridCol w:w="258"/>
        <w:gridCol w:w="227"/>
        <w:gridCol w:w="228"/>
        <w:gridCol w:w="109"/>
        <w:gridCol w:w="109"/>
        <w:gridCol w:w="109"/>
        <w:gridCol w:w="1825"/>
        <w:gridCol w:w="1492"/>
        <w:gridCol w:w="1497"/>
        <w:gridCol w:w="109"/>
        <w:gridCol w:w="109"/>
        <w:gridCol w:w="109"/>
        <w:gridCol w:w="283"/>
        <w:gridCol w:w="283"/>
        <w:gridCol w:w="285"/>
        <w:gridCol w:w="109"/>
        <w:gridCol w:w="109"/>
        <w:gridCol w:w="109"/>
        <w:gridCol w:w="179"/>
        <w:gridCol w:w="179"/>
        <w:gridCol w:w="180"/>
        <w:gridCol w:w="109"/>
        <w:gridCol w:w="109"/>
        <w:gridCol w:w="109"/>
        <w:gridCol w:w="394"/>
        <w:gridCol w:w="284"/>
        <w:gridCol w:w="265"/>
        <w:gridCol w:w="109"/>
        <w:gridCol w:w="109"/>
        <w:gridCol w:w="109"/>
        <w:gridCol w:w="230"/>
        <w:gridCol w:w="195"/>
        <w:gridCol w:w="286"/>
      </w:tblGrid>
      <w:tr>
        <w:trPr/>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1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Filed In</w:t>
            </w:r>
          </w:p>
        </w:tc>
      </w:tr>
      <w:tr>
        <w:trPr/>
        <w:tc>
          <w:tcPr>
            <w:tcW w:w="71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Calibri;sans-serif" w:hAnsi="Calibri;sans-serif"/>
                <w:b/>
                <w:color w:val="FFFFFF"/>
                <w:sz w:val="16"/>
              </w:rPr>
            </w:pPr>
            <w:r>
              <w:rPr>
                <w:rFonts w:ascii="Calibri;sans-serif" w:hAnsi="Calibr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Filed Herewith</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Exhibit 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Calibri;sans-serif" w:hAnsi="Calibri;sans-serif"/>
                <w:b/>
                <w:color w:val="FFFFFF"/>
                <w:sz w:val="16"/>
              </w:rPr>
            </w:pPr>
            <w:r>
              <w:rPr>
                <w:rFonts w:ascii="Calibri;sans-serif" w:hAnsi="Calibri;sans-serif"/>
                <w:b/>
                <w:color w:val="FFFFFF"/>
                <w:sz w:val="16"/>
              </w:rPr>
              <w:t>Filing Date</w:t>
            </w:r>
          </w:p>
        </w:tc>
      </w:tr>
      <w:tr>
        <w:trPr/>
        <w:tc>
          <w:tcPr>
            <w:tcW w:w="71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pPr>
            <w:hyperlink r:id="rId141">
              <w:r>
                <w:rPr>
                  <w:rStyle w:val="InternetLink"/>
                  <w:rFonts w:ascii="Calibri;sans-serif" w:hAnsi="Calibri;sans-serif"/>
                  <w:b w:val="false"/>
                  <w:color w:val="7A04DD"/>
                  <w:sz w:val="20"/>
                  <w:u w:val="single"/>
                </w:rPr>
                <w:t>4.1</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hyperlink r:id="rId142">
              <w:r>
                <w:rPr>
                  <w:rStyle w:val="InternetLink"/>
                  <w:rFonts w:ascii="Calibri;sans-serif" w:hAnsi="Calibri;sans-serif"/>
                  <w:b w:val="false"/>
                  <w:color w:val="7A04DD"/>
                  <w:sz w:val="20"/>
                  <w:u w:val="single"/>
                </w:rPr>
                <w:t>Amendment to Stockholder Rights Agreement, dated as of October 2, 2023, between Blackbaud, Inc. and Equiniti Trust Company, LLC (f/k/a American Stock Transfer &amp; Trust Company, LLC), as Rights Agent.</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8-K</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4.2</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10/02/2023</w:t>
            </w:r>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r>
              <w:fldChar w:fldCharType="begin"/>
            </w:r>
            <w:r>
              <w:rPr>
                <w:rStyle w:val="InternetLink"/>
                <w:sz w:val="20"/>
                <w:u w:val="single"/>
                <w:b w:val="false"/>
                <w:rFonts w:ascii="Calibri;sans-serif" w:hAnsi="Calibri;sans-serif"/>
                <w:color w:val="7A04DD"/>
              </w:rPr>
              <w:instrText xml:space="preserve"> HYPERLINK "https://www.sec.gov/ix?doc=/Archives/edgar/data/1280058/000128005823000017/blkb-20230425.htm" \l "i52e0ad3caff945fe984b6ca0662f47d3_313"</w:instrText>
            </w:r>
            <w:r>
              <w:rPr>
                <w:rStyle w:val="InternetLink"/>
                <w:sz w:val="20"/>
                <w:u w:val="single"/>
                <w:b w:val="false"/>
                <w:rFonts w:ascii="Calibri;sans-serif" w:hAnsi="Calibri;sans-serif"/>
                <w:color w:val="7A04DD"/>
              </w:rPr>
              <w:fldChar w:fldCharType="separate"/>
            </w:r>
            <w:r>
              <w:rPr>
                <w:rStyle w:val="InternetLink"/>
                <w:rFonts w:ascii="Calibri;sans-serif" w:hAnsi="Calibri;sans-serif"/>
                <w:b w:val="false"/>
                <w:color w:val="7A04DD"/>
                <w:sz w:val="20"/>
                <w:u w:val="single"/>
              </w:rPr>
              <w:t>10.1</w:t>
            </w:r>
            <w:r>
              <w:rPr>
                <w:rStyle w:val="InternetLink"/>
                <w:sz w:val="20"/>
                <w:u w:val="single"/>
                <w:b w:val="false"/>
                <w:rFonts w:ascii="Calibri;sans-serif" w:hAnsi="Calibri;sans-serif"/>
                <w:color w:val="7A04DD"/>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Calibri;sans-serif" w:hAnsi="Calibri;sans-serif"/>
                <w:color w:val="7A04DD"/>
              </w:rPr>
              <w:instrText xml:space="preserve"> HYPERLINK "https://www.sec.gov/ix?doc=/Archives/edgar/data/1280058/000128005823000017/blkb-20230425.htm" \l "i52e0ad3caff945fe984b6ca0662f47d3_313"</w:instrText>
            </w:r>
            <w:r>
              <w:rPr>
                <w:rStyle w:val="InternetLink"/>
                <w:sz w:val="20"/>
                <w:u w:val="single"/>
                <w:b w:val="false"/>
                <w:rFonts w:ascii="Calibri;sans-serif" w:hAnsi="Calibri;sans-serif"/>
                <w:color w:val="7A04DD"/>
              </w:rPr>
              <w:fldChar w:fldCharType="separate"/>
            </w:r>
            <w:r>
              <w:rPr>
                <w:rStyle w:val="InternetLink"/>
                <w:rFonts w:ascii="Calibri;sans-serif" w:hAnsi="Calibri;sans-serif"/>
                <w:b w:val="false"/>
                <w:color w:val="7A04DD"/>
                <w:sz w:val="20"/>
                <w:u w:val="single"/>
              </w:rPr>
              <w:t>Amended and Restated Blackbaud, Inc. 2016 Equity and Incentive Compensation Plan</w:t>
            </w:r>
            <w:r>
              <w:rPr>
                <w:rStyle w:val="InternetLink"/>
                <w:sz w:val="20"/>
                <w:u w:val="single"/>
                <w:b w:val="false"/>
                <w:rFonts w:ascii="Calibri;sans-serif" w:hAnsi="Calibri;sans-serif"/>
                <w:color w:val="7A04DD"/>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DEF 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Appendix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4/25/2023</w:t>
            </w:r>
          </w:p>
        </w:tc>
      </w:tr>
      <w:tr>
        <w:trPr/>
        <w:tc>
          <w:tcPr>
            <w:tcW w:w="71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3202310-qexx311.htm">
              <w:r>
                <w:rPr>
                  <w:rStyle w:val="InternetLink"/>
                  <w:rFonts w:ascii="Calibri;sans-serif" w:hAnsi="Calibri;sans-serif"/>
                  <w:b w:val="false"/>
                  <w:color w:val="7A04DD"/>
                  <w:sz w:val="20"/>
                  <w:u w:val="single"/>
                </w:rPr>
                <w:t>31.1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3202310-qexx311.htm">
              <w:r>
                <w:rPr>
                  <w:rStyle w:val="InternetLink"/>
                  <w:rFonts w:ascii="Calibri;sans-serif" w:hAnsi="Calibri;sans-serif"/>
                  <w:b w:val="false"/>
                  <w:color w:val="7A04DD"/>
                  <w:sz w:val="20"/>
                  <w:u w:val="single"/>
                </w:rPr>
                <w:t>Certification by the Chief Executive Officer pursuant to Section 302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3202310-qexx312.htm">
              <w:r>
                <w:rPr>
                  <w:rStyle w:val="InternetLink"/>
                  <w:rFonts w:ascii="Calibri;sans-serif" w:hAnsi="Calibri;sans-serif"/>
                  <w:b w:val="false"/>
                  <w:color w:val="7A04DD"/>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3202310-qexx312.htm">
              <w:r>
                <w:rPr>
                  <w:rStyle w:val="InternetLink"/>
                  <w:rFonts w:ascii="Calibri;sans-serif" w:hAnsi="Calibri;sans-serif"/>
                  <w:b w:val="false"/>
                  <w:color w:val="7A04DD"/>
                  <w:sz w:val="20"/>
                  <w:u w:val="single"/>
                </w:rPr>
                <w:t>Certification by the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3202310-qexx321.htm">
              <w:r>
                <w:rPr>
                  <w:rStyle w:val="InternetLink"/>
                  <w:rFonts w:ascii="Calibri;sans-serif" w:hAnsi="Calibri;sans-serif"/>
                  <w:b w:val="false"/>
                  <w:color w:val="7A04DD"/>
                  <w:sz w:val="20"/>
                  <w:u w:val="single"/>
                </w:rPr>
                <w:t>32.1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3202310-qexx321.htm">
              <w:r>
                <w:rPr>
                  <w:rStyle w:val="InternetLink"/>
                  <w:rFonts w:ascii="Calibri;sans-serif" w:hAnsi="Calibri;sans-serif"/>
                  <w:b w:val="false"/>
                  <w:color w:val="7A04DD"/>
                  <w:sz w:val="20"/>
                  <w:u w:val="single"/>
                </w:rPr>
                <w:t>Certification by the Chief Executive Officer pursuant to 18 U.S.C. 1350 as adopted pursuant to Section 906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3202310-qexx322.htm">
              <w:r>
                <w:rPr>
                  <w:rStyle w:val="InternetLink"/>
                  <w:rFonts w:ascii="Calibri;sans-serif" w:hAnsi="Calibri;sans-serif"/>
                  <w:b w:val="false"/>
                  <w:color w:val="7A04DD"/>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3202310-qexx322.htm">
              <w:r>
                <w:rPr>
                  <w:rStyle w:val="InternetLink"/>
                  <w:rFonts w:ascii="Calibri;sans-serif" w:hAnsi="Calibri;sans-serif"/>
                  <w:b w:val="false"/>
                  <w:color w:val="7A04DD"/>
                  <w:sz w:val="20"/>
                  <w:u w:val="single"/>
                </w:rPr>
                <w:t>Certification by the Chief Financial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101.INS</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Instance Document - the Instance Document does not appear in the interactive data file because its XBRL tags are embedded within the Inline XBRL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101.CAL</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Calculation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101.LAB</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Label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Calibri;sans-serif" w:hAnsi="Calibri;sans-serif"/>
                <w:b w:val="false"/>
                <w:color w:val="51555C"/>
                <w:sz w:val="20"/>
              </w:rPr>
            </w:pPr>
            <w:r>
              <w:rPr>
                <w:rFonts w:ascii="Calibri;sans-serif" w:hAnsi="Calibri;sans-serif"/>
                <w:b w:val="false"/>
                <w:color w:val="51555C"/>
                <w:sz w:val="20"/>
              </w:rPr>
              <w:t>104</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Cover Page Interactive Data File (formatted as Inline XBRL and contained in Exhibit 101).</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center"/>
              <w:rPr>
                <w:rFonts w:ascii="Calibri;sans-serif" w:hAnsi="Calibri;sans-serif"/>
                <w:b w:val="false"/>
                <w:color w:val="51555C"/>
                <w:sz w:val="20"/>
              </w:rPr>
            </w:pPr>
            <w:r>
              <w:rPr>
                <w:rFonts w:ascii="Calibri;sans-serif" w:hAnsi="Calibri;sans-serif"/>
                <w:b w:val="false"/>
                <w:color w:val="51555C"/>
                <w:sz w:val="20"/>
              </w:rPr>
              <w:t>X</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91540"/>
                <wp:effectExtent l="0" t="0" r="0" b="0"/>
                <wp:wrapNone/>
                <wp:docPr id="195" name="Frame5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88" w:type="dxa"/>
                              <w:jc w:val="left"/>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9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6" descr=""/>
                                                <pic:cNvPicPr>
                                                  <a:picLocks noChangeAspect="1" noChangeArrowheads="1"/>
                                                </pic:cNvPicPr>
                                              </pic:nvPicPr>
                                              <pic:blipFill>
                                                <a:blip r:embed="rId143"/>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88" w:type="dxa"/>
                        <w:jc w:val="left"/>
                        <w:tblInd w:w="0" w:type="dxa"/>
                        <w:tblLayout w:type="fixed"/>
                        <w:tblCellMar>
                          <w:top w:w="28" w:type="dxa"/>
                          <w:left w:w="28" w:type="dxa"/>
                          <w:bottom w:w="28" w:type="dxa"/>
                          <w:right w:w="28" w:type="dxa"/>
                        </w:tblCellMar>
                      </w:tblPr>
                      <w:tblGrid>
                        <w:gridCol w:w="788"/>
                        <w:gridCol w:w="690"/>
                        <w:gridCol w:w="697"/>
                        <w:gridCol w:w="413"/>
                        <w:gridCol w:w="413"/>
                        <w:gridCol w:w="415"/>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Third Quarter 2023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9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6" descr=""/>
                                          <pic:cNvPicPr>
                                            <a:picLocks noChangeAspect="1" noChangeArrowheads="1"/>
                                          </pic:cNvPicPr>
                                        </pic:nvPicPr>
                                        <pic:blipFill>
                                          <a:blip r:embed="rId144"/>
                                          <a:stretch>
                                            <a:fillRect/>
                                          </a:stretch>
                                        </pic:blipFill>
                                        <pic:spPr bwMode="auto">
                                          <a:xfrm>
                                            <a:off x="0" y="0"/>
                                            <a:ext cx="73342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Calibri;sans-serif" w:hAnsi="Calibri;sans-serif"/>
                                <w:b w:val="false"/>
                                <w:color w:val="51555C"/>
                                <w:sz w:val="16"/>
                              </w:rPr>
                            </w:pPr>
                            <w:r>
                              <w:rPr>
                                <w:rFonts w:ascii="Calibri;sans-serif" w:hAnsi="Calibri;sans-serif"/>
                                <w:b w:val="false"/>
                                <w:color w:val="51555C"/>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9fc2f01d4d454122a00115b63cf3f9d0_16">
        <w:r>
          <w:rPr>
            <w:rStyle w:val="InternetLink"/>
            <w:rFonts w:ascii="Calibri;sans-serif" w:hAnsi="Calibr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tbl>
      <w:tblPr>
        <w:tblW w:w="3324"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721"/>
        <w:gridCol w:w="721"/>
        <w:gridCol w:w="1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9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7" descr=""/>
                          <pic:cNvPicPr>
                            <a:picLocks noChangeAspect="1" noChangeArrowheads="1"/>
                          </pic:cNvPicPr>
                        </pic:nvPicPr>
                        <pic:blipFill>
                          <a:blip r:embed="rId145"/>
                          <a:stretch>
                            <a:fillRect/>
                          </a:stretch>
                        </pic:blipFill>
                        <pic:spPr bwMode="auto">
                          <a:xfrm>
                            <a:off x="0" y="0"/>
                            <a:ext cx="276225" cy="276225"/>
                          </a:xfrm>
                          <a:prstGeom prst="rect">
                            <a:avLst/>
                          </a:prstGeom>
                        </pic:spPr>
                      </pic:pic>
                    </a:graphicData>
                  </a:graphic>
                </wp:inline>
              </w:drawing>
            </w:r>
          </w:p>
        </w:tc>
        <w:tc>
          <w:tcPr>
            <w:tcW w:w="24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0535A"/>
                <w:sz w:val="44"/>
              </w:rPr>
            </w:pPr>
            <w:r>
              <w:rPr>
                <w:rFonts w:ascii="Calibri;sans-serif" w:hAnsi="Calibri;sans-serif"/>
                <w:b/>
                <w:color w:val="50535A"/>
                <w:sz w:val="44"/>
              </w:rPr>
              <w:t>SIGNATURES</w:t>
            </w:r>
          </w:p>
        </w:tc>
      </w:tr>
    </w:tbl>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Pursuant to the requirements of the Securities Exchange Act of 1934, the Registrant has duly caused this Report to be signed on its behalf by the undersigned thereunto duly authorized.</w:t>
      </w:r>
    </w:p>
    <w:tbl>
      <w:tblPr>
        <w:tblW w:w="6974" w:type="dxa"/>
        <w:jc w:val="center"/>
        <w:tblInd w:w="0" w:type="dxa"/>
        <w:tblLayout w:type="fixed"/>
        <w:tblCellMar>
          <w:top w:w="28" w:type="dxa"/>
          <w:left w:w="28" w:type="dxa"/>
          <w:bottom w:w="28" w:type="dxa"/>
          <w:right w:w="28" w:type="dxa"/>
        </w:tblCellMar>
      </w:tblPr>
      <w:tblGrid>
        <w:gridCol w:w="190"/>
        <w:gridCol w:w="167"/>
        <w:gridCol w:w="168"/>
        <w:gridCol w:w="529"/>
        <w:gridCol w:w="529"/>
        <w:gridCol w:w="531"/>
        <w:gridCol w:w="240"/>
        <w:gridCol w:w="240"/>
        <w:gridCol w:w="240"/>
        <w:gridCol w:w="1205"/>
        <w:gridCol w:w="1205"/>
        <w:gridCol w:w="17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51555C"/>
                <w:sz w:val="20"/>
              </w:rPr>
            </w:pPr>
            <w:r>
              <w:rPr>
                <w:rFonts w:ascii="Calibri;sans-serif" w:hAnsi="Calibri;sans-serif"/>
                <w:b/>
                <w:color w:val="51555C"/>
                <w:sz w:val="20"/>
              </w:rPr>
              <w:t>BLACKBAUD, INC.</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November 1, 2023</w:t>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By:</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President and Chief Executive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November 1, 2023</w:t>
            </w:r>
          </w:p>
        </w:tc>
        <w:tc>
          <w:tcPr>
            <w:tcW w:w="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By:</w:t>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91540"/>
                <wp:effectExtent l="0" t="0" r="0" b="0"/>
                <wp:wrapNone/>
                <wp:docPr id="199" name="Frame5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0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8" descr=""/>
                                                <pic:cNvPicPr>
                                                  <a:picLocks noChangeAspect="1" noChangeArrowheads="1"/>
                                                </pic:cNvPicPr>
                                              </pic:nvPicPr>
                                              <pic:blipFill>
                                                <a:blip r:embed="rId146"/>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3773"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646"/>
                        <w:gridCol w:w="646"/>
                        <w:gridCol w:w="9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56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0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88" descr=""/>
                                          <pic:cNvPicPr>
                                            <a:picLocks noChangeAspect="1" noChangeArrowheads="1"/>
                                          </pic:cNvPicPr>
                                        </pic:nvPicPr>
                                        <pic:blipFill>
                                          <a:blip r:embed="rId147"/>
                                          <a:stretch>
                                            <a:fillRect/>
                                          </a:stretch>
                                        </pic:blipFill>
                                        <pic:spPr bwMode="auto">
                                          <a:xfrm>
                                            <a:off x="0" y="0"/>
                                            <a:ext cx="723900" cy="190500"/>
                                          </a:xfrm>
                                          <a:prstGeom prst="rect">
                                            <a:avLst/>
                                          </a:prstGeom>
                                        </pic:spPr>
                                      </pic:pic>
                                    </a:graphicData>
                                  </a:graphic>
                                </wp:inline>
                              </w:drawing>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51555C"/>
                                <w:sz w:val="16"/>
                              </w:rPr>
                            </w:pPr>
                            <w:r>
                              <w:rPr>
                                <w:rFonts w:ascii="Calibri;sans-serif" w:hAnsi="Calibri;sans-serif"/>
                                <w:b w:val="false"/>
                                <w:color w:val="51555C"/>
                                <w:sz w:val="16"/>
                              </w:rPr>
                              <w:t>Third Quarter 2023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51555C"/>
          <w:sz w:val="20"/>
        </w:rPr>
      </w:pPr>
      <w:r>
        <w:rPr>
          <w:rFonts w:ascii="Calibri;sans-serif" w:hAnsi="Calibri;sans-serif"/>
          <w:b/>
          <w:color w:val="51555C"/>
          <w:sz w:val="20"/>
        </w:rPr>
        <w:t>EXHIBIT 31.1</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SECTION 302 OF THE SARBANES-OXLEY ACT OF 2002</w:t>
      </w:r>
    </w:p>
    <w:p>
      <w:pPr>
        <w:pStyle w:val="TextBody"/>
        <w:bidi w:val="0"/>
        <w:spacing w:lineRule="auto" w:line="288" w:before="180" w:after="283"/>
        <w:jc w:val="left"/>
        <w:rPr>
          <w:rFonts w:ascii="Calibri;sans-serif" w:hAnsi="Calibri;sans-serif"/>
          <w:b w:val="false"/>
          <w:color w:val="51555C"/>
          <w:sz w:val="20"/>
        </w:rPr>
      </w:pPr>
      <w:r>
        <w:rPr>
          <w:rFonts w:ascii="Calibri;sans-serif" w:hAnsi="Calibri;sans-serif"/>
          <w:b w:val="false"/>
          <w:color w:val="51555C"/>
          <w:sz w:val="20"/>
        </w:rPr>
        <w:t>I, Michael P. Gianoni, certify that: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5831" w:type="dxa"/>
        <w:jc w:val="center"/>
        <w:tblInd w:w="0" w:type="dxa"/>
        <w:tblLayout w:type="fixed"/>
        <w:tblCellMar>
          <w:top w:w="28" w:type="dxa"/>
          <w:left w:w="28" w:type="dxa"/>
          <w:bottom w:w="28" w:type="dxa"/>
          <w:right w:w="28" w:type="dxa"/>
        </w:tblCellMar>
      </w:tblPr>
      <w:tblGrid>
        <w:gridCol w:w="190"/>
        <w:gridCol w:w="167"/>
        <w:gridCol w:w="168"/>
        <w:gridCol w:w="529"/>
        <w:gridCol w:w="529"/>
        <w:gridCol w:w="531"/>
        <w:gridCol w:w="115"/>
        <w:gridCol w:w="115"/>
        <w:gridCol w:w="115"/>
        <w:gridCol w:w="109"/>
        <w:gridCol w:w="109"/>
        <w:gridCol w:w="109"/>
        <w:gridCol w:w="890"/>
        <w:gridCol w:w="890"/>
        <w:gridCol w:w="1265"/>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November 1, 2023</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President and Chief Executive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20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51555C"/>
          <w:sz w:val="20"/>
        </w:rPr>
      </w:pPr>
      <w:r>
        <w:rPr>
          <w:rFonts w:ascii="Calibri;sans-serif" w:hAnsi="Calibri;sans-serif"/>
          <w:b/>
          <w:color w:val="51555C"/>
          <w:sz w:val="20"/>
        </w:rPr>
        <w:t>EXHIBIT 31.2</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SECTION 302 OF THE SARBANES-OXLEY ACT OF 2002</w:t>
      </w:r>
    </w:p>
    <w:p>
      <w:pPr>
        <w:pStyle w:val="TextBody"/>
        <w:bidi w:val="0"/>
        <w:spacing w:lineRule="auto" w:line="288" w:before="180" w:after="283"/>
        <w:jc w:val="left"/>
        <w:rPr>
          <w:rFonts w:ascii="Calibri;sans-serif" w:hAnsi="Calibri;sans-serif"/>
          <w:b w:val="false"/>
          <w:color w:val="51555C"/>
          <w:sz w:val="20"/>
        </w:rPr>
      </w:pPr>
      <w:r>
        <w:rPr>
          <w:rFonts w:ascii="Calibri;sans-serif" w:hAnsi="Calibri;sans-serif"/>
          <w:b w:val="false"/>
          <w:color w:val="51555C"/>
          <w:sz w:val="20"/>
        </w:rPr>
        <w:t>I, Anthony W. Boor, certify that: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Calibri;sans-serif" w:hAnsi="Calibri;sans-serif"/>
          <w:b w:val="false"/>
          <w:color w:val="51555C"/>
          <w:sz w:val="20"/>
        </w:rPr>
      </w:pPr>
      <w:r>
        <w:rPr>
          <w:rFonts w:ascii="Calibri;sans-serif" w:hAnsi="Calibr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6926" w:type="dxa"/>
        <w:jc w:val="center"/>
        <w:tblInd w:w="0" w:type="dxa"/>
        <w:tblLayout w:type="fixed"/>
        <w:tblCellMar>
          <w:top w:w="28" w:type="dxa"/>
          <w:left w:w="28" w:type="dxa"/>
          <w:bottom w:w="28" w:type="dxa"/>
          <w:right w:w="28" w:type="dxa"/>
        </w:tblCellMar>
      </w:tblPr>
      <w:tblGrid>
        <w:gridCol w:w="190"/>
        <w:gridCol w:w="167"/>
        <w:gridCol w:w="168"/>
        <w:gridCol w:w="529"/>
        <w:gridCol w:w="529"/>
        <w:gridCol w:w="531"/>
        <w:gridCol w:w="115"/>
        <w:gridCol w:w="115"/>
        <w:gridCol w:w="115"/>
        <w:gridCol w:w="109"/>
        <w:gridCol w:w="109"/>
        <w:gridCol w:w="109"/>
        <w:gridCol w:w="1209"/>
        <w:gridCol w:w="1209"/>
        <w:gridCol w:w="1722"/>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November 1, 2023</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20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51555C"/>
          <w:sz w:val="20"/>
        </w:rPr>
      </w:pPr>
      <w:r>
        <w:rPr>
          <w:rFonts w:ascii="Calibri;sans-serif" w:hAnsi="Calibri;sans-serif"/>
          <w:b/>
          <w:color w:val="51555C"/>
          <w:sz w:val="20"/>
        </w:rPr>
        <w:t>EXHIBIT 32.1</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18 U.S.C. SECTION 1350, AS ADOPTED</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PURSUANT TO SECTION 906 OF THE SARBANES-OXLEY ACT OF 2002</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connection with the Quarterly Report on Form 10-Q of Blackbaud, Inc. (the “Company”) for the period ended September 30, 2023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5831" w:type="dxa"/>
        <w:jc w:val="left"/>
        <w:tblInd w:w="0" w:type="dxa"/>
        <w:tblLayout w:type="fixed"/>
        <w:tblCellMar>
          <w:top w:w="28" w:type="dxa"/>
          <w:left w:w="28" w:type="dxa"/>
          <w:bottom w:w="28" w:type="dxa"/>
          <w:right w:w="28" w:type="dxa"/>
        </w:tblCellMar>
      </w:tblPr>
      <w:tblGrid>
        <w:gridCol w:w="190"/>
        <w:gridCol w:w="167"/>
        <w:gridCol w:w="168"/>
        <w:gridCol w:w="529"/>
        <w:gridCol w:w="529"/>
        <w:gridCol w:w="531"/>
        <w:gridCol w:w="115"/>
        <w:gridCol w:w="115"/>
        <w:gridCol w:w="115"/>
        <w:gridCol w:w="109"/>
        <w:gridCol w:w="109"/>
        <w:gridCol w:w="109"/>
        <w:gridCol w:w="890"/>
        <w:gridCol w:w="890"/>
        <w:gridCol w:w="1265"/>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November 1, 2023</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Michael P. Gianoni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President and Chief Executive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20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51555C"/>
          <w:sz w:val="20"/>
        </w:rPr>
      </w:pPr>
      <w:r>
        <w:rPr>
          <w:rFonts w:ascii="Calibri;sans-serif" w:hAnsi="Calibri;sans-serif"/>
          <w:b/>
          <w:color w:val="51555C"/>
          <w:sz w:val="20"/>
        </w:rPr>
        <w:t>EXHIBIT 32.2</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Blackbaud, Inc.</w:t>
      </w:r>
    </w:p>
    <w:p>
      <w:pPr>
        <w:pStyle w:val="TextBody"/>
        <w:bidi w:val="0"/>
        <w:spacing w:lineRule="auto" w:line="288" w:before="180" w:after="283"/>
        <w:jc w:val="center"/>
        <w:rPr>
          <w:rFonts w:ascii="Calibri;sans-serif" w:hAnsi="Calibri;sans-serif"/>
          <w:b/>
          <w:color w:val="51555C"/>
          <w:sz w:val="20"/>
        </w:rPr>
      </w:pPr>
      <w:r>
        <w:rPr>
          <w:rFonts w:ascii="Calibri;sans-serif" w:hAnsi="Calibri;sans-serif"/>
          <w:b/>
          <w:color w:val="51555C"/>
          <w:sz w:val="20"/>
        </w:rPr>
        <w:t>CERTIFICATION PURSUANT TO 18 U.S.C. SECTION 1350, AS ADOPTED</w:t>
      </w:r>
    </w:p>
    <w:p>
      <w:pPr>
        <w:pStyle w:val="TextBody"/>
        <w:bidi w:val="0"/>
        <w:spacing w:lineRule="auto" w:line="288" w:before="0" w:after="0"/>
        <w:jc w:val="center"/>
        <w:rPr>
          <w:rFonts w:ascii="Calibri;sans-serif" w:hAnsi="Calibri;sans-serif"/>
          <w:b/>
          <w:color w:val="51555C"/>
          <w:sz w:val="20"/>
        </w:rPr>
      </w:pPr>
      <w:r>
        <w:rPr>
          <w:rFonts w:ascii="Calibri;sans-serif" w:hAnsi="Calibri;sans-serif"/>
          <w:b/>
          <w:color w:val="51555C"/>
          <w:sz w:val="20"/>
        </w:rPr>
        <w:t>PURSUANT TO SECTION 906 OF THE SARBANES-OXLEY ACT OF 2002</w:t>
      </w:r>
    </w:p>
    <w:p>
      <w:pPr>
        <w:pStyle w:val="TextBody"/>
        <w:bidi w:val="0"/>
        <w:spacing w:lineRule="auto" w:line="288" w:before="180" w:after="283"/>
        <w:jc w:val="both"/>
        <w:rPr>
          <w:rFonts w:ascii="Calibri;sans-serif" w:hAnsi="Calibri;sans-serif"/>
          <w:b w:val="false"/>
          <w:color w:val="51555C"/>
          <w:sz w:val="20"/>
        </w:rPr>
      </w:pPr>
      <w:r>
        <w:rPr>
          <w:rFonts w:ascii="Calibri;sans-serif" w:hAnsi="Calibri;sans-serif"/>
          <w:b w:val="false"/>
          <w:color w:val="51555C"/>
          <w:sz w:val="20"/>
        </w:rPr>
        <w:t>In connection with the Quarterly Report on Form 10-Q of Blackbaud, Inc. (the “Company”) for the period ended September 30, 2023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Calibri;sans-serif" w:hAnsi="Calibri;sans-serif"/>
          <w:b w:val="false"/>
          <w:color w:val="51555C"/>
          <w:sz w:val="20"/>
        </w:rPr>
      </w:pPr>
      <w:r>
        <w:rPr>
          <w:rFonts w:ascii="Calibri;sans-serif" w:hAnsi="Calibr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6926" w:type="dxa"/>
        <w:jc w:val="left"/>
        <w:tblInd w:w="0" w:type="dxa"/>
        <w:tblLayout w:type="fixed"/>
        <w:tblCellMar>
          <w:top w:w="28" w:type="dxa"/>
          <w:left w:w="28" w:type="dxa"/>
          <w:bottom w:w="28" w:type="dxa"/>
          <w:right w:w="28" w:type="dxa"/>
        </w:tblCellMar>
      </w:tblPr>
      <w:tblGrid>
        <w:gridCol w:w="190"/>
        <w:gridCol w:w="167"/>
        <w:gridCol w:w="168"/>
        <w:gridCol w:w="529"/>
        <w:gridCol w:w="529"/>
        <w:gridCol w:w="531"/>
        <w:gridCol w:w="115"/>
        <w:gridCol w:w="115"/>
        <w:gridCol w:w="115"/>
        <w:gridCol w:w="109"/>
        <w:gridCol w:w="109"/>
        <w:gridCol w:w="109"/>
        <w:gridCol w:w="1209"/>
        <w:gridCol w:w="1209"/>
        <w:gridCol w:w="1722"/>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November 1, 2023</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51555C"/>
                <w:sz w:val="20"/>
              </w:rPr>
            </w:pPr>
            <w:r>
              <w:rPr>
                <w:rFonts w:ascii="Calibri;sans-serif" w:hAnsi="Calibr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51555C"/>
                <w:sz w:val="20"/>
              </w:rPr>
            </w:pPr>
            <w:r>
              <w:rPr>
                <w:rFonts w:ascii="Calibri;sans-serif" w:hAnsi="Calibri;sans-serif"/>
                <w:b w:val="false"/>
                <w:color w:val="51555C"/>
                <w:sz w:val="20"/>
              </w:rPr>
              <w:t>/s/ 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Anthony W. Boor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Executive Vice President and Chief Financial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51555C"/>
                <w:sz w:val="20"/>
              </w:rPr>
            </w:pPr>
            <w:r>
              <w:rPr>
                <w:rFonts w:ascii="Calibri;sans-serif" w:hAnsi="Calibri;sans-serif"/>
                <w:b w:val="false"/>
                <w:color w:val="51555C"/>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20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4.jpeg"/><Relationship Id="rId58" Type="http://schemas.openxmlformats.org/officeDocument/2006/relationships/image" Target="media/image5.jpeg"/><Relationship Id="rId59" Type="http://schemas.openxmlformats.org/officeDocument/2006/relationships/image" Target="media/image6.jpeg"/><Relationship Id="rId60" Type="http://schemas.openxmlformats.org/officeDocument/2006/relationships/image" Target="media/image7.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8.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9.jpeg"/><Relationship Id="rId71" Type="http://schemas.openxmlformats.org/officeDocument/2006/relationships/image" Target="media/image10.jpeg"/><Relationship Id="rId72" Type="http://schemas.openxmlformats.org/officeDocument/2006/relationships/image" Target="media/image11.jpeg"/><Relationship Id="rId73" Type="http://schemas.openxmlformats.org/officeDocument/2006/relationships/image" Target="media/image12.jpeg"/><Relationship Id="rId74" Type="http://schemas.openxmlformats.org/officeDocument/2006/relationships/image" Target="media/image13.jpeg"/><Relationship Id="rId75" Type="http://schemas.openxmlformats.org/officeDocument/2006/relationships/image" Target="media/image14.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15.jpeg"/><Relationship Id="rId81" Type="http://schemas.openxmlformats.org/officeDocument/2006/relationships/image" Target="media/image16.jpeg"/><Relationship Id="rId82" Type="http://schemas.openxmlformats.org/officeDocument/2006/relationships/image" Target="media/image17.jpeg"/><Relationship Id="rId83" Type="http://schemas.openxmlformats.org/officeDocument/2006/relationships/image" Target="media/image18.jpeg"/><Relationship Id="rId84" Type="http://schemas.openxmlformats.org/officeDocument/2006/relationships/image" Target="media/image19.jpeg"/><Relationship Id="rId85" Type="http://schemas.openxmlformats.org/officeDocument/2006/relationships/image" Target="media/image20.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1.jpeg"/><Relationship Id="rId89" Type="http://schemas.openxmlformats.org/officeDocument/2006/relationships/image" Target="media/image22.jpeg"/><Relationship Id="rId90" Type="http://schemas.openxmlformats.org/officeDocument/2006/relationships/image" Target="media/image23.jpeg"/><Relationship Id="rId91" Type="http://schemas.openxmlformats.org/officeDocument/2006/relationships/image" Target="media/image24.jpeg"/><Relationship Id="rId92" Type="http://schemas.openxmlformats.org/officeDocument/2006/relationships/image" Target="media/image25.jpeg"/><Relationship Id="rId93" Type="http://schemas.openxmlformats.org/officeDocument/2006/relationships/image" Target="media/image26.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7.jpeg"/><Relationship Id="rId101" Type="http://schemas.openxmlformats.org/officeDocument/2006/relationships/image" Target="media/image28.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9.jpeg"/><Relationship Id="rId105" Type="http://schemas.openxmlformats.org/officeDocument/2006/relationships/image" Target="media/image30.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3.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image" Target="media/image2.jpeg"/><Relationship Id="rId134" Type="http://schemas.openxmlformats.org/officeDocument/2006/relationships/image" Target="media/image2.jpeg"/><Relationship Id="rId135" Type="http://schemas.openxmlformats.org/officeDocument/2006/relationships/image" Target="media/image2.jpeg"/><Relationship Id="rId136" Type="http://schemas.openxmlformats.org/officeDocument/2006/relationships/image" Target="media/image2.jpeg"/><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2.jpeg"/><Relationship Id="rId140" Type="http://schemas.openxmlformats.org/officeDocument/2006/relationships/image" Target="media/image2.jpeg"/><Relationship Id="rId141" Type="http://schemas.openxmlformats.org/officeDocument/2006/relationships/hyperlink" Target="https://www.sec.gov/Archives/edgar/data/1280058/000128005823000038/blkbex42rightsplanamendmen.htm" TargetMode="External"/><Relationship Id="rId142" Type="http://schemas.openxmlformats.org/officeDocument/2006/relationships/hyperlink" Target="https://www.sec.gov/Archives/edgar/data/1280058/000128005823000038/blkbex42rightsplanamendmen.htm" TargetMode="External"/><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3.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fontTable" Target="fontTable.xml"/><Relationship Id="rId1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28852</Words>
  <Characters>162828</Characters>
  <CharactersWithSpaces>190025</CharactersWithSpaces>
  <Paragraphs>3584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