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UNITED STATES</w:t>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20" w:after="120"/>
        <w:jc w:val="center"/>
        <w:rPr>
          <w:rFonts w:ascii="sans-serif" w:hAnsi="sans-serif"/>
          <w:b/>
          <w:color w:val="51555C"/>
          <w:sz w:val="28"/>
        </w:rPr>
      </w:pPr>
      <w:r>
        <w:rPr>
          <w:rFonts w:ascii="sans-serif" w:hAnsi="sans-serif"/>
          <w:b/>
          <w:color w:val="51555C"/>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For the quarterly period ended June 30, 2025</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5"/>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8"/>
              </w:rPr>
              <w:t xml:space="preserve">For the transition period from </w:t>
            </w:r>
            <w:r>
              <w:rPr>
                <w:color w:val="51555C"/>
                <w:u w:val="single"/>
              </w:rPr>
              <w:t>                   </w:t>
            </w:r>
            <w:r>
              <w:rPr>
                <w:color w:val="51555C"/>
              </w:rPr>
              <w:t> </w:t>
            </w:r>
            <w:r>
              <w:rPr>
                <w:rFonts w:ascii="sans-serif" w:hAnsi="sans-serif"/>
                <w:b w:val="false"/>
                <w:color w:val="51555C"/>
                <w:sz w:val="18"/>
              </w:rPr>
              <w:t xml:space="preserve">to </w:t>
            </w:r>
            <w:r>
              <w:rPr>
                <w:color w:val="51555C"/>
                <w:u w:val="single"/>
              </w:rPr>
              <w:t>                    </w:t>
            </w:r>
            <w:r>
              <w:rPr>
                <w:rFonts w:ascii="sans-serif" w:hAnsi="sans-serif"/>
                <w:b w:val="false"/>
                <w:color w:val="51555C"/>
                <w:sz w:val="18"/>
              </w:rPr>
              <w:t>.</w:t>
            </w:r>
          </w:p>
        </w:tc>
      </w:tr>
    </w:tbl>
    <w:p>
      <w:pPr>
        <w:pStyle w:val="TextBody"/>
        <w:bidi w:val="0"/>
        <w:spacing w:lineRule="auto" w:line="288" w:before="60" w:after="283"/>
        <w:jc w:val="center"/>
        <w:rPr/>
      </w:pPr>
      <w:r>
        <w:rPr>
          <w:rFonts w:ascii="sans-serif" w:hAnsi="sans-serif"/>
          <w:b w:val="false"/>
          <w:color w:val="51555C"/>
          <w:sz w:val="18"/>
        </w:rPr>
        <w:t xml:space="preserve">Commission file number: </w:t>
      </w:r>
      <w:r>
        <w:rPr>
          <w:rFonts w:ascii="sans-serif" w:hAns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sans-serif" w:hAnsi="sans-serif"/>
          <w:b/>
          <w:color w:val="51555C"/>
          <w:sz w:val="40"/>
        </w:rPr>
        <w:t>Blackbaud, Inc.</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(Exact name of registrant as specified in its charter)</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11-2617163</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(I.R.S. Employer Identification No.)</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65 Fairchild Street </w:t>
      </w:r>
    </w:p>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Charleston, South Carolina 29492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(Address of principal executive offices, including zip code)</w:t>
      </w:r>
    </w:p>
    <w:p>
      <w:pPr>
        <w:pStyle w:val="TextBody"/>
        <w:bidi w:val="0"/>
        <w:spacing w:lineRule="auto" w:line="288" w:before="0" w:after="0"/>
        <w:jc w:val="center"/>
        <w:rPr/>
      </w:pPr>
      <w:r>
        <w:rPr>
          <w:rFonts w:ascii="sans-serif" w:hAnsi="sans-serif"/>
          <w:b/>
          <w:color w:val="51555C"/>
          <w:sz w:val="18"/>
        </w:rPr>
        <w:t>(843) 216-6200</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(Registrant’s telephone number, including area code)</w:t>
      </w:r>
    </w:p>
    <w:tbl>
      <w:tblPr>
        <w:tblW w:w="9540" w:type="dxa"/>
        <w:jc w:val="left"/>
        <w:tblInd w:w="0" w:type="dxa"/>
        <w:tblLayout w:type="fixed"/>
        <w:tblCellMar>
          <w:top w:w="28" w:type="dxa"/>
          <w:left w:w="28" w:type="dxa"/>
          <w:bottom w:w="28" w:type="dxa"/>
          <w:right w:w="28" w:type="dxa"/>
        </w:tblCellMar>
      </w:tblPr>
      <w:tblGrid>
        <w:gridCol w:w="1273"/>
        <w:gridCol w:w="1111"/>
        <w:gridCol w:w="1111"/>
        <w:gridCol w:w="590"/>
        <w:gridCol w:w="590"/>
        <w:gridCol w:w="590"/>
        <w:gridCol w:w="1229"/>
        <w:gridCol w:w="1229"/>
        <w:gridCol w:w="1817"/>
      </w:tblGrid>
      <w:tr>
        <w:trPr/>
        <w:tc>
          <w:tcPr>
            <w:tcW w:w="127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Title of Each Class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Common Stock, $0.001 Par Value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BLKB</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Nasdaq Global Select Market</w:t>
            </w:r>
          </w:p>
        </w:tc>
      </w:tr>
      <w:tr>
        <w:trPr/>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sans-serif" w:hAns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sans-serif" w:hAns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sans-serif" w:hAns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sans-serif" w:hAnsi="sans-serif"/>
          <w:b w:val="false"/>
          <w:color w:val="51555C"/>
          <w:sz w:val="18"/>
        </w:rPr>
        <w:t>Yes</w:t>
      </w:r>
      <w:r>
        <w:rPr>
          <w:color w:val="51555C"/>
        </w:rPr>
        <w:t xml:space="preserve"> ☐  </w:t>
      </w:r>
      <w:r>
        <w:rPr>
          <w:rFonts w:ascii="sans-serif" w:hAnsi="sans-serif"/>
          <w:b w:val="false"/>
          <w:color w:val="51555C"/>
          <w:sz w:val="18"/>
        </w:rPr>
        <w:t>No</w:t>
      </w:r>
      <w:r>
        <w:rPr>
          <w:color w:val="51555C"/>
        </w:rPr>
        <w:t>  ☑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number of shares of the registrant’s Common Stock outstanding as of July 28, 2025 was 48,509,032.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sans-serif" w:hAnsi="sans-serif"/>
          <w:b/>
          <w:color w:val="50535A"/>
          <w:sz w:val="44"/>
        </w:rPr>
      </w:pPr>
      <w:r>
        <w:rPr>
          <w:rFonts w:ascii="sans-serif" w:hAns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99"/>
        <w:gridCol w:w="1142"/>
        <w:gridCol w:w="1142"/>
        <w:gridCol w:w="2199"/>
        <w:gridCol w:w="1977"/>
        <w:gridCol w:w="1991"/>
        <w:gridCol w:w="131"/>
        <w:gridCol w:w="131"/>
        <w:gridCol w:w="193"/>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5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9">
              <w:r>
                <w:rPr>
                  <w:rStyle w:val="InternetLink"/>
                  <w:rFonts w:ascii="sans-serif" w:hAnsi="sans-serif"/>
                  <w:b/>
                  <w:strike w:val="false"/>
                  <w:dstrike w:val="false"/>
                  <w:color w:val="004054"/>
                  <w:sz w:val="22"/>
                  <w:u w:val="none"/>
                  <w:effect w:val="none"/>
                </w:rPr>
                <w:t>CAUTIONARY STATEMENT REGARDING FORWARD-LOOKING STATEMENTS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9">
              <w:r>
                <w:rPr>
                  <w:rStyle w:val="InternetLink"/>
                  <w:rFonts w:ascii="sans-serif" w:hAnsi="sans-serif"/>
                  <w:b/>
                  <w:strike w:val="false"/>
                  <w:dstrike w:val="false"/>
                  <w:color w:val="004054"/>
                  <w:sz w:val="22"/>
                  <w:u w:val="none"/>
                  <w:effect w:val="none"/>
                </w:rPr>
                <w:t>2</w:t>
              </w:r>
            </w:hyperlink>
          </w:p>
        </w:tc>
      </w:tr>
      <w:tr>
        <w:trPr/>
        <w:tc>
          <w:tcPr>
            <w:tcW w:w="3583"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6167"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2">
              <w:r>
                <w:rPr>
                  <w:rStyle w:val="InternetLink"/>
                  <w:rFonts w:ascii="sans-serif" w:hAnsi="sans-serif"/>
                  <w:b/>
                  <w:strike w:val="false"/>
                  <w:dstrike w:val="false"/>
                  <w:color w:val="004054"/>
                  <w:sz w:val="22"/>
                  <w:u w:val="none"/>
                  <w:effect w:val="none"/>
                </w:rPr>
                <w:t>PART 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2">
              <w:r>
                <w:rPr>
                  <w:rStyle w:val="InternetLink"/>
                  <w:rFonts w:ascii="sans-serif" w:hAnsi="sans-serif"/>
                  <w:b/>
                  <w:strike w:val="false"/>
                  <w:dstrike w:val="false"/>
                  <w:color w:val="004054"/>
                  <w:sz w:val="22"/>
                  <w:u w:val="none"/>
                  <w:effect w:val="none"/>
                </w:rPr>
                <w:t>FINANCIAL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2">
              <w:r>
                <w:rPr>
                  <w:rStyle w:val="InternetLink"/>
                  <w:rFonts w:ascii="sans-serif" w:hAnsi="sans-serif"/>
                  <w:b/>
                  <w:strike w:val="false"/>
                  <w:dstrike w:val="false"/>
                  <w:color w:val="004054"/>
                  <w:sz w:val="22"/>
                  <w:u w:val="none"/>
                  <w:effect w:val="none"/>
                </w:rPr>
                <w:t>3</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5">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5">
              <w:r>
                <w:rPr>
                  <w:rStyle w:val="InternetLink"/>
                  <w:rFonts w:ascii="sans-serif" w:hAnsi="sans-serif"/>
                  <w:b w:val="false"/>
                  <w:strike w:val="false"/>
                  <w:dstrike w:val="false"/>
                  <w:color w:val="51555C"/>
                  <w:sz w:val="20"/>
                  <w:u w:val="none"/>
                  <w:effect w:val="none"/>
                </w:rPr>
                <w:t>Financial statements</w:t>
              </w:r>
            </w:hyperlink>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8">
              <w:r>
                <w:rPr>
                  <w:rStyle w:val="InternetLink"/>
                  <w:rFonts w:ascii="sans-serif" w:hAnsi="sans-serif"/>
                  <w:b w:val="false"/>
                  <w:strike w:val="false"/>
                  <w:dstrike w:val="false"/>
                  <w:color w:val="51555C"/>
                  <w:sz w:val="20"/>
                  <w:u w:val="none"/>
                  <w:effect w:val="none"/>
                </w:rPr>
                <w:t>Condensed Consolidated Balance Sheets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8">
              <w:r>
                <w:rPr>
                  <w:rStyle w:val="InternetLink"/>
                  <w:rFonts w:ascii="sans-serif" w:hAnsi="sans-serif"/>
                  <w:b w:val="false"/>
                  <w:strike w:val="false"/>
                  <w:dstrike w:val="false"/>
                  <w:color w:val="000000"/>
                  <w:sz w:val="20"/>
                  <w:u w:val="none"/>
                  <w:effect w:val="none"/>
                </w:rPr>
                <w:t>3</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31">
              <w:r>
                <w:rPr>
                  <w:rStyle w:val="InternetLink"/>
                  <w:rFonts w:ascii="sans-serif" w:hAnsi="sans-serif"/>
                  <w:b w:val="false"/>
                  <w:strike w:val="false"/>
                  <w:dstrike w:val="false"/>
                  <w:color w:val="51555C"/>
                  <w:sz w:val="20"/>
                  <w:u w:val="none"/>
                  <w:effect w:val="none"/>
                </w:rPr>
                <w:t xml:space="preserve">Condensed Consolidated Statements of Comprehensive </w:t>
              </w:r>
            </w:hyperlink>
            <w:r>
              <w:rPr>
                <w:rFonts w:ascii="sans-serif" w:hAnsi="sans-serif"/>
                <w:b w:val="false"/>
                <w:color w:val="51555C"/>
                <w:sz w:val="20"/>
              </w:rPr>
              <w:t>Income</w:t>
            </w:r>
            <w:hyperlink w:anchor="ic4ac21d798c247229aaf9796f1448243_31">
              <w:r>
                <w:rPr>
                  <w:rStyle w:val="InternetLink"/>
                  <w:rFonts w:ascii="sans-serif" w:hAnsi="sans-serif"/>
                  <w:b w:val="false"/>
                  <w:strike w:val="false"/>
                  <w:dstrike w:val="false"/>
                  <w:color w:val="51555C"/>
                  <w:sz w:val="20"/>
                  <w:u w:val="none"/>
                  <w:effect w:val="none"/>
                </w:rPr>
                <w:t xml:space="preserve">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31">
              <w:r>
                <w:rPr>
                  <w:rStyle w:val="InternetLink"/>
                  <w:rFonts w:ascii="sans-serif" w:hAnsi="sans-serif"/>
                  <w:b w:val="false"/>
                  <w:strike w:val="false"/>
                  <w:dstrike w:val="false"/>
                  <w:color w:val="000000"/>
                  <w:sz w:val="20"/>
                  <w:u w:val="none"/>
                  <w:effect w:val="none"/>
                </w:rPr>
                <w:t>4</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34">
              <w:r>
                <w:rPr>
                  <w:rStyle w:val="InternetLink"/>
                  <w:rFonts w:ascii="sans-serif" w:hAnsi="sans-serif"/>
                  <w:b w:val="false"/>
                  <w:strike w:val="false"/>
                  <w:dstrike w:val="false"/>
                  <w:color w:val="51555C"/>
                  <w:sz w:val="20"/>
                  <w:u w:val="none"/>
                  <w:effect w:val="none"/>
                </w:rPr>
                <w:t>Condensed Consolidated Statements of Cash Flows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34">
              <w:r>
                <w:rPr>
                  <w:rStyle w:val="InternetLink"/>
                  <w:rFonts w:ascii="sans-serif" w:hAnsi="sans-serif"/>
                  <w:b w:val="false"/>
                  <w:strike w:val="false"/>
                  <w:dstrike w:val="false"/>
                  <w:color w:val="000000"/>
                  <w:sz w:val="20"/>
                  <w:u w:val="none"/>
                  <w:effect w:val="none"/>
                </w:rPr>
                <w:t>5</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37">
              <w:r>
                <w:rPr>
                  <w:rStyle w:val="InternetLink"/>
                  <w:rFonts w:ascii="sans-serif" w:hAnsi="sans-serif"/>
                  <w:b w:val="false"/>
                  <w:strike w:val="false"/>
                  <w:dstrike w:val="false"/>
                  <w:color w:val="51555C"/>
                  <w:sz w:val="20"/>
                  <w:u w:val="none"/>
                  <w:effect w:val="none"/>
                </w:rPr>
                <w:t>Condensed Consolidated Statements of Stockholders’ Equity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37">
              <w:r>
                <w:rPr>
                  <w:rStyle w:val="InternetLink"/>
                  <w:rFonts w:ascii="sans-serif" w:hAnsi="sans-serif"/>
                  <w:b w:val="false"/>
                  <w:strike w:val="false"/>
                  <w:dstrike w:val="false"/>
                  <w:color w:val="000000"/>
                  <w:sz w:val="20"/>
                  <w:u w:val="none"/>
                  <w:effect w:val="none"/>
                </w:rPr>
                <w:t>6</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40">
              <w:r>
                <w:rPr>
                  <w:rStyle w:val="InternetLink"/>
                  <w:rFonts w:ascii="sans-serif" w:hAnsi="sans-serif"/>
                  <w:b w:val="false"/>
                  <w:strike w:val="false"/>
                  <w:dstrike w:val="false"/>
                  <w:color w:val="51555C"/>
                  <w:sz w:val="20"/>
                  <w:u w:val="none"/>
                  <w:effect w:val="none"/>
                </w:rPr>
                <w:t>Notes to Condensed Consolidated Financial Statements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40">
              <w:r>
                <w:rPr>
                  <w:rStyle w:val="InternetLink"/>
                  <w:rFonts w:ascii="sans-serif" w:hAnsi="sans-serif"/>
                  <w:b w:val="false"/>
                  <w:strike w:val="false"/>
                  <w:dstrike w:val="false"/>
                  <w:color w:val="000000"/>
                  <w:sz w:val="20"/>
                  <w:u w:val="none"/>
                  <w:effect w:val="none"/>
                </w:rPr>
                <w:t>8</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06">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06">
              <w:r>
                <w:rPr>
                  <w:rStyle w:val="InternetLink"/>
                  <w:rFonts w:ascii="sans-serif" w:hAnsi="sans-serif"/>
                  <w:b w:val="false"/>
                  <w:strike w:val="false"/>
                  <w:dstrike w:val="false"/>
                  <w:color w:val="51555C"/>
                  <w:sz w:val="20"/>
                  <w:u w:val="none"/>
                  <w:effect w:val="none"/>
                </w:rPr>
                <w:t>Management's discussion and analysis of financial condition and results of operations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106">
              <w:r>
                <w:rPr>
                  <w:rStyle w:val="InternetLink"/>
                  <w:rFonts w:ascii="sans-serif" w:hAnsi="sans-serif"/>
                  <w:b w:val="false"/>
                  <w:strike w:val="false"/>
                  <w:dstrike w:val="false"/>
                  <w:color w:val="000000"/>
                  <w:sz w:val="20"/>
                  <w:u w:val="none"/>
                  <w:effect w:val="none"/>
                </w:rPr>
                <w:t>22</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99">
              <w:r>
                <w:rPr>
                  <w:rStyle w:val="InternetLink"/>
                  <w:rFonts w:ascii="sans-serif" w:hAnsi="sans-serif"/>
                  <w:b w:val="false"/>
                  <w:strike w:val="false"/>
                  <w:dstrike w:val="false"/>
                  <w:color w:val="51555C"/>
                  <w:sz w:val="20"/>
                  <w:u w:val="none"/>
                  <w:effect w:val="none"/>
                </w:rPr>
                <w:t>Item 3.</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199">
              <w:r>
                <w:rPr>
                  <w:rStyle w:val="InternetLink"/>
                  <w:rFonts w:ascii="sans-serif" w:hAnsi="sans-serif"/>
                  <w:b w:val="false"/>
                  <w:strike w:val="false"/>
                  <w:dstrike w:val="false"/>
                  <w:color w:val="51555C"/>
                  <w:sz w:val="20"/>
                  <w:u w:val="none"/>
                  <w:effect w:val="none"/>
                </w:rPr>
                <w:t>Quantitative and qualitative disclosures about market risk</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199">
              <w:r>
                <w:rPr>
                  <w:rStyle w:val="InternetLink"/>
                  <w:rFonts w:ascii="sans-serif" w:hAnsi="sans-serif"/>
                  <w:b w:val="false"/>
                  <w:strike w:val="false"/>
                  <w:dstrike w:val="false"/>
                  <w:color w:val="000000"/>
                  <w:sz w:val="20"/>
                  <w:u w:val="none"/>
                  <w:effect w:val="none"/>
                </w:rPr>
                <w:t>42</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2">
              <w:r>
                <w:rPr>
                  <w:rStyle w:val="InternetLink"/>
                  <w:rFonts w:ascii="sans-serif" w:hAnsi="sans-serif"/>
                  <w:b w:val="false"/>
                  <w:strike w:val="false"/>
                  <w:dstrike w:val="false"/>
                  <w:color w:val="51555C"/>
                  <w:sz w:val="20"/>
                  <w:u w:val="none"/>
                  <w:effect w:val="none"/>
                </w:rPr>
                <w:t>Item 4.</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2">
              <w:r>
                <w:rPr>
                  <w:rStyle w:val="InternetLink"/>
                  <w:rFonts w:ascii="sans-serif" w:hAnsi="sans-serif"/>
                  <w:b w:val="false"/>
                  <w:strike w:val="false"/>
                  <w:dstrike w:val="false"/>
                  <w:color w:val="51555C"/>
                  <w:sz w:val="20"/>
                  <w:u w:val="none"/>
                  <w:effect w:val="none"/>
                </w:rPr>
                <w:t>Controls and procedures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02">
              <w:r>
                <w:rPr>
                  <w:rStyle w:val="InternetLink"/>
                  <w:rFonts w:ascii="sans-serif" w:hAnsi="sans-serif"/>
                  <w:b w:val="false"/>
                  <w:strike w:val="false"/>
                  <w:dstrike w:val="false"/>
                  <w:color w:val="000000"/>
                  <w:sz w:val="20"/>
                  <w:u w:val="none"/>
                  <w:effect w:val="none"/>
                </w:rPr>
                <w:t>42</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5">
              <w:r>
                <w:rPr>
                  <w:rStyle w:val="InternetLink"/>
                  <w:rFonts w:ascii="sans-serif" w:hAnsi="sans-serif"/>
                  <w:b/>
                  <w:strike w:val="false"/>
                  <w:dstrike w:val="false"/>
                  <w:color w:val="004054"/>
                  <w:sz w:val="22"/>
                  <w:u w:val="none"/>
                  <w:effect w:val="none"/>
                </w:rPr>
                <w:t>PART II.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5">
              <w:r>
                <w:rPr>
                  <w:rStyle w:val="InternetLink"/>
                  <w:rFonts w:ascii="sans-serif" w:hAnsi="sans-serif"/>
                  <w:b/>
                  <w:strike w:val="false"/>
                  <w:dstrike w:val="false"/>
                  <w:color w:val="004054"/>
                  <w:sz w:val="22"/>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5">
              <w:r>
                <w:rPr>
                  <w:rStyle w:val="InternetLink"/>
                  <w:rFonts w:ascii="sans-serif" w:hAnsi="sans-serif"/>
                  <w:b/>
                  <w:strike w:val="false"/>
                  <w:dstrike w:val="false"/>
                  <w:color w:val="004054"/>
                  <w:sz w:val="22"/>
                  <w:u w:val="none"/>
                  <w:effect w:val="none"/>
                </w:rPr>
                <w:t>43</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8">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08">
              <w:r>
                <w:rPr>
                  <w:rStyle w:val="InternetLink"/>
                  <w:rFonts w:ascii="sans-serif" w:hAnsi="sans-serif"/>
                  <w:b w:val="false"/>
                  <w:strike w:val="false"/>
                  <w:dstrike w:val="false"/>
                  <w:color w:val="51555C"/>
                  <w:sz w:val="20"/>
                  <w:u w:val="none"/>
                  <w:effect w:val="none"/>
                </w:rPr>
                <w:t>Legal proceedings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08">
              <w:r>
                <w:rPr>
                  <w:rStyle w:val="InternetLink"/>
                  <w:rFonts w:ascii="sans-serif" w:hAnsi="sans-serif"/>
                  <w:b w:val="false"/>
                  <w:strike w:val="false"/>
                  <w:dstrike w:val="false"/>
                  <w:color w:val="000000"/>
                  <w:sz w:val="20"/>
                  <w:u w:val="none"/>
                  <w:effect w:val="none"/>
                </w:rPr>
                <w:t>43</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1">
              <w:r>
                <w:rPr>
                  <w:rStyle w:val="InternetLink"/>
                  <w:rFonts w:ascii="sans-serif" w:hAnsi="sans-serif"/>
                  <w:b w:val="false"/>
                  <w:strike w:val="false"/>
                  <w:dstrike w:val="false"/>
                  <w:color w:val="51555C"/>
                  <w:sz w:val="20"/>
                  <w:u w:val="none"/>
                  <w:effect w:val="none"/>
                </w:rPr>
                <w:t>Item 1A.</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1">
              <w:r>
                <w:rPr>
                  <w:rStyle w:val="InternetLink"/>
                  <w:rFonts w:ascii="sans-serif" w:hAnsi="sans-serif"/>
                  <w:b w:val="false"/>
                  <w:strike w:val="false"/>
                  <w:dstrike w:val="false"/>
                  <w:color w:val="51555C"/>
                  <w:sz w:val="20"/>
                  <w:u w:val="none"/>
                  <w:effect w:val="none"/>
                </w:rPr>
                <w:t>Risk factors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11">
              <w:r>
                <w:rPr>
                  <w:rStyle w:val="InternetLink"/>
                  <w:rFonts w:ascii="sans-serif" w:hAnsi="sans-serif"/>
                  <w:b w:val="false"/>
                  <w:strike w:val="false"/>
                  <w:dstrike w:val="false"/>
                  <w:color w:val="000000"/>
                  <w:sz w:val="20"/>
                  <w:u w:val="none"/>
                  <w:effect w:val="none"/>
                </w:rPr>
                <w:t>43</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4">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4">
              <w:r>
                <w:rPr>
                  <w:rStyle w:val="InternetLink"/>
                  <w:rFonts w:ascii="sans-serif" w:hAnsi="sans-serif"/>
                  <w:b w:val="false"/>
                  <w:strike w:val="false"/>
                  <w:dstrike w:val="false"/>
                  <w:color w:val="51555C"/>
                  <w:sz w:val="20"/>
                  <w:u w:val="none"/>
                  <w:effect w:val="none"/>
                </w:rPr>
                <w:t>Unregistered sales of equity securities and use of proceeds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14">
              <w:r>
                <w:rPr>
                  <w:rStyle w:val="InternetLink"/>
                  <w:rFonts w:ascii="sans-serif" w:hAnsi="sans-serif"/>
                  <w:b w:val="false"/>
                  <w:strike w:val="false"/>
                  <w:dstrike w:val="false"/>
                  <w:color w:val="000000"/>
                  <w:sz w:val="20"/>
                  <w:u w:val="none"/>
                  <w:effect w:val="none"/>
                </w:rPr>
                <w:t>44</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7">
              <w:r>
                <w:rPr>
                  <w:rStyle w:val="InternetLink"/>
                  <w:rFonts w:ascii="sans-serif" w:hAnsi="sans-serif"/>
                  <w:b w:val="false"/>
                  <w:strike w:val="false"/>
                  <w:dstrike w:val="false"/>
                  <w:color w:val="51555C"/>
                  <w:sz w:val="20"/>
                  <w:u w:val="none"/>
                  <w:effect w:val="none"/>
                </w:rPr>
                <w:t>Item 5.</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17">
              <w:r>
                <w:rPr>
                  <w:rStyle w:val="InternetLink"/>
                  <w:rFonts w:ascii="sans-serif" w:hAnsi="sans-serif"/>
                  <w:b w:val="false"/>
                  <w:strike w:val="false"/>
                  <w:dstrike w:val="false"/>
                  <w:color w:val="51555C"/>
                  <w:sz w:val="20"/>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17">
              <w:r>
                <w:rPr>
                  <w:rStyle w:val="InternetLink"/>
                  <w:rFonts w:ascii="sans-serif" w:hAnsi="sans-serif"/>
                  <w:b w:val="false"/>
                  <w:strike w:val="false"/>
                  <w:dstrike w:val="false"/>
                  <w:color w:val="000000"/>
                  <w:sz w:val="20"/>
                  <w:u w:val="none"/>
                  <w:effect w:val="none"/>
                </w:rPr>
                <w:t>45</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26">
              <w:r>
                <w:rPr>
                  <w:rStyle w:val="InternetLink"/>
                  <w:rFonts w:ascii="sans-serif" w:hAnsi="sans-serif"/>
                  <w:b w:val="false"/>
                  <w:strike w:val="false"/>
                  <w:dstrike w:val="false"/>
                  <w:color w:val="51555C"/>
                  <w:sz w:val="20"/>
                  <w:u w:val="none"/>
                  <w:effect w:val="none"/>
                </w:rPr>
                <w:t>Item 6.</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4ac21d798c247229aaf9796f1448243_226">
              <w:r>
                <w:rPr>
                  <w:rStyle w:val="InternetLink"/>
                  <w:rFonts w:ascii="sans-serif" w:hAnsi="sans-serif"/>
                  <w:b w:val="false"/>
                  <w:strike w:val="false"/>
                  <w:dstrike w:val="false"/>
                  <w:color w:val="51555C"/>
                  <w:sz w:val="20"/>
                  <w:u w:val="none"/>
                  <w:effect w:val="none"/>
                </w:rPr>
                <w:t>Exhibits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c4ac21d798c247229aaf9796f1448243_226">
              <w:r>
                <w:rPr>
                  <w:rStyle w:val="InternetLink"/>
                  <w:rFonts w:ascii="sans-serif" w:hAnsi="sans-serif"/>
                  <w:b w:val="false"/>
                  <w:strike w:val="false"/>
                  <w:dstrike w:val="false"/>
                  <w:color w:val="000000"/>
                  <w:sz w:val="20"/>
                  <w:u w:val="none"/>
                  <w:effect w:val="none"/>
                </w:rPr>
                <w:t>45</w:t>
              </w:r>
            </w:hyperlink>
          </w:p>
        </w:tc>
      </w:tr>
      <w:tr>
        <w:trPr/>
        <w:tc>
          <w:tcPr>
            <w:tcW w:w="9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0"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c4ac21d798c247229aaf9796f1448243_229">
              <w:r>
                <w:rPr>
                  <w:rStyle w:val="InternetLink"/>
                  <w:rFonts w:ascii="sans-serif" w:hAnsi="sans-serif"/>
                  <w:b/>
                  <w:strike w:val="false"/>
                  <w:dstrike w:val="false"/>
                  <w:color w:val="004054"/>
                  <w:sz w:val="22"/>
                  <w:u w:val="none"/>
                  <w:effect w:val="none"/>
                </w:rPr>
                <w:t>SIGNATURES</w:t>
              </w:r>
            </w:hyperlink>
          </w:p>
        </w:tc>
        <w:tc>
          <w:tcPr>
            <w:tcW w:w="4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c4ac21d798c247229aaf9796f1448243_229">
              <w:r>
                <w:rPr>
                  <w:rStyle w:val="InternetLink"/>
                  <w:rFonts w:ascii="sans-serif" w:hAnsi="sans-serif"/>
                  <w:b/>
                  <w:strike w:val="false"/>
                  <w:dstrike w:val="false"/>
                  <w:color w:val="004054"/>
                  <w:sz w:val="22"/>
                  <w:u w:val="none"/>
                  <w:effect w:val="none"/>
                </w:rPr>
                <w:t>46</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bookmarkStart w:id="3" w:name="i-3"/>
            <w:bookmarkEnd w:id="3"/>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CAUTIONARY STATEMENT REGARDING FORWARD-LOOKING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2024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bookmarkStart w:id="4" w:name="i-4"/>
                                  <w:bookmarkEnd w:id="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bookmarkStart w:id="5" w:name="i-4"/>
                            <w:bookmarkEnd w:id="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9158"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430"/>
        <w:gridCol w:w="2430"/>
        <w:gridCol w:w="3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bookmarkStart w:id="6" w:name="i-5"/>
            <w:bookmarkEnd w:id="6"/>
          </w:p>
        </w:tc>
        <w:tc>
          <w:tcPr>
            <w:tcW w:w="8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0"/>
        <w:gridCol w:w="2135"/>
        <w:gridCol w:w="2141"/>
        <w:gridCol w:w="247"/>
        <w:gridCol w:w="1232"/>
        <w:gridCol w:w="119"/>
        <w:gridCol w:w="247"/>
        <w:gridCol w:w="1232"/>
        <w:gridCol w:w="172"/>
      </w:tblGrid>
      <w:tr>
        <w:trPr/>
        <w:tc>
          <w:tcPr>
            <w:tcW w:w="268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Blackbaud, Inc.</w:t>
              <w:br/>
              <w:t>Condensed Consolidated Balance Sheets</w:t>
              <w:br/>
              <w:t>(Unaudited)</w:t>
            </w:r>
          </w:p>
        </w:tc>
      </w:tr>
      <w:tr>
        <w:trPr/>
        <w:tc>
          <w:tcPr>
            <w:tcW w:w="695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59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65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95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Assets</w:t>
            </w:r>
          </w:p>
        </w:tc>
        <w:tc>
          <w:tcPr>
            <w:tcW w:w="159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assets:</w:t>
            </w:r>
          </w:p>
        </w:tc>
        <w:tc>
          <w:tcPr>
            <w:tcW w:w="1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41,566 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870,248 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Accounts receivable, net of allowance of $7,131 and $5,228 at June 30, 2025 and December 31, 2024,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145,237 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83,539 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Customer funds receivable</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current assets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91,222 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81,287 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assets</w:t>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1,153,969 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976,308 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Property and equipment, net</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83,052 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91,926 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right-of-use assets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5,266 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26,554 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Software development costs, net</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153,604 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148,319 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Goodwill</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1,057,927 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1,052,506 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Intangible assets, net</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120,791 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132,881 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assets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54,784 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67,221 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assets</w:t>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2,629,393 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2,495,715 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Liabilities and stockholders’ equity</w:t>
            </w:r>
          </w:p>
        </w:tc>
        <w:tc>
          <w:tcPr>
            <w:tcW w:w="159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liabilities:</w:t>
            </w:r>
          </w:p>
        </w:tc>
        <w:tc>
          <w:tcPr>
            <w:tcW w:w="15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42,664 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50,810 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current liabilities</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40,863 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75,543 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Due to customers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874,757 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742,340 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current portion</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22,566 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23,875 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current portion</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399,207 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359,529 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liabilities</w:t>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1,380,057 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1,252,097 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net of current portion</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1,136,112 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1,051,110 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 liability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9,773 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9,518 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net of current portion</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Operating lease liabilities, net of current portion</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5,526 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34,186 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liabilities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4,796 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w:t>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2,541,443 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2,353,722 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Commitments and contingencies (see Note 8)</w:t>
            </w:r>
          </w:p>
        </w:tc>
        <w:tc>
          <w:tcPr>
            <w:tcW w:w="1598"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Stockholders’ equity:</w:t>
            </w:r>
          </w:p>
        </w:tc>
        <w:tc>
          <w:tcPr>
            <w:tcW w:w="15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Preferred stock; 20,000,000 shares authorized, none outstanding</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Common stock, $0.001 par value; 180,000,000 shares authorized, 72,263,568 and 70,943,373 shares issued at June 30, 2025 and December 31, 2024, respectively; 48,506,643 and 49,245,588 shares outstanding at June 30, 2025 and December 31, 2024,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Additional paid-in capital</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1,347,234 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Treasury stock, at cost; 23,756,925 and 21,697,785 shares at June 30, 2025 and December 31, 2024, respectively</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(1,199,608)</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other comprehensive loss</w:t>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(6,292)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deficit</w:t>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(53,456)</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(84,303)</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stockholders’ equity</w:t>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87,950 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141,993 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 and stockholders’ equity</w:t>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2,629,393 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2"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2,495,715 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5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bookmarkStart w:id="7" w:name="i-6"/>
                                  <w:bookmarkEnd w:id="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bookmarkStart w:id="8" w:name="i-6"/>
                            <w:bookmarkEnd w:id="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10205" w:type="dxa"/>
        <w:jc w:val="left"/>
        <w:tblInd w:w="0" w:type="dxa"/>
        <w:tblLayout w:type="fixed"/>
        <w:tblCellMar>
          <w:top w:w="28" w:type="dxa"/>
          <w:left w:w="28" w:type="dxa"/>
          <w:bottom w:w="28" w:type="dxa"/>
          <w:right w:w="28" w:type="dxa"/>
        </w:tblCellMar>
      </w:tblPr>
      <w:tblGrid>
        <w:gridCol w:w="1541"/>
        <w:gridCol w:w="1155"/>
        <w:gridCol w:w="1157"/>
        <w:gridCol w:w="278"/>
        <w:gridCol w:w="1080"/>
        <w:gridCol w:w="123"/>
        <w:gridCol w:w="278"/>
        <w:gridCol w:w="1080"/>
        <w:gridCol w:w="123"/>
        <w:gridCol w:w="123"/>
        <w:gridCol w:w="123"/>
        <w:gridCol w:w="123"/>
        <w:gridCol w:w="278"/>
        <w:gridCol w:w="1080"/>
        <w:gridCol w:w="123"/>
        <w:gridCol w:w="278"/>
        <w:gridCol w:w="1080"/>
        <w:gridCol w:w="182"/>
      </w:tblGrid>
      <w:tr>
        <w:trPr/>
        <w:tc>
          <w:tcPr>
            <w:tcW w:w="15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Comprehensive Income</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(Unaudited)</w:t>
            </w:r>
          </w:p>
        </w:tc>
      </w:tr>
      <w:tr>
        <w:trPr/>
        <w:tc>
          <w:tcPr>
            <w:tcW w:w="385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29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June 30,</w:t>
            </w:r>
          </w:p>
        </w:tc>
        <w:tc>
          <w:tcPr>
            <w:tcW w:w="369"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Six months ended</w:t>
              <w:br/>
              <w:t>June 30,</w:t>
            </w:r>
          </w:p>
        </w:tc>
      </w:tr>
      <w:tr>
        <w:trPr/>
        <w:tc>
          <w:tcPr>
            <w:tcW w:w="385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c>
          <w:tcPr>
            <w:tcW w:w="369"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154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385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Revenue</w:t>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281,382 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287,286 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552,043 </w:t>
            </w:r>
          </w:p>
        </w:tc>
        <w:tc>
          <w:tcPr>
            <w:tcW w:w="12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566,536 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Cost of revenue</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113,633 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124,700 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228,448 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250,906 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Gross profit</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167,749 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162,586 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323,595 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315,630 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Operating expenses</w:t>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Sales, marketing and customer success</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44,046 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47,081 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88,690 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97,946 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Research and development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33,595 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39,068 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67,154 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81,870 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General and administrative</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32,856 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33,443 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89,535 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81,197 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intangible assets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1,806 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3853"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481" w:type="dxa"/>
            <w:gridSpan w:val="3"/>
            <w:tcBorders/>
            <w:vAlign w:val="center"/>
          </w:tcPr>
          <w:p>
            <w:pPr>
              <w:pStyle w:val="TableContents"/>
              <w:bidi w:val="0"/>
              <w:spacing w:before="0" w:after="283"/>
              <w:jc w:val="left"/>
              <w:rPr>
                <w:sz w:val="4"/>
                <w:szCs w:val="4"/>
              </w:rPr>
            </w:pPr>
            <w:r>
              <w:rPr>
                <w:sz w:val="4"/>
                <w:szCs w:val="4"/>
              </w:rPr>
            </w:r>
          </w:p>
        </w:tc>
        <w:tc>
          <w:tcPr>
            <w:tcW w:w="1540" w:type="dxa"/>
            <w:gridSpan w:val="3"/>
            <w:tcBorders/>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operating expenses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111,063 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120,494 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246,479 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262,819 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from operations</w:t>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56,686 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42,092 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77,116 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52,811 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Interest expense</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(18,411)</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(15,715)</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(35,356)</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(25,991)</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income, net</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1,118 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3,223 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before provision for income taxes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39,393 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29,687 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44,983 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33,477 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Income tax provision</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7,883 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14,136 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6,427 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income</w:t>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25,980 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21,804 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30,847 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27,050 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Earnings per share</w:t>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0.54 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0.43 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0.64 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w:t>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0.42 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0.52 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Common shares and equivalents outstanding</w:t>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 weighted average shares</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47,784,062 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50,747,337 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48,104,780 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51,399,853 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 weighted average shares</w:t>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48,248,057 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51,677,418 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48,786,793 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52,371,927 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Other comprehensive income (loss)</w:t>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Foreign currency translation adjustment</w:t>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7,324 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339 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10,583 </w:t>
            </w:r>
          </w:p>
        </w:tc>
        <w:tc>
          <w:tcPr>
            <w:tcW w:w="12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(846)</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Unrealized (loss) gain on derivative instruments, net of tax</w:t>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(5,314)</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(1,386)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(12,006)</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2,709 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other comprehensive income (loss)</w:t>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w:t>
            </w:r>
          </w:p>
        </w:tc>
        <w:tc>
          <w:tcPr>
            <w:tcW w:w="12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1,863 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Comprehensive income</w:t>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27,990 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20,757 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29,424 </w:t>
            </w:r>
          </w:p>
        </w:tc>
        <w:tc>
          <w:tcPr>
            <w:tcW w:w="12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8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28,913 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5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bookmarkStart w:id="9" w:name="i-7"/>
                                  <w:bookmarkEnd w:id="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bookmarkStart w:id="10" w:name="i-7"/>
                            <w:bookmarkEnd w:id="1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2188"/>
        <w:gridCol w:w="1843"/>
        <w:gridCol w:w="1848"/>
        <w:gridCol w:w="374"/>
        <w:gridCol w:w="1569"/>
        <w:gridCol w:w="180"/>
        <w:gridCol w:w="374"/>
        <w:gridCol w:w="1569"/>
        <w:gridCol w:w="260"/>
      </w:tblGrid>
      <w:tr>
        <w:trPr/>
        <w:tc>
          <w:tcPr>
            <w:tcW w:w="218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color w:val="51555C"/>
                <w:sz w:val="20"/>
              </w:rPr>
            </w:pPr>
            <w:r>
              <w:rPr>
                <w:rFonts w:ascii="sans-serif" w:hAnsi="sans-serif"/>
                <w:b/>
                <w:color w:val="51555C"/>
                <w:sz w:val="20"/>
              </w:rPr>
              <w:t>Blackbaud, Inc.</w:t>
              <w:br/>
              <w:t>Condensed Consolidated Statements of Cash Flows</w:t>
              <w:br/>
              <w:t>(Unaudited)</w:t>
            </w:r>
          </w:p>
        </w:tc>
      </w:tr>
      <w:tr>
        <w:trPr/>
        <w:tc>
          <w:tcPr>
            <w:tcW w:w="587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432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Six months ended</w:t>
              <w:br/>
              <w:t>June 30,</w:t>
            </w:r>
          </w:p>
        </w:tc>
      </w:tr>
      <w:tr>
        <w:trPr/>
        <w:tc>
          <w:tcPr>
            <w:tcW w:w="587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12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c>
          <w:tcPr>
            <w:tcW w:w="220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2024</w:t>
            </w:r>
          </w:p>
        </w:tc>
      </w:tr>
      <w:tr>
        <w:trPr/>
        <w:tc>
          <w:tcPr>
            <w:tcW w:w="58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operating activities</w:t>
            </w:r>
          </w:p>
        </w:tc>
        <w:tc>
          <w:tcPr>
            <w:tcW w:w="212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30,847 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27,050 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Adjustments to reconcile net income to net cash provided by operating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Depreciation and amortization</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43,346 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60,553 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Provision for credit losses and sales returns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3,780 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519 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 expense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49,422 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57,856 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(653)</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(18,810)</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deferred financing costs and discount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984 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Loss on disposition of businesses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1,561 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non-cash adjustments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(5,407)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2,462 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Changes in operating assets and liabilities, net of acquisition and disposal of businesses: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Accounts receivable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(64,984)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(53,062)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assets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(8,910)</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(2,473)</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19,146 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liabilities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(10,208)</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(13,579)</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38,158 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36,228 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operating activities</w:t>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68,329 </w:t>
            </w:r>
          </w:p>
        </w:tc>
        <w:tc>
          <w:tcPr>
            <w:tcW w:w="18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118,435 </w:t>
            </w:r>
          </w:p>
        </w:tc>
        <w:tc>
          <w:tcPr>
            <w:tcW w:w="2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investing activities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property and equipment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(1,311)</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(6,118)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Capitalized software development costs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(27,787)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(28,392)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used in disposition of business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(12,235)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(1,179)</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investing activities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(5,029)</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investing activities</w:t>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(41,333)</w:t>
            </w:r>
          </w:p>
        </w:tc>
        <w:tc>
          <w:tcPr>
            <w:tcW w:w="18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(40,718)</w:t>
            </w:r>
          </w:p>
        </w:tc>
        <w:tc>
          <w:tcPr>
            <w:tcW w:w="26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financing activities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Proceeds from issuance of debt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272,300 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1,211,600 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Payments on debt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(187,666)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(966,680)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issuance costs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(6,458)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Employee taxes paid for withheld shares upon equity award settlement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(38,655)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(54,483)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due to customers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128,582 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106,851 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customer funds receivable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(3,262)</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(2,577)</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stock, including excise tax payments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(103,205)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(262,596)</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financing activities</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68,094 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25,657 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Effect of exchange rate on cash, cash equivalents and restricted cash</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7,212 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(523)</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increase in cash, cash equivalents and restricted cash</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102,302 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102,851 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beginning of period</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728,257 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end of period</w:t>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911,814 </w:t>
            </w:r>
          </w:p>
        </w:tc>
        <w:tc>
          <w:tcPr>
            <w:tcW w:w="18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831,108 </w:t>
            </w:r>
          </w:p>
        </w:tc>
        <w:tc>
          <w:tcPr>
            <w:tcW w:w="2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9996" w:type="dxa"/>
        <w:jc w:val="left"/>
        <w:tblInd w:w="0" w:type="dxa"/>
        <w:tblLayout w:type="fixed"/>
        <w:tblCellMar>
          <w:top w:w="28" w:type="dxa"/>
          <w:left w:w="28" w:type="dxa"/>
          <w:bottom w:w="28" w:type="dxa"/>
          <w:right w:w="28" w:type="dxa"/>
        </w:tblCellMar>
      </w:tblPr>
      <w:tblGrid>
        <w:gridCol w:w="2640"/>
        <w:gridCol w:w="2321"/>
        <w:gridCol w:w="2329"/>
        <w:gridCol w:w="226"/>
        <w:gridCol w:w="946"/>
        <w:gridCol w:w="109"/>
        <w:gridCol w:w="243"/>
        <w:gridCol w:w="1017"/>
        <w:gridCol w:w="165"/>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41,566 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67,628 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870,248 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741,884 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cash, cash equivalents and restricted cash in the statement of cash flows</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911,814 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bookmarkStart w:id="11" w:name="i-8"/>
                                  <w:bookmarkEnd w:id="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77" w:type="dxa"/>
                        <w:jc w:val="center"/>
                        <w:tblInd w:w="0" w:type="dxa"/>
                        <w:tblLayout w:type="fixed"/>
                        <w:tblCellMar>
                          <w:top w:w="28" w:type="dxa"/>
                          <w:left w:w="28" w:type="dxa"/>
                          <w:bottom w:w="28" w:type="dxa"/>
                          <w:right w:w="28" w:type="dxa"/>
                        </w:tblCellMar>
                      </w:tblPr>
                      <w:tblGrid>
                        <w:gridCol w:w="1027"/>
                        <w:gridCol w:w="900"/>
                        <w:gridCol w:w="907"/>
                        <w:gridCol w:w="423"/>
                        <w:gridCol w:w="423"/>
                        <w:gridCol w:w="42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bookmarkStart w:id="12" w:name="i-8"/>
                            <w:bookmarkEnd w:id="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18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53"/>
        <w:gridCol w:w="944"/>
        <w:gridCol w:w="124"/>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32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Accumulated deficit</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32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2024</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70,943,373 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(21,697,785)</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(84,303)</w:t>
            </w:r>
          </w:p>
        </w:tc>
        <w:tc>
          <w:tcPr>
            <w:tcW w:w="12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141,993 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(1,513,022)</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1,023,958 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(532,179)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299,136 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2025</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72,258,301 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(23,742,986)</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(1,198,721)</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1,319,562 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(8,302)</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(79,436)</w:t>
            </w:r>
          </w:p>
        </w:tc>
        <w:tc>
          <w:tcPr>
            <w:tcW w:w="12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33,175 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25,980 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25,980 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4,951 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(13,939)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27,672 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23,307 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(22,991)</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2,010 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2025</w:t>
            </w:r>
          </w:p>
        </w:tc>
        <w:tc>
          <w:tcPr>
            <w:tcW w:w="124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72,263,568 </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(23,756,925)</w:t>
            </w:r>
          </w:p>
        </w:tc>
        <w:tc>
          <w:tcPr>
            <w:tcW w:w="2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(1,199,608)</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1,347,234 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(6,292)</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(53,456)</w:t>
            </w:r>
          </w:p>
        </w:tc>
        <w:tc>
          <w:tcPr>
            <w:tcW w:w="12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87,950 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bookmarkStart w:id="13" w:name="i-9"/>
                                  <w:bookmarkEnd w:id="1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bookmarkStart w:id="14" w:name="i-9"/>
                            <w:bookmarkEnd w:id="1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 (continued)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296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961"/>
        <w:gridCol w:w="109"/>
        <w:gridCol w:w="109"/>
        <w:gridCol w:w="109"/>
        <w:gridCol w:w="109"/>
        <w:gridCol w:w="226"/>
        <w:gridCol w:w="1126"/>
        <w:gridCol w:w="109"/>
        <w:gridCol w:w="324"/>
        <w:gridCol w:w="1035"/>
        <w:gridCol w:w="157"/>
        <w:gridCol w:w="226"/>
        <w:gridCol w:w="946"/>
        <w:gridCol w:w="109"/>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income</w:t>
            </w:r>
          </w:p>
        </w:tc>
        <w:tc>
          <w:tcPr>
            <w:tcW w:w="128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Retained earnings</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br/>
              <w:t>stockholders'</w:t>
              <w:br/>
              <w:t>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29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28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2023</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69,188,304 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(15,562,864)</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(591,557)</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1,203,012 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(1,688)</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198,869 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808,705 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5,246 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(2,954,211)</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(211,412)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(52,244)</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(263,656)</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1,357,125 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(720,189)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(52,723)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(52,723)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33,570 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335,237 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(19,159)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2,910 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2,910 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2024</w:t>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70,861,507 </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(19,237,264)</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(855,692)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1,184,338 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1,222 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204,115 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534,054 </w:t>
            </w:r>
          </w:p>
        </w:tc>
        <w:tc>
          <w:tcPr>
            <w:tcW w:w="16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21,804 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21,804 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10,719 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(22,273)</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(1,760)</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(1,760)</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24,286 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21,164 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(9,902)</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(1,047)</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June 30, 2024</w:t>
            </w:r>
          </w:p>
        </w:tc>
        <w:tc>
          <w:tcPr>
            <w:tcW w:w="1246"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70,883,488 </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(19,259,537)</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(857,452)</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1,208,624 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175 </w:t>
            </w:r>
          </w:p>
        </w:tc>
        <w:tc>
          <w:tcPr>
            <w:tcW w:w="1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225,919 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577,337 </w:t>
            </w:r>
          </w:p>
        </w:tc>
        <w:tc>
          <w:tcPr>
            <w:tcW w:w="16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tbl>
      <w:tblPr>
        <w:tblW w:w="9254" w:type="dxa"/>
        <w:jc w:val="left"/>
        <w:tblInd w:w="0" w:type="dxa"/>
        <w:tblLayout w:type="fixed"/>
        <w:tblCellMar>
          <w:top w:w="28" w:type="dxa"/>
          <w:left w:w="28" w:type="dxa"/>
          <w:bottom w:w="28" w:type="dxa"/>
          <w:right w:w="28" w:type="dxa"/>
        </w:tblCellMar>
      </w:tblPr>
      <w:tblGrid>
        <w:gridCol w:w="2959"/>
        <w:gridCol w:w="2602"/>
        <w:gridCol w:w="3693"/>
      </w:tblGrid>
      <w:tr>
        <w:trPr/>
        <w:tc>
          <w:tcPr>
            <w:tcW w:w="295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bookmarkStart w:id="15" w:name="i-10"/>
                                  <w:bookmarkEnd w:id="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bookmarkStart w:id="16" w:name="i-10"/>
                            <w:bookmarkEnd w:id="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5" w:type="dxa"/>
        <w:jc w:val="center"/>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 Organization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1100"/>
        <w:gridCol w:w="967"/>
        <w:gridCol w:w="1368"/>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2. Basis of Presentation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Unaudited condensed consolidated interim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2024 has been derived from the audited consolidated financial statements at that date. Operating results and cash flows for the three and/or six months ended June 30, 2025 are not necessarily indicative of the results that may be expected for the fiscal year ending December 31, 2025,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2024, and other forms filed with the SEC from time to time.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Basis of consolidation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Use of estimates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bookmarkStart w:id="17" w:name="i-11"/>
                                  <w:bookmarkEnd w:id="1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bookmarkStart w:id="18" w:name="i-11"/>
                            <w:bookmarkEnd w:id="1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Recently issued accounting pronouncements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are no recently issued accounting pronouncements that we expect to have a material impact on our consolidated financial statements when adopted in the future.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Summary of significant accounting policies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material changes to our significant accounting policies described in our Annual Report on Form 10-K for the year ended December 31, 2024, filed with the SEC on February 21,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9"/>
        <w:gridCol w:w="878"/>
        <w:gridCol w:w="1242"/>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3. Earnings Per Share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671"/>
        <w:gridCol w:w="1368"/>
        <w:gridCol w:w="1372"/>
        <w:gridCol w:w="267"/>
        <w:gridCol w:w="979"/>
        <w:gridCol w:w="109"/>
        <w:gridCol w:w="267"/>
        <w:gridCol w:w="979"/>
        <w:gridCol w:w="109"/>
        <w:gridCol w:w="109"/>
        <w:gridCol w:w="109"/>
        <w:gridCol w:w="109"/>
        <w:gridCol w:w="267"/>
        <w:gridCol w:w="979"/>
        <w:gridCol w:w="109"/>
        <w:gridCol w:w="267"/>
        <w:gridCol w:w="979"/>
        <w:gridCol w:w="156"/>
      </w:tblGrid>
      <w:tr>
        <w:trPr/>
        <w:tc>
          <w:tcPr>
            <w:tcW w:w="1671"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71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41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402"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41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Numerator:</w:t>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income</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21,804 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27,050 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Denominator:</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Weighted average common shares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47,784,062 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50,747,337 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48,104,780 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51,399,853 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Add effect of dilutive securities:</w:t>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Restricted stock and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463,995 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930,081 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682,013 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972,074 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Weighted average common shares assuming dilution</w:t>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48,248,057 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51,677,418 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48,786,793 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52,371,927 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Earnings per share</w:t>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Basic</w:t>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0.54 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0.64 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0.53 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Anti-dilutive shares excluded from calculations of diluted earnings per share</w:t>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681,085 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12,367 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1,154,673 </w:t>
            </w:r>
          </w:p>
        </w:tc>
        <w:tc>
          <w:tcPr>
            <w:tcW w:w="109"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1,023,093 </w:t>
            </w:r>
          </w:p>
        </w:tc>
        <w:tc>
          <w:tcPr>
            <w:tcW w:w="15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bookmarkStart w:id="19" w:name="i-12"/>
                                  <w:bookmarkEnd w:id="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bookmarkStart w:id="20" w:name="i-12"/>
                            <w:bookmarkEnd w:id="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4. Fair Value Measurements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773"/>
        <w:gridCol w:w="591"/>
        <w:gridCol w:w="593"/>
        <w:gridCol w:w="109"/>
        <w:gridCol w:w="721"/>
        <w:gridCol w:w="1297"/>
        <w:gridCol w:w="350"/>
        <w:gridCol w:w="109"/>
        <w:gridCol w:w="109"/>
        <w:gridCol w:w="109"/>
        <w:gridCol w:w="340"/>
        <w:gridCol w:w="1245"/>
        <w:gridCol w:w="164"/>
        <w:gridCol w:w="109"/>
        <w:gridCol w:w="109"/>
        <w:gridCol w:w="109"/>
        <w:gridCol w:w="558"/>
        <w:gridCol w:w="1002"/>
        <w:gridCol w:w="270"/>
        <w:gridCol w:w="109"/>
        <w:gridCol w:w="109"/>
        <w:gridCol w:w="109"/>
        <w:gridCol w:w="226"/>
        <w:gridCol w:w="826"/>
        <w:gridCol w:w="159"/>
      </w:tblGrid>
      <w:tr>
        <w:trPr/>
        <w:tc>
          <w:tcPr>
            <w:tcW w:w="77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19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6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June 30, 2025</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1,359 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1,359 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3,856 </w:t>
            </w:r>
          </w:p>
        </w:tc>
        <w:tc>
          <w:tcPr>
            <w:tcW w:w="16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3,856 </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Fair value as of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1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6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9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35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4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6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0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7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5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r>
        <w:trPr/>
        <w:tc>
          <w:tcPr>
            <w:tcW w:w="195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Our derivative instruments within the scope of Accounting Standards Codification ("ASC") 815, </w:t>
      </w:r>
      <w:r>
        <w:rPr>
          <w:rFonts w:ascii="sans-serif" w:hAnsi="sans-serif"/>
          <w:b w:val="false"/>
          <w:i/>
          <w:color w:val="51555C"/>
          <w:sz w:val="20"/>
        </w:rPr>
        <w:t>Derivatives and Hedging</w:t>
      </w:r>
      <w:r>
        <w:rPr>
          <w:rFonts w:ascii="sans-serif" w:hAnsi="sans-serif"/>
          <w:b w:val="false"/>
          <w:color w:val="51555C"/>
          <w:sz w:val="20"/>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June 30, 2025 and December 31, 2024, due to the immediate or short-term maturity of these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bookmarkStart w:id="21" w:name="i-13"/>
                                  <w:bookmarkEnd w:id="2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bookmarkStart w:id="22" w:name="i-13"/>
                            <w:bookmarkEnd w:id="2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 of our debt approximates its fair value at June 30, 2025 and December 31, 2024,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transfer any assets or liabilities among the levels within the fair value hierarchy during the six months ended June 30, 2025.</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significant non-recurring fair value adjustments to our long-lived assets, intangible assets, goodwill or operating lease ROU assets during the six months ended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19" w:type="dxa"/>
        <w:jc w:val="left"/>
        <w:tblInd w:w="0" w:type="dxa"/>
        <w:tblLayout w:type="fixed"/>
        <w:tblCellMar>
          <w:top w:w="28" w:type="dxa"/>
          <w:left w:w="28" w:type="dxa"/>
          <w:bottom w:w="28" w:type="dxa"/>
          <w:right w:w="28" w:type="dxa"/>
        </w:tblCellMar>
      </w:tblPr>
      <w:tblGrid>
        <w:gridCol w:w="1959"/>
        <w:gridCol w:w="1723"/>
        <w:gridCol w:w="243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5. Consolidated Financial Statement Details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Restricted cash</w:t>
      </w:r>
    </w:p>
    <w:tbl>
      <w:tblPr>
        <w:tblW w:w="6606" w:type="dxa"/>
        <w:jc w:val="left"/>
        <w:tblInd w:w="0" w:type="dxa"/>
        <w:tblLayout w:type="fixed"/>
        <w:tblCellMar>
          <w:top w:w="28" w:type="dxa"/>
          <w:left w:w="28" w:type="dxa"/>
          <w:bottom w:w="28" w:type="dxa"/>
          <w:right w:w="28" w:type="dxa"/>
        </w:tblCellMar>
      </w:tblPr>
      <w:tblGrid>
        <w:gridCol w:w="1412"/>
        <w:gridCol w:w="1242"/>
        <w:gridCol w:w="1246"/>
        <w:gridCol w:w="226"/>
        <w:gridCol w:w="946"/>
        <w:gridCol w:w="109"/>
        <w:gridCol w:w="243"/>
        <w:gridCol w:w="1017"/>
        <w:gridCol w:w="16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3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Restricted cash due to customers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869,061 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740,370 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escrow balances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1,514 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restricted cash</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870,248 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741,884 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bookmarkStart w:id="23" w:name="i-14"/>
                                  <w:bookmarkEnd w:id="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bookmarkStart w:id="24" w:name="i-14"/>
                            <w:bookmarkEnd w:id="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Prepaid expenses and other assets</w:t>
      </w:r>
    </w:p>
    <w:tbl>
      <w:tblPr>
        <w:tblW w:w="9126" w:type="dxa"/>
        <w:jc w:val="left"/>
        <w:tblInd w:w="0" w:type="dxa"/>
        <w:tblLayout w:type="fixed"/>
        <w:tblCellMar>
          <w:top w:w="28" w:type="dxa"/>
          <w:left w:w="28" w:type="dxa"/>
          <w:bottom w:w="28" w:type="dxa"/>
          <w:right w:w="28" w:type="dxa"/>
        </w:tblCellMar>
      </w:tblPr>
      <w:tblGrid>
        <w:gridCol w:w="2369"/>
        <w:gridCol w:w="2082"/>
        <w:gridCol w:w="2089"/>
        <w:gridCol w:w="226"/>
        <w:gridCol w:w="826"/>
        <w:gridCol w:w="109"/>
        <w:gridCol w:w="267"/>
        <w:gridCol w:w="976"/>
        <w:gridCol w:w="182"/>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Costs of obtaining contracts</w:t>
            </w:r>
            <w:r>
              <w:rPr>
                <w:rFonts w:ascii="sans-serif" w:hAnsi="sans-serif"/>
                <w:b w:val="false"/>
                <w:color w:val="51555C"/>
                <w:sz w:val="13"/>
              </w:rPr>
              <w:t>(1)(2)</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56,515 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57,911 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Prepaid software maintenance and subscriptions</w:t>
            </w:r>
            <w:r>
              <w:rPr>
                <w:rFonts w:ascii="sans-serif" w:hAnsi="sans-serif"/>
                <w:b w:val="false"/>
                <w:color w:val="51555C"/>
                <w:sz w:val="13"/>
              </w:rPr>
              <w:t>(3)</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34,883 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36,277 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Implementation costs for cloud computing arrangements, net</w:t>
            </w:r>
            <w:r>
              <w:rPr>
                <w:rFonts w:ascii="sans-serif" w:hAnsi="sans-serif"/>
                <w:b w:val="false"/>
                <w:color w:val="51555C"/>
                <w:sz w:val="13"/>
              </w:rPr>
              <w:t>(4)(5)</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10,476 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10,450 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Taxes, prepaid and receivable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4,257 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Unbilled accounts receivable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7,450 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7,067 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Investment in equity securities</w:t>
            </w:r>
            <w:r>
              <w:rPr>
                <w:rFonts w:ascii="sans-serif" w:hAnsi="sans-serif"/>
                <w:b w:val="false"/>
                <w:color w:val="51555C"/>
                <w:sz w:val="13"/>
              </w:rPr>
              <w:t>(6)</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Prepaid insurance</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4,789 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3,027 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Derivative instruments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assets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15,888 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14,026 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prepaid expenses and other assets</w:t>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146,006 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148,508 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54,784 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67,221 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Prepaid expenses and other current assets</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91,222 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81,287 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(1)Amortization expense from costs of obtaining contracts was $5.1 million and $10.1 million for the three and six months ended June 30, 2025, respectively, and $4.9 million and $9.7 million for the three and six months ended June 30, 2024,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current portion of costs of obtaining contracts as of June 30, 2025 and December 31, 2024 was $18.5 million and $18.4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(3)The current portion of prepaid software maintenance and subscriptions as of June 30, 2025 and December 31, 2024 was $33.4 million and $34.0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(4)These costs primarily relate to the multi-year implementations of our global enterprise resource planning, customer relationship management systems and other cloud-based systems.</w:t>
      </w:r>
    </w:p>
    <w:p>
      <w:pPr>
        <w:pStyle w:val="TextBody"/>
        <w:bidi w:val="0"/>
        <w:spacing w:lineRule="auto" w:line="288" w:before="0" w:after="0"/>
        <w:ind w:left="0" w:right="0" w:hanging="360"/>
        <w:jc w:val="both"/>
        <w:rPr/>
      </w:pPr>
      <w:r>
        <w:rPr>
          <w:rFonts w:ascii="sans-serif" w:hAnsi="sans-serif"/>
          <w:b w:val="false"/>
          <w:color w:val="51555C"/>
          <w:sz w:val="16"/>
        </w:rPr>
        <w:t>(5)Amortization expense from capitalized cloud computing implementation costs was insignificant for the three months ended June 30, 2025 and 2024, and $1.6 million and $1.4 million</w:t>
      </w:r>
      <w:r>
        <w:rPr>
          <w:color w:val="51555C"/>
        </w:rPr>
        <w:t xml:space="preserve"> </w:t>
      </w:r>
      <w:r>
        <w:rPr>
          <w:rFonts w:ascii="sans-serif" w:hAnsi="sans-serif"/>
          <w:b w:val="false"/>
          <w:color w:val="51555C"/>
          <w:sz w:val="16"/>
        </w:rPr>
        <w:t>for the six months ended June 30, 2025 and 2024, respectively. Accumulated amortization for these costs was $12.3 million and $10.6 million as of June 30, 2025 and December 31, 2024,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(6)Represents a strategic investment that did not result in Blackbaud having significant influence over the investee.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Accrued expenses and other liabilities</w:t>
      </w:r>
    </w:p>
    <w:tbl>
      <w:tblPr>
        <w:tblW w:w="8780" w:type="dxa"/>
        <w:jc w:val="left"/>
        <w:tblInd w:w="0" w:type="dxa"/>
        <w:tblLayout w:type="fixed"/>
        <w:tblCellMar>
          <w:top w:w="28" w:type="dxa"/>
          <w:left w:w="28" w:type="dxa"/>
          <w:bottom w:w="28" w:type="dxa"/>
          <w:right w:w="28" w:type="dxa"/>
        </w:tblCellMar>
      </w:tblPr>
      <w:tblGrid>
        <w:gridCol w:w="2242"/>
        <w:gridCol w:w="1973"/>
        <w:gridCol w:w="1979"/>
        <w:gridCol w:w="226"/>
        <w:gridCol w:w="826"/>
        <w:gridCol w:w="109"/>
        <w:gridCol w:w="267"/>
        <w:gridCol w:w="976"/>
        <w:gridCol w:w="182"/>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619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payable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10,643 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15,844 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Customer credit balances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8,779 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Unrecognized tax benefit</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4,967 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4,285 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Derivative instruments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health care costs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2,766 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3,151 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commissions and salaries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4,012 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vacation costs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2,455 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2,060 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legal costs</w:t>
            </w:r>
            <w:r>
              <w:rPr>
                <w:rFonts w:ascii="sans-serif" w:hAnsi="sans-serif"/>
                <w:b w:val="false"/>
                <w:color w:val="51555C"/>
                <w:sz w:val="13"/>
              </w:rPr>
              <w:t>(1)</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2,504 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Operating lease liabilities, current portion</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4,489 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transaction-based costs related to payments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3,903 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Stock-based compensation liability</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7,292 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Accrued costs to sell EVERFI</w:t>
            </w:r>
            <w:r>
              <w:rPr>
                <w:rFonts w:ascii="sans-serif" w:hAnsi="sans-serif"/>
                <w:b w:val="false"/>
                <w:color w:val="51555C"/>
                <w:sz w:val="13"/>
              </w:rPr>
              <w:t>(2)</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13,985 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liabilities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7,958 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10,035 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accrued expenses and other liabilities</w:t>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48,659 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80,339 </w:t>
            </w:r>
          </w:p>
        </w:tc>
        <w:tc>
          <w:tcPr>
            <w:tcW w:w="18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7,796 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4,796 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40,863 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75,543 </w:t>
            </w:r>
          </w:p>
        </w:tc>
        <w:tc>
          <w:tcPr>
            <w:tcW w:w="18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(1)All accrued legal costs are classified as current. See Note 8 to these unaudited, condensed consolidated financial statements for additional information about our loss contingency accruals and other legal expenses.</w:t>
      </w:r>
    </w:p>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(2)As previously disclosed, on December 31, 2024, we disposed of our EVERFI business, formerly a wholly-owned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bookmarkStart w:id="25" w:name="i-15"/>
                                  <w:bookmarkEnd w:id="2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bookmarkStart w:id="26" w:name="i-15"/>
                            <w:bookmarkEnd w:id="2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ind w:left="0" w:right="0" w:firstLine="720"/>
        <w:jc w:val="both"/>
        <w:rPr/>
      </w:pPr>
      <w:r>
        <w:rPr>
          <w:rFonts w:ascii="sans-serif" w:hAnsi="sans-serif"/>
          <w:b/>
          <w:color w:val="51555C"/>
          <w:sz w:val="20"/>
        </w:rPr>
        <w:t>Other income, net</w:t>
      </w:r>
      <w:r>
        <w:rPr>
          <w:color w:val="51555C"/>
        </w:rPr>
        <w:t xml:space="preserve"> </w:t>
      </w:r>
    </w:p>
    <w:tbl>
      <w:tblPr>
        <w:tblW w:w="7370" w:type="dxa"/>
        <w:jc w:val="left"/>
        <w:tblInd w:w="0" w:type="dxa"/>
        <w:tblLayout w:type="fixed"/>
        <w:tblCellMar>
          <w:top w:w="28" w:type="dxa"/>
          <w:left w:w="28" w:type="dxa"/>
          <w:bottom w:w="28" w:type="dxa"/>
          <w:right w:w="28" w:type="dxa"/>
        </w:tblCellMar>
      </w:tblPr>
      <w:tblGrid>
        <w:gridCol w:w="1026"/>
        <w:gridCol w:w="903"/>
        <w:gridCol w:w="905"/>
        <w:gridCol w:w="226"/>
        <w:gridCol w:w="706"/>
        <w:gridCol w:w="109"/>
        <w:gridCol w:w="226"/>
        <w:gridCol w:w="706"/>
        <w:gridCol w:w="109"/>
        <w:gridCol w:w="109"/>
        <w:gridCol w:w="109"/>
        <w:gridCol w:w="109"/>
        <w:gridCol w:w="226"/>
        <w:gridCol w:w="706"/>
        <w:gridCol w:w="109"/>
        <w:gridCol w:w="226"/>
        <w:gridCol w:w="70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8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8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8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income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1,968 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2,815 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3,623 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4,863 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Currency revaluation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income, net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1,172 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1,891 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income, net</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1,118 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3,310 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3,223 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6,657 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6. Debt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debt balances and the related weighted average effective interest rates, which includes the effect of interest rate swap agreements.</w:t>
      </w:r>
    </w:p>
    <w:tbl>
      <w:tblPr>
        <w:tblW w:w="10205" w:type="dxa"/>
        <w:jc w:val="left"/>
        <w:tblInd w:w="0" w:type="dxa"/>
        <w:tblLayout w:type="fixed"/>
        <w:tblCellMar>
          <w:top w:w="28" w:type="dxa"/>
          <w:left w:w="28" w:type="dxa"/>
          <w:bottom w:w="28" w:type="dxa"/>
          <w:right w:w="28" w:type="dxa"/>
        </w:tblCellMar>
      </w:tblPr>
      <w:tblGrid>
        <w:gridCol w:w="1586"/>
        <w:gridCol w:w="1395"/>
        <w:gridCol w:w="1399"/>
        <w:gridCol w:w="226"/>
        <w:gridCol w:w="1126"/>
        <w:gridCol w:w="109"/>
        <w:gridCol w:w="226"/>
        <w:gridCol w:w="1126"/>
        <w:gridCol w:w="109"/>
        <w:gridCol w:w="109"/>
        <w:gridCol w:w="109"/>
        <w:gridCol w:w="109"/>
        <w:gridCol w:w="373"/>
        <w:gridCol w:w="239"/>
        <w:gridCol w:w="574"/>
        <w:gridCol w:w="293"/>
        <w:gridCol w:w="293"/>
        <w:gridCol w:w="804"/>
      </w:tblGrid>
      <w:tr>
        <w:trPr/>
        <w:tc>
          <w:tcPr>
            <w:tcW w:w="158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Debt balance at</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 average</w:t>
              <w:br/>
              <w:t>effective interest rate at</w:t>
            </w:r>
          </w:p>
        </w:tc>
      </w:tr>
      <w:tr>
        <w:trPr/>
        <w:tc>
          <w:tcPr>
            <w:tcW w:w="4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39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43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Credit facility:</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Revolving credit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325,400 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229,900 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6.47 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6.37 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Term loans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780,000 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790,000 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5.53 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5.59 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Real estate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5.23 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5.23 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debt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9.13 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8.77 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debt</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1,160,361 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1,077,818 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5.78 </w:t>
            </w:r>
          </w:p>
        </w:tc>
        <w:tc>
          <w:tcPr>
            <w:tcW w:w="57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5.75 </w:t>
            </w:r>
          </w:p>
        </w:tc>
        <w:tc>
          <w:tcPr>
            <w:tcW w:w="80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Unamortized discount and debt issuance costs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Debt,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6.26 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6.21 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38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Debt, net of current portion</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1,136,112 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1,051,110 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5.77 </w:t>
            </w:r>
          </w:p>
        </w:tc>
        <w:tc>
          <w:tcPr>
            <w:tcW w:w="5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5.73 </w:t>
            </w:r>
          </w:p>
        </w:tc>
        <w:tc>
          <w:tcPr>
            <w:tcW w:w="80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April 2024, we entered into a five-year $1.5 billion senior credit facility (the "2024 Credit Facilities"). At June 30, 2025, we were in compliance with our debt covenants under the 2024 Credit Facilities.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Real estate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June 30, 2025, we were in compliance with our debt covenants under the Real Estate Loans.</w:t>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bookmarkStart w:id="27" w:name="i-16"/>
                                  <w:bookmarkEnd w:id="2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bookmarkStart w:id="28" w:name="i-16"/>
                            <w:bookmarkEnd w:id="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currently effective supplier financing agreements as of June 30, 2025:</w:t>
      </w:r>
    </w:p>
    <w:tbl>
      <w:tblPr>
        <w:tblW w:w="9431" w:type="dxa"/>
        <w:jc w:val="left"/>
        <w:tblInd w:w="0" w:type="dxa"/>
        <w:tblLayout w:type="fixed"/>
        <w:tblCellMar>
          <w:top w:w="28" w:type="dxa"/>
          <w:left w:w="28" w:type="dxa"/>
          <w:bottom w:w="28" w:type="dxa"/>
          <w:right w:w="28" w:type="dxa"/>
        </w:tblCellMar>
      </w:tblPr>
      <w:tblGrid>
        <w:gridCol w:w="1385"/>
        <w:gridCol w:w="1218"/>
        <w:gridCol w:w="1222"/>
        <w:gridCol w:w="369"/>
        <w:gridCol w:w="369"/>
        <w:gridCol w:w="371"/>
        <w:gridCol w:w="574"/>
        <w:gridCol w:w="574"/>
        <w:gridCol w:w="576"/>
        <w:gridCol w:w="459"/>
        <w:gridCol w:w="459"/>
        <w:gridCol w:w="461"/>
        <w:gridCol w:w="290"/>
        <w:gridCol w:w="907"/>
        <w:gridCol w:w="197"/>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Term</w:t>
              <w:br/>
              <w:t> in Months</w:t>
            </w:r>
          </w:p>
        </w:tc>
        <w:tc>
          <w:tcPr>
            <w:tcW w:w="172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Number of</w:t>
              <w:br/>
              <w:t>Annual Payments</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First Annual</w:t>
              <w:br/>
              <w:t>Payment Due</w:t>
            </w:r>
          </w:p>
        </w:tc>
        <w:tc>
          <w:tcPr>
            <w:tcW w:w="139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Original Loan</w:t>
              <w:br/>
              <w:t>Value</w:t>
            </w:r>
          </w:p>
        </w:tc>
      </w:tr>
      <w:tr>
        <w:trPr/>
        <w:tc>
          <w:tcPr>
            <w:tcW w:w="38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sans-serif" w:hAnsi="sans-serif"/>
                <w:b/>
                <w:color w:val="51555C"/>
                <w:sz w:val="20"/>
              </w:rPr>
              <w:t xml:space="preserve">Effective dates of agreements </w:t>
            </w:r>
            <w:r>
              <w:rPr>
                <w:rFonts w:ascii="sans-serif" w:hAnsi="sans-serif"/>
                <w:b/>
                <w:color w:val="51555C"/>
                <w:sz w:val="13"/>
              </w:rPr>
              <w:t>(1)</w:t>
            </w:r>
            <w:r>
              <w:rPr>
                <w:rFonts w:ascii="sans-serif" w:hAnsi="sans-serif"/>
                <w:b/>
                <w:color w:val="51555C"/>
                <w:sz w:val="20"/>
              </w:rPr>
              <w:t>:</w:t>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December 2022</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w:t>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January 2023</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January 2023</w:t>
            </w:r>
          </w:p>
        </w:tc>
        <w:tc>
          <w:tcPr>
            <w:tcW w:w="110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April 2023</w:t>
            </w:r>
          </w:p>
        </w:tc>
        <w:tc>
          <w:tcPr>
            <w:tcW w:w="29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2,491 </w:t>
            </w:r>
          </w:p>
        </w:tc>
        <w:tc>
          <w:tcPr>
            <w:tcW w:w="19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April 2024</w:t>
            </w:r>
          </w:p>
        </w:tc>
        <w:tc>
          <w:tcPr>
            <w:tcW w:w="110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w:t>
            </w:r>
          </w:p>
        </w:tc>
        <w:tc>
          <w:tcPr>
            <w:tcW w:w="1148"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3 </w:t>
            </w:r>
          </w:p>
        </w:tc>
        <w:tc>
          <w:tcPr>
            <w:tcW w:w="576"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May 2024</w:t>
            </w:r>
          </w:p>
        </w:tc>
        <w:tc>
          <w:tcPr>
            <w:tcW w:w="290"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07"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2,073 </w:t>
            </w:r>
          </w:p>
        </w:tc>
        <w:tc>
          <w:tcPr>
            <w:tcW w:w="19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supplier financing obligations during the six months ended June 30, 2025, consisted of the following:</w:t>
      </w:r>
    </w:p>
    <w:tbl>
      <w:tblPr>
        <w:tblW w:w="4611" w:type="dxa"/>
        <w:jc w:val="left"/>
        <w:tblInd w:w="0" w:type="dxa"/>
        <w:tblLayout w:type="fixed"/>
        <w:tblCellMar>
          <w:top w:w="28" w:type="dxa"/>
          <w:left w:w="28" w:type="dxa"/>
          <w:bottom w:w="28" w:type="dxa"/>
          <w:right w:w="28" w:type="dxa"/>
        </w:tblCellMar>
      </w:tblPr>
      <w:tblGrid>
        <w:gridCol w:w="1276"/>
        <w:gridCol w:w="1123"/>
        <w:gridCol w:w="1126"/>
        <w:gridCol w:w="226"/>
        <w:gridCol w:w="70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8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5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Balance at December 31, 2024</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2,783 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Additions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Payments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(2,092)</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Balance at June 30, 2025</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691 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7. Derivative Instruments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All of our derivative instruments are governed by International Swap Dealers Association, Inc. master agreements with our counterparties. As of June 30, 2025 and December 31, 2024, we have presented the fair value of our derivative instruments at the gross amounts in the condensed consolidated balance sheets as the gross fair values of our derivative instruments equaled their net fair values.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Cash flow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 As of June 30, 2025 and December 31, 2024, the aggregate notional values of the interest rate swaps were $700.0 million. All of the contracts have maturities on or before October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June 30, 2025 and December 31, 2024, the aggregate notional values of the foreign currency forward contracts designated as cash flow hedges that we held to buy USD in exchange for Canadian Dollars were $35.7 million CAD and $32.8 million CAD, respectively. All of the contracts have maturities of 12 months or less.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bookmarkStart w:id="29" w:name="i-17"/>
                                  <w:bookmarkEnd w:id="2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bookmarkStart w:id="30" w:name="i-17"/>
                            <w:bookmarkEnd w:id="3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Net investment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June 30, 2025 and December 31, 2024, the aggregate notional values of the foreign currency forward contracts designated as net investment hedges to reduce the volatility of the U.S. dollar value of a portion of our GBP-denominated investments was £14.8 million and £12.9 million,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157"/>
        <w:gridCol w:w="794"/>
        <w:gridCol w:w="796"/>
        <w:gridCol w:w="539"/>
        <w:gridCol w:w="411"/>
        <w:gridCol w:w="413"/>
        <w:gridCol w:w="226"/>
        <w:gridCol w:w="706"/>
        <w:gridCol w:w="109"/>
        <w:gridCol w:w="235"/>
        <w:gridCol w:w="861"/>
        <w:gridCol w:w="113"/>
        <w:gridCol w:w="109"/>
        <w:gridCol w:w="109"/>
        <w:gridCol w:w="109"/>
        <w:gridCol w:w="519"/>
        <w:gridCol w:w="392"/>
        <w:gridCol w:w="393"/>
        <w:gridCol w:w="230"/>
        <w:gridCol w:w="719"/>
        <w:gridCol w:w="111"/>
        <w:gridCol w:w="329"/>
        <w:gridCol w:w="592"/>
        <w:gridCol w:w="233"/>
      </w:tblGrid>
      <w:tr>
        <w:trPr/>
        <w:tc>
          <w:tcPr>
            <w:tcW w:w="115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Liability derivatives</w:t>
            </w:r>
          </w:p>
        </w:tc>
      </w:tr>
      <w:tr>
        <w:trPr/>
        <w:tc>
          <w:tcPr>
            <w:tcW w:w="274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6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20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06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15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74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Derivative instruments designated as hedging instruments:</w:t>
            </w:r>
          </w:p>
        </w:tc>
        <w:tc>
          <w:tcPr>
            <w:tcW w:w="136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 current portion</w:t>
            </w:r>
          </w:p>
        </w:tc>
        <w:tc>
          <w:tcPr>
            <w:tcW w:w="136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1,288 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Accrued expenses</w:t>
              <w:br/>
              <w:t>and other</w:t>
              <w:br/>
              <w:t>current liabilities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long-term</w:t>
            </w:r>
          </w:p>
        </w:tc>
        <w:tc>
          <w:tcPr>
            <w:tcW w:w="13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Other assets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9,262 </w:t>
            </w:r>
          </w:p>
        </w:tc>
        <w:tc>
          <w:tcPr>
            <w:tcW w:w="11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Other liabilities</w:t>
            </w:r>
          </w:p>
        </w:tc>
        <w:tc>
          <w:tcPr>
            <w:tcW w:w="94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2,497 </w:t>
            </w:r>
          </w:p>
        </w:tc>
        <w:tc>
          <w:tcPr>
            <w:tcW w:w="11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3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 derivative instruments designated as hedging instruments</w:t>
            </w:r>
          </w:p>
        </w:tc>
        <w:tc>
          <w:tcPr>
            <w:tcW w:w="1363"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1,321 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10,550 </w:t>
            </w:r>
          </w:p>
        </w:tc>
        <w:tc>
          <w:tcPr>
            <w:tcW w:w="11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1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3,856 </w:t>
            </w:r>
          </w:p>
        </w:tc>
        <w:tc>
          <w:tcPr>
            <w:tcW w:w="11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9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3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effects of derivative instruments in cash flow and net investment hedging relationships were as follows:</w:t>
      </w:r>
    </w:p>
    <w:tbl>
      <w:tblPr>
        <w:tblW w:w="10205" w:type="dxa"/>
        <w:jc w:val="left"/>
        <w:tblInd w:w="0" w:type="dxa"/>
        <w:tblLayout w:type="fixed"/>
        <w:tblCellMar>
          <w:top w:w="28" w:type="dxa"/>
          <w:left w:w="28" w:type="dxa"/>
          <w:bottom w:w="28" w:type="dxa"/>
          <w:right w:w="28" w:type="dxa"/>
        </w:tblCellMar>
      </w:tblPr>
      <w:tblGrid>
        <w:gridCol w:w="1053"/>
        <w:gridCol w:w="846"/>
        <w:gridCol w:w="849"/>
        <w:gridCol w:w="385"/>
        <w:gridCol w:w="1407"/>
        <w:gridCol w:w="186"/>
        <w:gridCol w:w="588"/>
        <w:gridCol w:w="588"/>
        <w:gridCol w:w="589"/>
        <w:gridCol w:w="363"/>
        <w:gridCol w:w="1137"/>
        <w:gridCol w:w="174"/>
        <w:gridCol w:w="141"/>
        <w:gridCol w:w="141"/>
        <w:gridCol w:w="141"/>
        <w:gridCol w:w="300"/>
        <w:gridCol w:w="1102"/>
        <w:gridCol w:w="215"/>
      </w:tblGrid>
      <w:tr>
        <w:trPr/>
        <w:tc>
          <w:tcPr>
            <w:tcW w:w="1053"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2748"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gain recognized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in 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as of</w:t>
            </w:r>
          </w:p>
        </w:tc>
        <w:tc>
          <w:tcPr>
            <w:tcW w:w="1765"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Location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of (loss) gain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reclassified from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into</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income</w:t>
            </w:r>
          </w:p>
        </w:tc>
        <w:tc>
          <w:tcPr>
            <w:tcW w:w="3714" w:type="dxa"/>
            <w:gridSpan w:val="9"/>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sans-serif" w:hAnsi="sans-serif"/>
                <w:b/>
                <w:color w:val="FFFFFF"/>
                <w:sz w:val="16"/>
              </w:rPr>
              <w:t>other comprehensive loss into income</w:t>
            </w:r>
          </w:p>
        </w:tc>
      </w:tr>
      <w:tr>
        <w:trPr/>
        <w:tc>
          <w:tcPr>
            <w:tcW w:w="274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97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765"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67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2025</w:t>
            </w:r>
          </w:p>
        </w:tc>
        <w:tc>
          <w:tcPr>
            <w:tcW w:w="423"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2025</w:t>
            </w:r>
          </w:p>
        </w:tc>
      </w:tr>
      <w:tr>
        <w:trPr/>
        <w:tc>
          <w:tcPr>
            <w:tcW w:w="274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Cash Flow Hedges</w:t>
            </w:r>
          </w:p>
        </w:tc>
        <w:tc>
          <w:tcPr>
            <w:tcW w:w="1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rate swaps</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(1,176)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Interest expense</w:t>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1,518 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2,437 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38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(541)</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Revenue</w:t>
            </w:r>
          </w:p>
        </w:tc>
        <w:tc>
          <w:tcPr>
            <w:tcW w:w="36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138 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434 </w:t>
            </w:r>
          </w:p>
        </w:tc>
        <w:tc>
          <w:tcPr>
            <w:tcW w:w="2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Net Investment Hedges</w:t>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38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(818)</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2024</w:t>
            </w:r>
          </w:p>
        </w:tc>
        <w:tc>
          <w:tcPr>
            <w:tcW w:w="1765"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2024</w:t>
            </w:r>
          </w:p>
        </w:tc>
        <w:tc>
          <w:tcPr>
            <w:tcW w:w="423"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 2024</w:t>
            </w:r>
          </w:p>
        </w:tc>
      </w:tr>
      <w:tr>
        <w:trPr/>
        <w:tc>
          <w:tcPr>
            <w:tcW w:w="274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Cash Flow Hedges</w:t>
            </w:r>
          </w:p>
        </w:tc>
        <w:tc>
          <w:tcPr>
            <w:tcW w:w="1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rate swaps</w:t>
            </w:r>
          </w:p>
        </w:tc>
        <w:tc>
          <w:tcPr>
            <w:tcW w:w="3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14,282 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Interest expense</w:t>
            </w:r>
          </w:p>
        </w:tc>
        <w:tc>
          <w:tcPr>
            <w:tcW w:w="36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10,929 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38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252 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Revenue</w:t>
            </w:r>
          </w:p>
        </w:tc>
        <w:tc>
          <w:tcPr>
            <w:tcW w:w="363"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129 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163 </w:t>
            </w:r>
          </w:p>
        </w:tc>
        <w:tc>
          <w:tcPr>
            <w:tcW w:w="21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Net Investment Hedges</w:t>
            </w:r>
          </w:p>
        </w:tc>
        <w:tc>
          <w:tcPr>
            <w:tcW w:w="1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38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40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w:t>
            </w:r>
          </w:p>
        </w:tc>
        <w:tc>
          <w:tcPr>
            <w:tcW w:w="18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65"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37"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17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0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2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bookmarkStart w:id="31" w:name="i-18"/>
                                  <w:bookmarkEnd w:id="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bookmarkStart w:id="32" w:name="i-18"/>
                            <w:bookmarkEnd w:id="3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June 30, 2025 that is expected to be reclassified into earnings within the next twelve months is $2.3 million. There were no ineffective portions of our interest rate swap or foreign currency forward derivatives during the six months ended June 30, 2025 and 2024. See Note 10 to these unaudited, condensed consolidated financial statements for a summary of the changes in accumulated other comprehensive income (loss) by component. We classify cash flows related to derivative instruments as operating activities in the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80" w:type="dxa"/>
        <w:jc w:val="left"/>
        <w:tblInd w:w="0" w:type="dxa"/>
        <w:tblLayout w:type="fixed"/>
        <w:tblCellMar>
          <w:top w:w="28" w:type="dxa"/>
          <w:left w:w="28" w:type="dxa"/>
          <w:bottom w:w="28" w:type="dxa"/>
          <w:right w:w="28" w:type="dxa"/>
        </w:tblCellMar>
      </w:tblPr>
      <w:tblGrid>
        <w:gridCol w:w="1594"/>
        <w:gridCol w:w="1402"/>
        <w:gridCol w:w="1984"/>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8. Commitments and Contingencies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operating leases for corporate offices and subleased offices. As of June 30, 2025, we did not have any operating leases that had not yet commenced.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Release from Washington, DC lease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February 2025, we made a one-time cash release payment of $28.0 million to the lessor in connection with a release from our lease for office space in Washington, DC (which was acquired as part of our acquisition of EVERFI in December 2021). Due to our remote-first workforce strategy, we had not used the office space since February 2023 and had subleased a portion of the space. During the six months ended June 30, 2025, we recorded a loss on lease termination of $24.3 million in general and administrative expense. </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following table summarizes the components of our lease expense:</w:t>
      </w:r>
    </w:p>
    <w:tbl>
      <w:tblPr>
        <w:tblW w:w="6680" w:type="dxa"/>
        <w:jc w:val="left"/>
        <w:tblInd w:w="0" w:type="dxa"/>
        <w:tblLayout w:type="fixed"/>
        <w:tblCellMar>
          <w:top w:w="28" w:type="dxa"/>
          <w:left w:w="28" w:type="dxa"/>
          <w:bottom w:w="28" w:type="dxa"/>
          <w:right w:w="28" w:type="dxa"/>
        </w:tblCellMar>
      </w:tblPr>
      <w:tblGrid>
        <w:gridCol w:w="847"/>
        <w:gridCol w:w="745"/>
        <w:gridCol w:w="747"/>
        <w:gridCol w:w="240"/>
        <w:gridCol w:w="560"/>
        <w:gridCol w:w="116"/>
        <w:gridCol w:w="240"/>
        <w:gridCol w:w="752"/>
        <w:gridCol w:w="116"/>
        <w:gridCol w:w="109"/>
        <w:gridCol w:w="109"/>
        <w:gridCol w:w="109"/>
        <w:gridCol w:w="239"/>
        <w:gridCol w:w="556"/>
        <w:gridCol w:w="109"/>
        <w:gridCol w:w="226"/>
        <w:gridCol w:w="706"/>
        <w:gridCol w:w="154"/>
      </w:tblGrid>
      <w:tr>
        <w:trPr/>
        <w:tc>
          <w:tcPr>
            <w:tcW w:w="84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33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9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0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33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Operating lease cost</w:t>
            </w:r>
            <w:r>
              <w:rPr>
                <w:rFonts w:ascii="sans-serif" w:hAnsi="sans-serif"/>
                <w:b w:val="false"/>
                <w:color w:val="51555C"/>
                <w:sz w:val="13"/>
              </w:rPr>
              <w:t>(1)</w:t>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6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224 </w:t>
            </w:r>
          </w:p>
        </w:tc>
        <w:tc>
          <w:tcPr>
            <w:tcW w:w="11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52"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1,625 </w:t>
            </w:r>
          </w:p>
        </w:tc>
        <w:tc>
          <w:tcPr>
            <w:tcW w:w="11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5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940 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3,611 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Variable lease cost</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Sublease income</w:t>
            </w:r>
          </w:p>
        </w:tc>
        <w:tc>
          <w:tcPr>
            <w:tcW w:w="8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(210)</w:t>
            </w:r>
          </w:p>
        </w:tc>
        <w:tc>
          <w:tcPr>
            <w:tcW w:w="1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(906)</w:t>
            </w:r>
          </w:p>
        </w:tc>
        <w:tc>
          <w:tcPr>
            <w:tcW w:w="1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(1,169)</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(1,604)</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lease cost</w:t>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168 </w:t>
            </w:r>
          </w:p>
        </w:tc>
        <w:tc>
          <w:tcPr>
            <w:tcW w:w="1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5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1,018 </w:t>
            </w:r>
          </w:p>
        </w:tc>
        <w:tc>
          <w:tcPr>
            <w:tcW w:w="11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55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2,619 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short-term lease costs, which were immaterial.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bookmarkStart w:id="33" w:name="i-19"/>
                                  <w:bookmarkEnd w:id="3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bookmarkStart w:id="34" w:name="i-19"/>
                            <w:bookmarkEnd w:id="3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Maturities of our operating lease liabilities as of June 30, 2025 were as follows:</w:t>
      </w:r>
    </w:p>
    <w:tbl>
      <w:tblPr>
        <w:tblW w:w="5467" w:type="dxa"/>
        <w:jc w:val="left"/>
        <w:tblInd w:w="0" w:type="dxa"/>
        <w:tblLayout w:type="fixed"/>
        <w:tblCellMar>
          <w:top w:w="28" w:type="dxa"/>
          <w:left w:w="28" w:type="dxa"/>
          <w:bottom w:w="28" w:type="dxa"/>
          <w:right w:w="28" w:type="dxa"/>
        </w:tblCellMar>
      </w:tblPr>
      <w:tblGrid>
        <w:gridCol w:w="1281"/>
        <w:gridCol w:w="1128"/>
        <w:gridCol w:w="1131"/>
        <w:gridCol w:w="361"/>
        <w:gridCol w:w="1129"/>
        <w:gridCol w:w="174"/>
        <w:gridCol w:w="109"/>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Years ending December 31,</w:t>
              <w:br/>
              <w:t>(dollars in thousands)</w:t>
            </w:r>
          </w:p>
        </w:tc>
        <w:tc>
          <w:tcPr>
            <w:tcW w:w="166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2025 - remaining</w:t>
            </w:r>
          </w:p>
        </w:tc>
        <w:tc>
          <w:tcPr>
            <w:tcW w:w="36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852 </w:t>
            </w:r>
          </w:p>
        </w:tc>
        <w:tc>
          <w:tcPr>
            <w:tcW w:w="17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2026 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1,962 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2027 </w:t>
            </w:r>
          </w:p>
        </w:tc>
        <w:tc>
          <w:tcPr>
            <w:tcW w:w="149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1,931 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2028 </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1,764 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2029 </w:t>
            </w:r>
          </w:p>
        </w:tc>
        <w:tc>
          <w:tcPr>
            <w:tcW w:w="149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1,056 </w:t>
            </w:r>
          </w:p>
        </w:tc>
        <w:tc>
          <w:tcPr>
            <w:tcW w:w="17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Thereafter</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528 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lease payments</w:t>
            </w:r>
          </w:p>
        </w:tc>
        <w:tc>
          <w:tcPr>
            <w:tcW w:w="1490"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8,093 </w:t>
            </w:r>
          </w:p>
        </w:tc>
        <w:tc>
          <w:tcPr>
            <w:tcW w:w="17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Amount representing interest</w:t>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Present value of future payments</w:t>
            </w:r>
          </w:p>
        </w:tc>
        <w:tc>
          <w:tcPr>
            <w:tcW w:w="36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12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6,969 </w:t>
            </w:r>
          </w:p>
        </w:tc>
        <w:tc>
          <w:tcPr>
            <w:tcW w:w="1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June 30, 2025, the remaining aggregate minimum purchase commitment under these arrangements was approximately $170.6 million through 2029.</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Solution and service indemnifications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legal proceedings and claims that arise in the ordinary course of business, as well as certain other non-ordinary course proceedings, claims and investigations,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bookmarkStart w:id="35" w:name="i-20"/>
                                  <w:bookmarkEnd w:id="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bookmarkStart w:id="36" w:name="i-20"/>
                            <w:bookmarkEnd w:id="3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we are subject to risks and uncertainties as a result of a ransomware attack against us in May 2020 in which a cybercriminal removed a copy of a subset of data from our self-hosted environment (the "Security Incident"). For the three months ended June 30, 2025, we incurred insignificant net pre-tax expenses related to the Security Incident. For the six months ended June 30, 2025, we incurred net pre-tax expenses of $2.6 million related to the Security Incident for ongoing legal fees and accruals for loss contingencies. As of June 30, 2025, we have recorded approximately $1.6 million in aggregate liabilities for loss contingencies that we believed we could reasonably estimate in accordance with our loss contingency procedures described above. Our liabilities for loss contingencies are recorded in accrued expenses and other current liabilities on our unaudited, condensed consolidated balance sheets. It is reasonably possible that our estimated actual losses may change in the near term for those matters, but we believe that they are not reasonably likely, either separately or in the aggregate, to have a material adverse impact on our results of operations, cash flows or financial condition. For more information about the completed government investigations and related actions, see Note 11 to our audited consolidated financial statements contained in our Annual Report on Form 10-K filed with the SEC on February 21, 2025 and Note 8 to our unaudited, condensed consolidated financial statements contained in our Quarterly Report on Form 10-Q filed with the SEC on April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758"/>
        <w:gridCol w:w="667"/>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9. Income Taxes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income tax provision and effective income tax rates, including the effects of period-specific events, were:</w:t>
      </w:r>
    </w:p>
    <w:tbl>
      <w:tblPr>
        <w:tblW w:w="8064" w:type="dxa"/>
        <w:jc w:val="left"/>
        <w:tblInd w:w="0" w:type="dxa"/>
        <w:tblLayout w:type="fixed"/>
        <w:tblCellMar>
          <w:top w:w="28" w:type="dxa"/>
          <w:left w:w="28" w:type="dxa"/>
          <w:bottom w:w="28" w:type="dxa"/>
          <w:right w:w="28" w:type="dxa"/>
        </w:tblCellMar>
      </w:tblPr>
      <w:tblGrid>
        <w:gridCol w:w="934"/>
        <w:gridCol w:w="822"/>
        <w:gridCol w:w="824"/>
        <w:gridCol w:w="226"/>
        <w:gridCol w:w="826"/>
        <w:gridCol w:w="286"/>
        <w:gridCol w:w="226"/>
        <w:gridCol w:w="706"/>
        <w:gridCol w:w="286"/>
        <w:gridCol w:w="109"/>
        <w:gridCol w:w="109"/>
        <w:gridCol w:w="109"/>
        <w:gridCol w:w="226"/>
        <w:gridCol w:w="826"/>
        <w:gridCol w:w="286"/>
        <w:gridCol w:w="226"/>
        <w:gridCol w:w="706"/>
        <w:gridCol w:w="331"/>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255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1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6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5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Income tax provision</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13,413 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7,883 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14,136 </w:t>
            </w:r>
          </w:p>
        </w:tc>
        <w:tc>
          <w:tcPr>
            <w:tcW w:w="28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6,427 </w:t>
            </w:r>
          </w:p>
        </w:tc>
        <w:tc>
          <w:tcPr>
            <w:tcW w:w="33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Effective income tax rate</w:t>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34.0 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26.6 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31.4 </w:t>
            </w:r>
          </w:p>
        </w:tc>
        <w:tc>
          <w:tcPr>
            <w:tcW w:w="28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c>
          <w:tcPr>
            <w:tcW w:w="93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19.2 </w:t>
            </w:r>
          </w:p>
        </w:tc>
        <w:tc>
          <w:tcPr>
            <w:tcW w:w="33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increases in our effective income tax rate for the three and six months ended June 30, 2025 when compared to the same periods in 2024 were primarily due to the unfavorable impact of a valuation allowance recorded against our net U.S. deferred tax assets.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reconciliation bill commonly referred to as the One Big Beautiful Bill Act (“OBBBA”), which introduced significant changes to U.S. tax law. Key provisions include the permanent extension of certain elements of the Tax Cuts and Jobs Act, modifications to the international tax framework, and the restoration of immediate expensing for research and development expenditures. The legislation contains multiple effective dates, with certain provisions taking effect in 2025 and others phased in through 2027. Given the complexity and phased implementation of the OBBBA, we are currently assessing the potential impacts of the legislation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bookmarkStart w:id="37" w:name="i-21"/>
                                  <w:bookmarkEnd w:id="3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bookmarkStart w:id="38" w:name="i-21"/>
                            <w:bookmarkEnd w:id="3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450" w:type="dxa"/>
        <w:jc w:val="left"/>
        <w:tblInd w:w="0" w:type="dxa"/>
        <w:tblLayout w:type="fixed"/>
        <w:tblCellMar>
          <w:top w:w="28" w:type="dxa"/>
          <w:left w:w="28" w:type="dxa"/>
          <w:bottom w:w="28" w:type="dxa"/>
          <w:right w:w="28" w:type="dxa"/>
        </w:tblCellMar>
      </w:tblPr>
      <w:tblGrid>
        <w:gridCol w:w="1105"/>
        <w:gridCol w:w="971"/>
        <w:gridCol w:w="137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10. Stockholders' Equity</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Stock repurchase program</w:t>
      </w:r>
    </w:p>
    <w:p>
      <w:pPr>
        <w:pStyle w:val="TextBody"/>
        <w:bidi w:val="0"/>
        <w:spacing w:lineRule="auto" w:line="288" w:before="180" w:after="283"/>
        <w:jc w:val="both"/>
        <w:rPr/>
      </w:pPr>
      <w:r>
        <w:rPr>
          <w:rFonts w:ascii="sans-serif" w:hAns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w:t>
      </w:r>
      <w:hyperlink w:anchor="ic4ac21d798c247229aaf9796f1448243_184">
        <w:r>
          <w:rPr>
            <w:rStyle w:val="InternetLink"/>
            <w:rFonts w:ascii="sans-serif" w:hAnsi="sans-serif"/>
            <w:b w:val="false"/>
            <w:strike w:val="false"/>
            <w:dstrike w:val="false"/>
            <w:color w:val="51555C"/>
            <w:sz w:val="20"/>
            <w:u w:val="none"/>
            <w:effect w:val="none"/>
          </w:rPr>
          <w:t>39</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account for purchases of treasury stock under the cost method. On July 16, 2024, our Board of Directors reauthorized, expanded and replenished our stock repurchase program by expanding the total capacity under the program to $800.0 million available for repurchases.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June 30, 2025, we did not repurchase any shares of our common stock. During the six months ended June 30, 2025, we repurchased an aggregate of 1,513,022 shares for $100.0 million. The remaining amount available to purchase stock under the approved stock repurchase program was $544.5 million as of June 30, 2025.</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Changes in accumulated other comprehensive (loss) income by component</w:t>
      </w:r>
    </w:p>
    <w:p>
      <w:pPr>
        <w:pStyle w:val="TextBody"/>
        <w:bidi w:val="0"/>
        <w:spacing w:lineRule="auto" w:line="288" w:before="180" w:after="283"/>
        <w:jc w:val="both"/>
        <w:rPr/>
      </w:pPr>
      <w:r>
        <w:rPr>
          <w:rFonts w:ascii="sans-serif" w:hAnsi="sans-serif"/>
          <w:b w:val="false"/>
          <w:color w:val="51555C"/>
          <w:sz w:val="20"/>
        </w:rPr>
        <w:t xml:space="preserve">The changes in accumulated other comprehensive </w:t>
      </w:r>
      <w:r>
        <w:rPr>
          <w:rFonts w:ascii="sans-serif" w:hAnsi="sans-serif"/>
          <w:b/>
          <w:color w:val="51555C"/>
          <w:sz w:val="20"/>
        </w:rPr>
        <w:t>(loss) income</w:t>
      </w:r>
      <w:r>
        <w:rPr>
          <w:color w:val="51555C"/>
        </w:rPr>
        <w:t xml:space="preserve"> </w:t>
      </w:r>
      <w:r>
        <w:rPr>
          <w:rFonts w:ascii="sans-serif" w:hAnsi="sans-serif"/>
          <w:b w:val="false"/>
          <w:color w:val="51555C"/>
          <w:sz w:val="20"/>
        </w:rPr>
        <w:t>by component, consisted of the following:</w:t>
      </w:r>
    </w:p>
    <w:tbl>
      <w:tblPr>
        <w:tblW w:w="10205" w:type="dxa"/>
        <w:jc w:val="left"/>
        <w:tblInd w:w="0" w:type="dxa"/>
        <w:tblLayout w:type="fixed"/>
        <w:tblCellMar>
          <w:top w:w="28" w:type="dxa"/>
          <w:left w:w="28" w:type="dxa"/>
          <w:bottom w:w="28" w:type="dxa"/>
          <w:right w:w="28" w:type="dxa"/>
        </w:tblCellMar>
      </w:tblPr>
      <w:tblGrid>
        <w:gridCol w:w="1874"/>
        <w:gridCol w:w="1650"/>
        <w:gridCol w:w="1656"/>
        <w:gridCol w:w="226"/>
        <w:gridCol w:w="748"/>
        <w:gridCol w:w="109"/>
        <w:gridCol w:w="226"/>
        <w:gridCol w:w="868"/>
        <w:gridCol w:w="109"/>
        <w:gridCol w:w="109"/>
        <w:gridCol w:w="109"/>
        <w:gridCol w:w="109"/>
        <w:gridCol w:w="226"/>
        <w:gridCol w:w="868"/>
        <w:gridCol w:w="109"/>
        <w:gridCol w:w="226"/>
        <w:gridCol w:w="826"/>
        <w:gridCol w:w="157"/>
      </w:tblGrid>
      <w:tr>
        <w:trPr/>
        <w:tc>
          <w:tcPr>
            <w:tcW w:w="1874"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28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1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0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0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09"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1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Accumulated other comprehensive (loss) income, beginning of period</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(8,302)</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1,222 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(4,869)</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(1,688)</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By component:</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Gains and losses on cash flow hedges:</w:t>
            </w:r>
          </w:p>
        </w:tc>
        <w:tc>
          <w:tcPr>
            <w:tcW w:w="10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income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8,158 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comprehensive (loss) income before reclassifications, net of tax effects of $—, $(974), $2,763 and $(3,940)</w:t>
            </w:r>
          </w:p>
        </w:tc>
        <w:tc>
          <w:tcPr>
            <w:tcW w:w="97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(3,658)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2,731 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(6,372)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10,852 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Amounts reclassified from accumulated other comprehensive (loss) income</w:t>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(11,092)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Tax expense (benefit) included in provision for income taxes</w:t>
            </w:r>
          </w:p>
        </w:tc>
        <w:tc>
          <w:tcPr>
            <w:tcW w:w="97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1,468 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(2,763)</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2,949 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amounts reclassified from accumulated other comprehensive (loss) income</w:t>
            </w:r>
          </w:p>
        </w:tc>
        <w:tc>
          <w:tcPr>
            <w:tcW w:w="97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(1,656)</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(4,117)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(5,634)</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(8,143)</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current-period other comprehensive (loss) income</w:t>
            </w:r>
          </w:p>
        </w:tc>
        <w:tc>
          <w:tcPr>
            <w:tcW w:w="97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(5,314)</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(1,386)</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(12,006)</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2,709 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income balance, end of period</w:t>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(4,207)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10,867 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(4,207)</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10,867 </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Foreign currency translation adjustment:</w:t>
            </w:r>
          </w:p>
        </w:tc>
        <w:tc>
          <w:tcPr>
            <w:tcW w:w="10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balance, beginning of period</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(12,668)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(9,846)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Translation adjustment</w:t>
            </w:r>
          </w:p>
        </w:tc>
        <w:tc>
          <w:tcPr>
            <w:tcW w:w="97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7,324 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339 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10,583 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(846)</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97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(2,085)</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(10,692)</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(2,085)</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(10,692)</w:t>
            </w:r>
          </w:p>
        </w:tc>
        <w:tc>
          <w:tcPr>
            <w:tcW w:w="157"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Accumulated other comprehensive (loss) income, end of period</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(6,292)</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6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(6,292)</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175 </w:t>
            </w:r>
          </w:p>
        </w:tc>
        <w:tc>
          <w:tcPr>
            <w:tcW w:w="15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bookmarkStart w:id="39" w:name="i-22"/>
                                  <w:bookmarkEnd w:id="3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bookmarkStart w:id="40" w:name="i-22"/>
                            <w:bookmarkEnd w:id="4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569" w:type="dxa"/>
        <w:jc w:val="left"/>
        <w:tblInd w:w="0" w:type="dxa"/>
        <w:tblLayout w:type="fixed"/>
        <w:tblCellMar>
          <w:top w:w="28" w:type="dxa"/>
          <w:left w:w="28" w:type="dxa"/>
          <w:bottom w:w="28" w:type="dxa"/>
          <w:right w:w="28" w:type="dxa"/>
        </w:tblCellMar>
      </w:tblPr>
      <w:tblGrid>
        <w:gridCol w:w="1142"/>
        <w:gridCol w:w="1004"/>
        <w:gridCol w:w="142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11. Segment Information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other segment items include amortization, interest expense, other income, net, and income tax provision on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12. Revenue Recognition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Transaction price allocated to the remaining performance obligations</w:t>
      </w:r>
    </w:p>
    <w:p>
      <w:pPr>
        <w:pStyle w:val="TextBody"/>
        <w:bidi w:val="0"/>
        <w:spacing w:lineRule="auto" w:line="288" w:before="180" w:after="283"/>
        <w:jc w:val="both"/>
        <w:rPr/>
      </w:pPr>
      <w:r>
        <w:rPr>
          <w:rFonts w:ascii="sans-serif" w:hAnsi="sans-serif"/>
          <w:b w:val="false"/>
          <w:color w:val="51555C"/>
          <w:sz w:val="20"/>
        </w:rPr>
        <w:t xml:space="preserve">As of June 30, 2025, approximately </w:t>
      </w:r>
      <w:r>
        <w:rPr>
          <w:rFonts w:ascii="sans-serif" w:hAnsi="sans-serif"/>
          <w:b w:val="false"/>
          <w:color w:val="51555C"/>
          <w:sz w:val="20"/>
          <w:shd w:fill="FFFFFF" w:val="clear"/>
        </w:rPr>
        <w:t>$1.3 billion</w:t>
      </w:r>
      <w:r>
        <w:rPr>
          <w:color w:val="51555C"/>
        </w:rPr>
        <w:t xml:space="preserve"> </w:t>
      </w:r>
      <w:r>
        <w:rPr>
          <w:rFonts w:ascii="sans-serif" w:hAnsi="sans-serif"/>
          <w:b w:val="false"/>
          <w:color w:val="51555C"/>
          <w:sz w:val="20"/>
        </w:rPr>
        <w:t xml:space="preserve">of revenue under contract is expected to be recognized from remaining performance obligations. We expect to recognize revenue on approximately </w:t>
      </w:r>
      <w:r>
        <w:rPr>
          <w:rFonts w:ascii="sans-serif" w:hAnsi="sans-serif"/>
          <w:b w:val="false"/>
          <w:color w:val="51555C"/>
          <w:sz w:val="20"/>
          <w:shd w:fill="FFFFFF" w:val="clear"/>
        </w:rPr>
        <w:t>50%</w:t>
      </w:r>
      <w:r>
        <w:rPr>
          <w:color w:val="51555C"/>
        </w:rPr>
        <w:t xml:space="preserve"> </w:t>
      </w:r>
      <w:r>
        <w:rPr>
          <w:rFonts w:ascii="sans-serif" w:hAnsi="sans-serif"/>
          <w:b w:val="false"/>
          <w:color w:val="51555C"/>
          <w:sz w:val="20"/>
        </w:rPr>
        <w:t>of these remaining performance obligations over the next 12 months, with the remainder recognized thereafter.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applied the practical expedient in ASC 606-10-50-14 and have excluded the value of unsatisfied performance obligations for which we recognize revenue at the amount to which we have the right to invoice for services performed (transactional revenue).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Contract balances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closing balances of deferred revenue were as follows:</w:t>
      </w:r>
    </w:p>
    <w:tbl>
      <w:tblPr>
        <w:tblW w:w="5060" w:type="dxa"/>
        <w:jc w:val="left"/>
        <w:tblInd w:w="0" w:type="dxa"/>
        <w:tblLayout w:type="fixed"/>
        <w:tblCellMar>
          <w:top w:w="28" w:type="dxa"/>
          <w:left w:w="28" w:type="dxa"/>
          <w:bottom w:w="28" w:type="dxa"/>
          <w:right w:w="28" w:type="dxa"/>
        </w:tblCellMar>
      </w:tblPr>
      <w:tblGrid>
        <w:gridCol w:w="852"/>
        <w:gridCol w:w="750"/>
        <w:gridCol w:w="752"/>
        <w:gridCol w:w="226"/>
        <w:gridCol w:w="946"/>
        <w:gridCol w:w="109"/>
        <w:gridCol w:w="243"/>
        <w:gridCol w:w="1017"/>
        <w:gridCol w:w="16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r>
      <w:tr>
        <w:trPr/>
        <w:tc>
          <w:tcPr>
            <w:tcW w:w="235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deferred revenue</w:t>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401,386 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361,544 </w:t>
            </w:r>
          </w:p>
        </w:tc>
        <w:tc>
          <w:tcPr>
            <w:tcW w:w="16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The increase in deferred revenue during the six months ended June 30, 2025 was primarily due to a seasonal increase in customer contract billings.</w:t>
      </w:r>
      <w:r>
        <w:rPr>
          <w:color w:val="51555C"/>
          <w:shd w:fill="FFFFFF" w:val="clear"/>
        </w:rPr>
        <w:t xml:space="preserve"> </w:t>
      </w:r>
      <w:r>
        <w:rPr>
          <w:rFonts w:ascii="sans-serif" w:hAnsi="sans-serif"/>
          <w:b w:val="false"/>
          <w:color w:val="51555C"/>
          <w:sz w:val="20"/>
          <w:shd w:fill="FFFFFF" w:val="clear"/>
        </w:rPr>
        <w:t>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six months ended June 30, 2025 that was included in the deferred reven</w:t>
      </w:r>
      <w:r>
        <w:rPr>
          <w:rFonts w:ascii="sans-serif" w:hAnsi="sans-serif"/>
          <w:b w:val="false"/>
          <w:color w:val="51555C"/>
          <w:sz w:val="20"/>
        </w:rPr>
        <w:t xml:space="preserve">ue balance at the beginning of the period was approximately $272 million. The amount of revenue recognized during the six months ended June 30, 2025 from performance obligations satisfied in prior periods was </w:t>
      </w:r>
      <w:r>
        <w:rPr>
          <w:rFonts w:ascii="sans-serif" w:hAnsi="sans-serif"/>
          <w:b w:val="false"/>
          <w:color w:val="51555C"/>
          <w:sz w:val="20"/>
          <w:shd w:fill="FFFFFF" w:val="clear"/>
        </w:rPr>
        <w:t>insignificant</w:t>
      </w:r>
      <w:r>
        <w:rPr>
          <w:rFonts w:ascii="sans-serif" w:hAnsi="sans-serif"/>
          <w:b w:val="false"/>
          <w:color w:val="51555C"/>
          <w:sz w:val="20"/>
        </w:rPr>
        <w:t>.</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Disaggregation of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tbl>
      <w:tblPr>
        <w:tblW w:w="7700" w:type="dxa"/>
        <w:jc w:val="left"/>
        <w:tblInd w:w="0" w:type="dxa"/>
        <w:tblLayout w:type="fixed"/>
        <w:tblCellMar>
          <w:top w:w="28" w:type="dxa"/>
          <w:left w:w="28" w:type="dxa"/>
          <w:bottom w:w="28" w:type="dxa"/>
          <w:right w:w="28" w:type="dxa"/>
        </w:tblCellMar>
      </w:tblPr>
      <w:tblGrid>
        <w:gridCol w:w="798"/>
        <w:gridCol w:w="702"/>
        <w:gridCol w:w="704"/>
        <w:gridCol w:w="226"/>
        <w:gridCol w:w="946"/>
        <w:gridCol w:w="109"/>
        <w:gridCol w:w="226"/>
        <w:gridCol w:w="946"/>
        <w:gridCol w:w="109"/>
        <w:gridCol w:w="109"/>
        <w:gridCol w:w="109"/>
        <w:gridCol w:w="109"/>
        <w:gridCol w:w="226"/>
        <w:gridCol w:w="946"/>
        <w:gridCol w:w="109"/>
        <w:gridCol w:w="226"/>
        <w:gridCol w:w="9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2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2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United States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231,001 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241,831 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460,218 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479,940 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United Kingdom</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29,980 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59,830 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Other countries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16,673 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15,475 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31,995 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30,487 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revenue</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281,382 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287,286 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552,043 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566,536 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bookmarkStart w:id="41" w:name="i-23"/>
                                  <w:bookmarkEnd w:id="4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bookmarkStart w:id="42" w:name="i-23"/>
                            <w:bookmarkEnd w:id="4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our revenue by type:</w:t>
      </w:r>
    </w:p>
    <w:tbl>
      <w:tblPr>
        <w:tblW w:w="8391" w:type="dxa"/>
        <w:jc w:val="left"/>
        <w:tblInd w:w="0" w:type="dxa"/>
        <w:tblLayout w:type="fixed"/>
        <w:tblCellMar>
          <w:top w:w="28" w:type="dxa"/>
          <w:left w:w="28" w:type="dxa"/>
          <w:bottom w:w="28" w:type="dxa"/>
          <w:right w:w="28" w:type="dxa"/>
        </w:tblCellMar>
      </w:tblPr>
      <w:tblGrid>
        <w:gridCol w:w="1049"/>
        <w:gridCol w:w="922"/>
        <w:gridCol w:w="924"/>
        <w:gridCol w:w="226"/>
        <w:gridCol w:w="946"/>
        <w:gridCol w:w="109"/>
        <w:gridCol w:w="226"/>
        <w:gridCol w:w="946"/>
        <w:gridCol w:w="109"/>
        <w:gridCol w:w="109"/>
        <w:gridCol w:w="109"/>
        <w:gridCol w:w="109"/>
        <w:gridCol w:w="226"/>
        <w:gridCol w:w="946"/>
        <w:gridCol w:w="109"/>
        <w:gridCol w:w="226"/>
        <w:gridCol w:w="94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56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28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28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Contractual recurring</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180,224 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193,542 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356,160 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384,397 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Transactional recurring</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95,407 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87,834 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183,521 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168,497 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recurring revenue</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275,631 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281,376 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539,681 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552,894 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One-time services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 revenue</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281,382 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287,286 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552,043 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566,536 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891540"/>
                <wp:effectExtent l="0" t="0" r="0" b="0"/>
                <wp:wrapNone/>
                <wp:docPr id="65"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4" descr=""/>
                                                <pic:cNvPicPr>
                                                  <a:picLocks noChangeAspect="1" noChangeArrowheads="1"/>
                                                </pic:cNvPicPr>
                                              </pic:nvPicPr>
                                              <pic:blipFill>
                                                <a:blip r:embed="rId45"/>
                                                <a:stretch>
                                                  <a:fillRect/>
                                                </a:stretch>
                                              </pic:blipFill>
                                              <pic:spPr bwMode="auto">
                                                <a:xfrm>
                                                  <a:off x="0" y="0"/>
                                                  <a:ext cx="733425" cy="190500"/>
                                                </a:xfrm>
                                                <a:prstGeom prst="rect">
                                                  <a:avLst/>
                                                </a:prstGeom>
                                              </pic:spPr>
                                            </pic:pic>
                                          </a:graphicData>
                                        </a:graphic>
                                      </wp:inline>
                                    </w:drawing>
                                  </w:r>
                                  <w:bookmarkStart w:id="43" w:name="i-24"/>
                                  <w:bookmarkEnd w:id="4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4" descr=""/>
                                          <pic:cNvPicPr>
                                            <a:picLocks noChangeAspect="1" noChangeArrowheads="1"/>
                                          </pic:cNvPicPr>
                                        </pic:nvPicPr>
                                        <pic:blipFill>
                                          <a:blip r:embed="rId46"/>
                                          <a:stretch>
                                            <a:fillRect/>
                                          </a:stretch>
                                        </pic:blipFill>
                                        <pic:spPr bwMode="auto">
                                          <a:xfrm>
                                            <a:off x="0" y="0"/>
                                            <a:ext cx="733425" cy="190500"/>
                                          </a:xfrm>
                                          <a:prstGeom prst="rect">
                                            <a:avLst/>
                                          </a:prstGeom>
                                        </pic:spPr>
                                      </pic:pic>
                                    </a:graphicData>
                                  </a:graphic>
                                </wp:inline>
                              </w:drawing>
                            </w:r>
                            <w:bookmarkStart w:id="44" w:name="i-24"/>
                            <w:bookmarkEnd w:id="4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MANAGEMENT'S DISCUSSION AND ANALYSIS OF FINANCIAL CONDITION AND RESULTS OF OPERATIONS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Executive Summary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leading software provider exclusively dedicated to powering social impact. Serving the nonprofit and education sectors, companies committed to social responsibility and individual change makers, our essential software is built to accelerate impact in fundraising, nonprofit financial management, digital giving, grantmaking, corporate social responsibility and education management. A remote-first company, we have operations in the United States, Australia, Canada, Costa Rica, India and the United Kingdom, supporting users in 100+ countries.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Business Update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business has proven its resilience during challenging times. The social impact market has been a consistent grower for many decades, through recessions, business upturns and downturns, and even through the COVID-19 global pandemic. We understand there are concerns about federal grant funding in the U.S. and how it potentially impacts our customers. But similar to COVID-19, we believe this uncertainty only makes our software more critical to our customer’s operations, enabling them to improve fundraising outcomes and to undertake or sharpen their own cost-management initiatives. To be clear, our solutions are not in the funds flow from federal agencies, but are used for fundraising from individual donors, which is even more critical now.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has undertaken a number of operational initiatives that we believe set us up to perform well, even in a challenging market.</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In 2023, we began transitioning our contractual revenue contracts from primarily 1-year to primarily 3-year renewal terms. This modernized approach to contract terms provides increased visibility and consistency for two-thirds of our revenue base and provides better predictability for our customers.</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Over the past several years, we have transitioned the majority of our products and customers to leading public cloud service providers, while shutting down many of our private data centers, with only two of our own data centers remaining.</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We continue to innovate through the increasing use of AI to not only empower our customers but also improve our own internal productivity.</w:t>
      </w:r>
    </w:p>
    <w:p>
      <w:pPr>
        <w:pStyle w:val="TextBody"/>
        <w:bidi w:val="0"/>
        <w:spacing w:lineRule="auto" w:line="288" w:before="120" w:after="283"/>
        <w:ind w:left="0" w:right="0" w:hanging="360"/>
        <w:jc w:val="both"/>
        <w:rPr/>
      </w:pPr>
      <w:r>
        <w:rPr>
          <w:color w:val="51555C"/>
        </w:rPr>
        <w:t>•</w:t>
      </w:r>
      <w:r>
        <w:rPr>
          <w:rFonts w:ascii="sans-serif" w:hAnsi="sans-serif"/>
          <w:b w:val="false"/>
          <w:color w:val="51555C"/>
          <w:sz w:val="20"/>
        </w:rPr>
        <w:t>And lastly, we have right-sized our operations by rationalizing office leases and renegotiating a number of our significant vendor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Despite a strong focus on reducing expenses, we continue to invest aggressively in innovation and our extensive developer network to help our customers raise more money while enhancing and streamlining their operations. Our innovation and end to end workflows continue to be a competitive differentiator and drive sales. We are supporting this initiative through enhancements in sales and marketing programs and we continue to identify, experiment, and scale a range of successful solutions across marketing, customer success, and engineering to be an active innovator through applied AI.</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Three specific areas that our management team has focused on have contributed to our positive second quarter results: 1) acquiring new logos; 2) driving innovation and as such, strengthening our customer relationships through additional solutions and renewals; and 3) driving higher profitability through operational discipline and efficiencies.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91540"/>
                <wp:effectExtent l="0" t="0" r="0" b="0"/>
                <wp:wrapNone/>
                <wp:docPr id="68"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9"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5" descr=""/>
                                                <pic:cNvPicPr>
                                                  <a:picLocks noChangeAspect="1" noChangeArrowheads="1"/>
                                                </pic:cNvPicPr>
                                              </pic:nvPicPr>
                                              <pic:blipFill>
                                                <a:blip r:embed="rId47"/>
                                                <a:stretch>
                                                  <a:fillRect/>
                                                </a:stretch>
                                              </pic:blipFill>
                                              <pic:spPr bwMode="auto">
                                                <a:xfrm>
                                                  <a:off x="0" y="0"/>
                                                  <a:ext cx="723900" cy="190500"/>
                                                </a:xfrm>
                                                <a:prstGeom prst="rect">
                                                  <a:avLst/>
                                                </a:prstGeom>
                                              </pic:spPr>
                                            </pic:pic>
                                          </a:graphicData>
                                        </a:graphic>
                                      </wp:inline>
                                    </w:drawing>
                                  </w:r>
                                  <w:bookmarkStart w:id="45" w:name="i-25"/>
                                  <w:bookmarkEnd w:id="4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25" descr=""/>
                                          <pic:cNvPicPr>
                                            <a:picLocks noChangeAspect="1" noChangeArrowheads="1"/>
                                          </pic:cNvPicPr>
                                        </pic:nvPicPr>
                                        <pic:blipFill>
                                          <a:blip r:embed="rId48"/>
                                          <a:stretch>
                                            <a:fillRect/>
                                          </a:stretch>
                                        </pic:blipFill>
                                        <pic:spPr bwMode="auto">
                                          <a:xfrm>
                                            <a:off x="0" y="0"/>
                                            <a:ext cx="723900" cy="190500"/>
                                          </a:xfrm>
                                          <a:prstGeom prst="rect">
                                            <a:avLst/>
                                          </a:prstGeom>
                                        </pic:spPr>
                                      </pic:pic>
                                    </a:graphicData>
                                  </a:graphic>
                                </wp:inline>
                              </w:drawing>
                            </w:r>
                            <w:bookmarkStart w:id="46" w:name="i-25"/>
                            <w:bookmarkEnd w:id="4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remote-first workforce company, we continuously evaluate opportunities to shift various business units, functions or roles to lower-cost jurisdictions, including internationally, and may do so if and when we determine that it would reduce costs without negatively impacting the quality of our products and services. For example, we are currently expanding our operations in India, which we expect will give us greater access to talent, and increase the number of our employees, including management, in India. We have leased office space in India to accommodate those new operations, although we do not currently expect to have sales to customers in India in the foreseeable future.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2025, we announced that we intend to repurchase during 2025 between 3% and 5% of our outstanding common stock as of December 31, 2024 under our stock repurchase program. During the six months ended June 30, 2025, we repurchased 1,513,022 shares for $100.0 million. Including net share settlement of employee stock compensation, this represents approximately 4.2% of the Company's common stock outstanding as of December 31, 2024. The remaining amount available to purchase stock under our stock repurchase program was $544.5 million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51555C"/>
          <w:sz w:val="20"/>
        </w:rPr>
      </w:pPr>
      <w:r>
        <w:rPr>
          <w:rFonts w:ascii="sans-serif" w:hAnsi="sans-serif"/>
          <w:b/>
          <w:color w:val="51555C"/>
          <w:sz w:val="20"/>
        </w:rPr>
        <w:t>Financial Summary</w:t>
      </w:r>
    </w:p>
    <w:p>
      <w:pPr>
        <w:pStyle w:val="TextBody"/>
        <w:bidi w:val="0"/>
        <w:spacing w:before="180" w:after="283"/>
        <w:jc w:val="both"/>
        <w:rPr/>
      </w:pPr>
      <w:r>
        <w:rPr/>
      </w:r>
    </w:p>
    <w:tbl>
      <w:tblPr>
        <w:tblW w:w="5275"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873"/>
        <w:gridCol w:w="873"/>
        <w:gridCol w:w="1238"/>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from operations ($M)</w:t>
            </w:r>
          </w:p>
        </w:tc>
      </w:tr>
      <w:tr>
        <w:trPr/>
        <w:tc>
          <w:tcPr>
            <w:tcW w:w="196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7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6" descr=""/>
                    <pic:cNvPicPr>
                      <a:picLocks noChangeAspect="1" noChangeArrowheads="1"/>
                    </pic:cNvPicPr>
                  </pic:nvPicPr>
                  <pic:blipFill>
                    <a:blip r:embed="rId49"/>
                    <a:stretch>
                      <a:fillRect/>
                    </a:stretch>
                  </pic:blipFill>
                  <pic:spPr bwMode="auto">
                    <a:xfrm>
                      <a:off x="0" y="0"/>
                      <a:ext cx="2533650" cy="1581150"/>
                    </a:xfrm>
                    <a:prstGeom prst="rect">
                      <a:avLst/>
                    </a:prstGeom>
                  </pic:spPr>
                </pic:pic>
              </a:graphicData>
            </a:graphic>
          </wp:inline>
        </w:drawing>
      </w:r>
      <w:bookmarkStart w:id="47" w:name="i-26"/>
      <w:bookmarkEnd w:id="47"/>
      <w:r>
        <w:rPr>
          <w:color w:val="51555C"/>
        </w:rPr>
        <w:t>                                    </w:t>
      </w:r>
      <w:r>
        <w:rPr/>
        <w:drawing>
          <wp:inline distT="0" distB="0" distL="0" distR="0">
            <wp:extent cx="2533650" cy="1581150"/>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50"/>
                    <a:stretch>
                      <a:fillRect/>
                    </a:stretch>
                  </pic:blipFill>
                  <pic:spPr bwMode="auto">
                    <a:xfrm>
                      <a:off x="0" y="0"/>
                      <a:ext cx="2533650" cy="1581150"/>
                    </a:xfrm>
                    <a:prstGeom prst="rect">
                      <a:avLst/>
                    </a:prstGeom>
                  </pic:spPr>
                </pic:pic>
              </a:graphicData>
            </a:graphic>
          </wp:inline>
        </w:drawing>
      </w:r>
      <w:bookmarkStart w:id="48" w:name="i-27"/>
      <w:bookmarkEnd w:id="48"/>
    </w:p>
    <w:p>
      <w:pPr>
        <w:pStyle w:val="TextBody"/>
        <w:bidi w:val="0"/>
        <w:spacing w:lineRule="auto" w:line="288" w:before="180" w:after="283"/>
        <w:jc w:val="both"/>
        <w:rPr/>
      </w:pPr>
      <w:r>
        <w:rPr>
          <w:color w:val="51555C"/>
        </w:rPr>
        <w:t>      </w:t>
      </w:r>
      <w:r>
        <w:rPr/>
        <w:drawing>
          <wp:inline distT="0" distB="0" distL="0" distR="0">
            <wp:extent cx="2533650" cy="1581150"/>
            <wp:effectExtent l="0" t="0" r="0" b="0"/>
            <wp:docPr id="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 descr=""/>
                    <pic:cNvPicPr>
                      <a:picLocks noChangeAspect="1" noChangeArrowheads="1"/>
                    </pic:cNvPicPr>
                  </pic:nvPicPr>
                  <pic:blipFill>
                    <a:blip r:embed="rId51"/>
                    <a:stretch>
                      <a:fillRect/>
                    </a:stretch>
                  </pic:blipFill>
                  <pic:spPr bwMode="auto">
                    <a:xfrm>
                      <a:off x="0" y="0"/>
                      <a:ext cx="2533650" cy="1581150"/>
                    </a:xfrm>
                    <a:prstGeom prst="rect">
                      <a:avLst/>
                    </a:prstGeom>
                  </pic:spPr>
                </pic:pic>
              </a:graphicData>
            </a:graphic>
          </wp:inline>
        </w:drawing>
      </w:r>
      <w:bookmarkStart w:id="49" w:name="i-28"/>
      <w:bookmarkEnd w:id="49"/>
      <w:r>
        <w:rPr>
          <w:color w:val="51555C"/>
        </w:rPr>
        <w:t>                                    </w:t>
      </w:r>
      <w:r>
        <w:rPr/>
        <w:drawing>
          <wp:inline distT="0" distB="0" distL="0" distR="0">
            <wp:extent cx="2533650" cy="1581150"/>
            <wp:effectExtent l="0" t="0" r="0" b="0"/>
            <wp:docPr id="7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29" descr=""/>
                    <pic:cNvPicPr>
                      <a:picLocks noChangeAspect="1" noChangeArrowheads="1"/>
                    </pic:cNvPicPr>
                  </pic:nvPicPr>
                  <pic:blipFill>
                    <a:blip r:embed="rId52"/>
                    <a:stretch>
                      <a:fillRect/>
                    </a:stretch>
                  </pic:blipFill>
                  <pic:spPr bwMode="auto">
                    <a:xfrm>
                      <a:off x="0" y="0"/>
                      <a:ext cx="2533650" cy="1581150"/>
                    </a:xfrm>
                    <a:prstGeom prst="rect">
                      <a:avLst/>
                    </a:prstGeom>
                  </pic:spPr>
                </pic:pic>
              </a:graphicData>
            </a:graphic>
          </wp:inline>
        </w:drawing>
      </w:r>
      <w:bookmarkStart w:id="50" w:name="i-29"/>
      <w:bookmarkEnd w:id="50"/>
      <w:r>
        <w:rPr>
          <w:color w:val="51555C"/>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891540"/>
                <wp:effectExtent l="0" t="0" r="0" b="0"/>
                <wp:wrapNone/>
                <wp:docPr id="75"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0"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bookmarkStart w:id="51" w:name="i-30"/>
                                  <w:bookmarkEnd w:id="5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54"/>
                                          <a:stretch>
                                            <a:fillRect/>
                                          </a:stretch>
                                        </pic:blipFill>
                                        <pic:spPr bwMode="auto">
                                          <a:xfrm>
                                            <a:off x="0" y="0"/>
                                            <a:ext cx="733425" cy="190500"/>
                                          </a:xfrm>
                                          <a:prstGeom prst="rect">
                                            <a:avLst/>
                                          </a:prstGeom>
                                        </pic:spPr>
                                      </pic:pic>
                                    </a:graphicData>
                                  </a:graphic>
                                </wp:inline>
                              </w:drawing>
                            </w:r>
                            <w:bookmarkStart w:id="52" w:name="i-30"/>
                            <w:bookmarkEnd w:id="5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Revenue decreased by $5.9 million and $14.5 million, during the three and six months ended June 30, 2025, respectively, when compared to the same periods in 2024, driven largely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886"/>
        <w:gridCol w:w="2619"/>
        <w:gridCol w:w="37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619"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contractual recurring revenue of $13.3 million and $28.2 million, respectively, primarily related to our sale of EVERFI which represented $23.4 million and $45.5 million, respectively. These decreases were partially offset by the positive impact of our pricing initiatives and the performance of our cloud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transactional recurring revenue of $7.6 million and $15.0 million, respectively, primarily due to increases in volume for our Blackbaud Integrated Payments and Blackbaud Tuition Management and, to a lesser extent, positive results related to pricing initiatives; also contributing to the increases in transactional recurring revenue during the three and six months ended June 30, 2025 were increases related to fluctuations in foreign currency exchange rates of $1.5 million and $1.4 million, respectively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one-time consulting revenue of $1.3 million, for the six months ended June 30, 2025, primarily due to our sale of EVERFI Limited in March 2024 and, to a lesser extent, fewer sales of implementation and customization services.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$14.6 million during the three months ended June 30, 2025, when compared to the same period in 2024,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34"/>
        <w:gridCol w:w="2595"/>
        <w:gridCol w:w="368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4" w:type="dxa"/>
            <w:tcBorders/>
            <w:vAlign w:val="center"/>
          </w:tcPr>
          <w:p>
            <w:pPr>
              <w:pStyle w:val="TableContents"/>
              <w:bidi w:val="0"/>
              <w:spacing w:before="0" w:after="283"/>
              <w:jc w:val="left"/>
              <w:rPr>
                <w:sz w:val="4"/>
                <w:szCs w:val="4"/>
              </w:rPr>
            </w:pPr>
            <w:r>
              <w:rPr>
                <w:sz w:val="4"/>
                <w:szCs w:val="4"/>
              </w:rPr>
            </w:r>
          </w:p>
        </w:tc>
        <w:tc>
          <w:tcPr>
            <w:tcW w:w="2595" w:type="dxa"/>
            <w:tcBorders/>
            <w:vAlign w:val="center"/>
          </w:tcPr>
          <w:p>
            <w:pPr>
              <w:pStyle w:val="TableContents"/>
              <w:bidi w:val="0"/>
              <w:spacing w:before="0" w:after="283"/>
              <w:jc w:val="left"/>
              <w:rPr>
                <w:sz w:val="4"/>
                <w:szCs w:val="4"/>
              </w:rPr>
            </w:pPr>
            <w:r>
              <w:rPr>
                <w:sz w:val="4"/>
                <w:szCs w:val="4"/>
              </w:rPr>
            </w:r>
          </w:p>
        </w:tc>
        <w:tc>
          <w:tcPr>
            <w:tcW w:w="368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$10.3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amortization of intangible assets from business combinations of $8.0 million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$4.2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within general and administrative expenses of $2.1 million primarily due to prior year noncash impairment charges partially offset by the release of accrued contingent consideration, both of which occurred during the second quarter of 2024 but did not reoccur in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$1.4 million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Increase in stock-based compensation expense of $3.0 million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employee severance of $2.1 million related to a modest and targeted headcount reduction during the three months ended June 30, 2025</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891540"/>
                <wp:effectExtent l="0" t="0" r="0" b="0"/>
                <wp:wrapNone/>
                <wp:docPr id="78"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9"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1" descr=""/>
                                                <pic:cNvPicPr>
                                                  <a:picLocks noChangeAspect="1" noChangeArrowheads="1"/>
                                                </pic:cNvPicPr>
                                              </pic:nvPicPr>
                                              <pic:blipFill>
                                                <a:blip r:embed="rId55"/>
                                                <a:stretch>
                                                  <a:fillRect/>
                                                </a:stretch>
                                              </pic:blipFill>
                                              <pic:spPr bwMode="auto">
                                                <a:xfrm>
                                                  <a:off x="0" y="0"/>
                                                  <a:ext cx="723900" cy="190500"/>
                                                </a:xfrm>
                                                <a:prstGeom prst="rect">
                                                  <a:avLst/>
                                                </a:prstGeom>
                                              </pic:spPr>
                                            </pic:pic>
                                          </a:graphicData>
                                        </a:graphic>
                                      </wp:inline>
                                    </w:drawing>
                                  </w:r>
                                  <w:bookmarkStart w:id="53" w:name="i-31"/>
                                  <w:bookmarkEnd w:id="5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1" descr=""/>
                                          <pic:cNvPicPr>
                                            <a:picLocks noChangeAspect="1" noChangeArrowheads="1"/>
                                          </pic:cNvPicPr>
                                        </pic:nvPicPr>
                                        <pic:blipFill>
                                          <a:blip r:embed="rId56"/>
                                          <a:stretch>
                                            <a:fillRect/>
                                          </a:stretch>
                                        </pic:blipFill>
                                        <pic:spPr bwMode="auto">
                                          <a:xfrm>
                                            <a:off x="0" y="0"/>
                                            <a:ext cx="723900" cy="190500"/>
                                          </a:xfrm>
                                          <a:prstGeom prst="rect">
                                            <a:avLst/>
                                          </a:prstGeom>
                                        </pic:spPr>
                                      </pic:pic>
                                    </a:graphicData>
                                  </a:graphic>
                                </wp:inline>
                              </w:drawing>
                            </w:r>
                            <w:bookmarkStart w:id="54" w:name="i-31"/>
                            <w:bookmarkEnd w:id="5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$24.3 million, during the six months ended June 30, 2025, when compared to the same period in 2024,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26"/>
        <w:gridCol w:w="2598"/>
        <w:gridCol w:w="36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6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$22.6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amortization of intangible assets from business combinations of $15.9 million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$9.6 million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stock-based compensation expense of $8.4 million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$7.2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advertising costs of $2.9 million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within general and administrative expenses of $20.7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transaction-based costs of $3.4 million related to the increase in the volume of transactions for which we process payments and, to a lesser extent, increases in vendor rates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employee severance of $2.1 million related to a modest and targeted headcount reduction during the three months ended June 30,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of $2.1 million in software development costs that were required to be capitalized under GAAP,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color w:val="51555C"/>
        </w:rPr>
      </w:pPr>
      <w:r>
        <w:rPr>
          <w:color w:val="51555C"/>
        </w:rPr>
        <w:t>                                                                                                                                                                                                                    </w:t>
      </w:r>
      <w:r>
        <w:rPr>
          <w:rFonts w:ascii="sans-serif" w:hAnsi="sans-serif"/>
          <w:b w:val="false"/>
          <w:color w:val="51555C"/>
          <w:sz w:val="20"/>
        </w:rPr>
        <w:t>We are continuing to make critical investments in the business in areas such as innovation, cybersecurity, and our continued shift of cloud infrastructure to leading public cloud service providers.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891540"/>
                <wp:effectExtent l="0" t="0" r="0" b="0"/>
                <wp:wrapNone/>
                <wp:docPr id="81"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2" descr=""/>
                                                <pic:cNvPicPr>
                                                  <a:picLocks noChangeAspect="1" noChangeArrowheads="1"/>
                                                </pic:cNvPicPr>
                                              </pic:nvPicPr>
                                              <pic:blipFill>
                                                <a:blip r:embed="rId57"/>
                                                <a:stretch>
                                                  <a:fillRect/>
                                                </a:stretch>
                                              </pic:blipFill>
                                              <pic:spPr bwMode="auto">
                                                <a:xfrm>
                                                  <a:off x="0" y="0"/>
                                                  <a:ext cx="733425" cy="190500"/>
                                                </a:xfrm>
                                                <a:prstGeom prst="rect">
                                                  <a:avLst/>
                                                </a:prstGeom>
                                              </pic:spPr>
                                            </pic:pic>
                                          </a:graphicData>
                                        </a:graphic>
                                      </wp:inline>
                                    </w:drawing>
                                  </w:r>
                                  <w:bookmarkStart w:id="55" w:name="i-32"/>
                                  <w:bookmarkEnd w:id="5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2" descr=""/>
                                          <pic:cNvPicPr>
                                            <a:picLocks noChangeAspect="1" noChangeArrowheads="1"/>
                                          </pic:cNvPicPr>
                                        </pic:nvPicPr>
                                        <pic:blipFill>
                                          <a:blip r:embed="rId58"/>
                                          <a:stretch>
                                            <a:fillRect/>
                                          </a:stretch>
                                        </pic:blipFill>
                                        <pic:spPr bwMode="auto">
                                          <a:xfrm>
                                            <a:off x="0" y="0"/>
                                            <a:ext cx="733425" cy="190500"/>
                                          </a:xfrm>
                                          <a:prstGeom prst="rect">
                                            <a:avLst/>
                                          </a:prstGeom>
                                        </pic:spPr>
                                      </pic:pic>
                                    </a:graphicData>
                                  </a:graphic>
                                </wp:inline>
                              </w:drawing>
                            </w:r>
                            <w:bookmarkStart w:id="56" w:name="i-32"/>
                            <w:bookmarkEnd w:id="5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2934"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8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3" descr=""/>
                    <pic:cNvPicPr>
                      <a:picLocks noChangeAspect="1" noChangeArrowheads="1"/>
                    </pic:cNvPicPr>
                  </pic:nvPicPr>
                  <pic:blipFill>
                    <a:blip r:embed="rId59"/>
                    <a:stretch>
                      <a:fillRect/>
                    </a:stretch>
                  </pic:blipFill>
                  <pic:spPr bwMode="auto">
                    <a:xfrm>
                      <a:off x="0" y="0"/>
                      <a:ext cx="2533650" cy="1457325"/>
                    </a:xfrm>
                    <a:prstGeom prst="rect">
                      <a:avLst/>
                    </a:prstGeom>
                  </pic:spPr>
                </pic:pic>
              </a:graphicData>
            </a:graphic>
          </wp:inline>
        </w:drawing>
      </w:r>
      <w:bookmarkStart w:id="57" w:name="i-33"/>
      <w:bookmarkEnd w:id="57"/>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subscription contracts are typically for a term of three years at contract inception.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June 30, 2025, our gross dollar retention was approximately 92%. This gross dollar retention rate increased over our rate for the twelve months ended December 31, 2024 primarily due to our sale of EVERFI. We are continually investing in innovation, which we believe will generate strong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Balance sheet and cash flow</w:t>
      </w:r>
    </w:p>
    <w:p>
      <w:pPr>
        <w:pStyle w:val="TextBody"/>
        <w:bidi w:val="0"/>
        <w:spacing w:lineRule="auto" w:line="288" w:before="180" w:after="283"/>
        <w:jc w:val="both"/>
        <w:rPr/>
      </w:pPr>
      <w:r>
        <w:rPr>
          <w:rFonts w:ascii="sans-serif" w:hAnsi="sans-serif"/>
          <w:b w:val="false"/>
          <w:color w:val="51555C"/>
          <w:sz w:val="20"/>
        </w:rPr>
        <w:t xml:space="preserve">At June 30, 2025, our cash and cash equivalents were $41.6 million. Under the 2024 Credit Facilities, the carrying amount of our debt was $1.1 billion and our net leverage ratio </w:t>
      </w:r>
      <w:r>
        <w:rPr>
          <w:rFonts w:ascii="sans-serif" w:hAnsi="sans-serif"/>
          <w:b w:val="false"/>
          <w:color w:val="51555C"/>
          <w:sz w:val="20"/>
          <w:shd w:fill="FFFFFF" w:val="clear"/>
        </w:rPr>
        <w:t xml:space="preserve">was </w:t>
      </w:r>
      <w:r>
        <w:rPr>
          <w:rFonts w:ascii="sans-serif" w:hAnsi="sans-serif"/>
          <w:b w:val="false"/>
          <w:color w:val="51555C"/>
          <w:sz w:val="20"/>
        </w:rPr>
        <w:t>2.70 to 1.00</w:t>
      </w:r>
      <w:r>
        <w:rPr>
          <w:rFonts w:ascii="sans-serif" w:hAnsi="sans-serif"/>
          <w:b w:val="false"/>
          <w:color w:val="51555C"/>
          <w:sz w:val="20"/>
          <w:shd w:fill="FFFFFF" w:val="clear"/>
        </w:rPr>
        <w:t>.</w:t>
      </w:r>
      <w:r>
        <w:rPr>
          <w:color w:val="51555C"/>
        </w:rPr>
        <w:t xml:space="preser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2025, we generated $68.3 million in cash from operations, had a net increase in borrowings of $84.6 million, returned $103.2 million to stockholders by way of share repurchases, including excise tax payments, and had aggregate cash outlays of $29.1 million for purchases of property and equipment and capitalized 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8"/>
        <w:gridCol w:w="878"/>
        <w:gridCol w:w="1243"/>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Results of Operations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Comparison of the three and six months ended June 30, 2025 and 2024</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51555C"/>
          <w:sz w:val="20"/>
          <w:u w:val="single"/>
        </w:rPr>
      </w:pPr>
      <w:r>
        <w:rPr>
          <w:rFonts w:ascii="sans-serif" w:hAnsi="sans-serif"/>
          <w:b w:val="false"/>
          <w:color w:val="51555C"/>
          <w:sz w:val="20"/>
          <w:u w:val="single"/>
        </w:rPr>
        <w:t>Disposition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previously disclosed, on December 31, 2024, we disposed of our EVERFI business, formerly a wholly owned subsidiary of Blackbaud, Inc, to a private investment firm that is unaffiliated with Blackbaud for nominal cash consideration. The results of operations of EVERFI are not included in our consolidated results of operations subsequent to the date of disposition.</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51555C"/>
          <w:sz w:val="20"/>
          <w:u w:val="single"/>
        </w:rPr>
      </w:pPr>
      <w:r>
        <w:rPr>
          <w:rFonts w:ascii="sans-serif" w:hAnsi="sans-serif"/>
          <w:b w:val="false"/>
          <w:color w:val="51555C"/>
          <w:sz w:val="20"/>
          <w:u w:val="single"/>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from "recurring" and "one-time services and other" have been combined within "revenue" beginning in 2025 due to the immateriality of our one-time services and other revenue. In order to provide comparability between periods presented, our “recurring“ and “one-time services and other" revenue lines have been combined within “revenue" in the previously reported consolidated statements of comprehensive income to conform to the presentation of the current period. Similarly, "cost of recurring" and "cost of one-time services and other" have been combined within "cost of revenue" in the previously reported consolidated statements of comprehensive income to conform to the presentation of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91540"/>
                <wp:effectExtent l="0" t="0" r="0" b="0"/>
                <wp:wrapNone/>
                <wp:docPr id="85"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34" descr=""/>
                                                <pic:cNvPicPr>
                                                  <a:picLocks noChangeAspect="1" noChangeArrowheads="1"/>
                                                </pic:cNvPicPr>
                                              </pic:nvPicPr>
                                              <pic:blipFill>
                                                <a:blip r:embed="rId60"/>
                                                <a:stretch>
                                                  <a:fillRect/>
                                                </a:stretch>
                                              </pic:blipFill>
                                              <pic:spPr bwMode="auto">
                                                <a:xfrm>
                                                  <a:off x="0" y="0"/>
                                                  <a:ext cx="723900" cy="190500"/>
                                                </a:xfrm>
                                                <a:prstGeom prst="rect">
                                                  <a:avLst/>
                                                </a:prstGeom>
                                              </pic:spPr>
                                            </pic:pic>
                                          </a:graphicData>
                                        </a:graphic>
                                      </wp:inline>
                                    </w:drawing>
                                  </w:r>
                                  <w:bookmarkStart w:id="58" w:name="i-34"/>
                                  <w:bookmarkEnd w:id="5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4" descr=""/>
                                          <pic:cNvPicPr>
                                            <a:picLocks noChangeAspect="1" noChangeArrowheads="1"/>
                                          </pic:cNvPicPr>
                                        </pic:nvPicPr>
                                        <pic:blipFill>
                                          <a:blip r:embed="rId61"/>
                                          <a:stretch>
                                            <a:fillRect/>
                                          </a:stretch>
                                        </pic:blipFill>
                                        <pic:spPr bwMode="auto">
                                          <a:xfrm>
                                            <a:off x="0" y="0"/>
                                            <a:ext cx="723900" cy="190500"/>
                                          </a:xfrm>
                                          <a:prstGeom prst="rect">
                                            <a:avLst/>
                                          </a:prstGeom>
                                        </pic:spPr>
                                      </pic:pic>
                                    </a:graphicData>
                                  </a:graphic>
                                </wp:inline>
                              </w:drawing>
                            </w:r>
                            <w:bookmarkStart w:id="59" w:name="i-34"/>
                            <w:bookmarkEnd w:id="5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240" w:after="240"/>
        <w:jc w:val="left"/>
        <w:rPr>
          <w:rFonts w:ascii="sans-serif" w:hAnsi="sans-serif"/>
          <w:b/>
          <w:color w:val="51555C"/>
          <w:sz w:val="20"/>
        </w:rPr>
      </w:pPr>
      <w:r>
        <w:rPr>
          <w:rFonts w:ascii="sans-serif" w:hAnsi="sans-serif"/>
          <w:b/>
          <w:color w:val="51555C"/>
          <w:sz w:val="20"/>
        </w:rPr>
        <w:t>Revenue and Cost of Revenue</w:t>
      </w:r>
    </w:p>
    <w:tbl>
      <w:tblPr>
        <w:tblW w:w="6503"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714"/>
        <w:gridCol w:w="714"/>
        <w:gridCol w:w="716"/>
        <w:gridCol w:w="109"/>
        <w:gridCol w:w="109"/>
        <w:gridCol w:w="109"/>
        <w:gridCol w:w="654"/>
        <w:gridCol w:w="654"/>
        <w:gridCol w:w="92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Gross profit ($M)</w:t>
              <w:br/>
              <w:t>and gross margin (%)</w:t>
            </w:r>
          </w:p>
        </w:tc>
      </w:tr>
      <w:tr>
        <w:trPr/>
        <w:tc>
          <w:tcPr>
            <w:tcW w:w="14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8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5" descr=""/>
                    <pic:cNvPicPr>
                      <a:picLocks noChangeAspect="1" noChangeArrowheads="1"/>
                    </pic:cNvPicPr>
                  </pic:nvPicPr>
                  <pic:blipFill>
                    <a:blip r:embed="rId62"/>
                    <a:stretch>
                      <a:fillRect/>
                    </a:stretch>
                  </pic:blipFill>
                  <pic:spPr bwMode="auto">
                    <a:xfrm>
                      <a:off x="0" y="0"/>
                      <a:ext cx="2152650" cy="1581150"/>
                    </a:xfrm>
                    <a:prstGeom prst="rect">
                      <a:avLst/>
                    </a:prstGeom>
                  </pic:spPr>
                </pic:pic>
              </a:graphicData>
            </a:graphic>
          </wp:inline>
        </w:drawing>
      </w:r>
      <w:bookmarkStart w:id="60" w:name="i-35"/>
      <w:bookmarkEnd w:id="60"/>
      <w:r>
        <w:rPr/>
        <w:drawing>
          <wp:inline distT="0" distB="0" distL="0" distR="0">
            <wp:extent cx="2152650" cy="1581150"/>
            <wp:effectExtent l="0" t="0" r="0" b="0"/>
            <wp:docPr id="8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6" descr=""/>
                    <pic:cNvPicPr>
                      <a:picLocks noChangeAspect="1" noChangeArrowheads="1"/>
                    </pic:cNvPicPr>
                  </pic:nvPicPr>
                  <pic:blipFill>
                    <a:blip r:embed="rId63"/>
                    <a:stretch>
                      <a:fillRect/>
                    </a:stretch>
                  </pic:blipFill>
                  <pic:spPr bwMode="auto">
                    <a:xfrm>
                      <a:off x="0" y="0"/>
                      <a:ext cx="2152650" cy="1581150"/>
                    </a:xfrm>
                    <a:prstGeom prst="rect">
                      <a:avLst/>
                    </a:prstGeom>
                  </pic:spPr>
                </pic:pic>
              </a:graphicData>
            </a:graphic>
          </wp:inline>
        </w:drawing>
      </w:r>
      <w:bookmarkStart w:id="61" w:name="i-36"/>
      <w:bookmarkEnd w:id="61"/>
      <w:r>
        <w:rPr/>
        <w:drawing>
          <wp:inline distT="0" distB="0" distL="0" distR="0">
            <wp:extent cx="2152650" cy="1581150"/>
            <wp:effectExtent l="0" t="0" r="0" b="0"/>
            <wp:docPr id="9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37" descr=""/>
                    <pic:cNvPicPr>
                      <a:picLocks noChangeAspect="1" noChangeArrowheads="1"/>
                    </pic:cNvPicPr>
                  </pic:nvPicPr>
                  <pic:blipFill>
                    <a:blip r:embed="rId64"/>
                    <a:stretch>
                      <a:fillRect/>
                    </a:stretch>
                  </pic:blipFill>
                  <pic:spPr bwMode="auto">
                    <a:xfrm>
                      <a:off x="0" y="0"/>
                      <a:ext cx="2152650" cy="1581150"/>
                    </a:xfrm>
                    <a:prstGeom prst="rect">
                      <a:avLst/>
                    </a:prstGeom>
                  </pic:spPr>
                </pic:pic>
              </a:graphicData>
            </a:graphic>
          </wp:inline>
        </w:drawing>
      </w:r>
      <w:bookmarkStart w:id="62" w:name="i-37"/>
      <w:bookmarkEnd w:id="62"/>
    </w:p>
    <w:p>
      <w:pPr>
        <w:pStyle w:val="TextBody"/>
        <w:bidi w:val="0"/>
        <w:spacing w:before="180" w:after="283"/>
        <w:jc w:val="left"/>
        <w:rPr/>
      </w:pPr>
      <w:r>
        <w:rPr/>
        <w:drawing>
          <wp:inline distT="0" distB="0" distL="0" distR="0">
            <wp:extent cx="2152650" cy="1581150"/>
            <wp:effectExtent l="0" t="0" r="0" b="0"/>
            <wp:docPr id="9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8" descr=""/>
                    <pic:cNvPicPr>
                      <a:picLocks noChangeAspect="1" noChangeArrowheads="1"/>
                    </pic:cNvPicPr>
                  </pic:nvPicPr>
                  <pic:blipFill>
                    <a:blip r:embed="rId65"/>
                    <a:stretch>
                      <a:fillRect/>
                    </a:stretch>
                  </pic:blipFill>
                  <pic:spPr bwMode="auto">
                    <a:xfrm>
                      <a:off x="0" y="0"/>
                      <a:ext cx="2152650" cy="1581150"/>
                    </a:xfrm>
                    <a:prstGeom prst="rect">
                      <a:avLst/>
                    </a:prstGeom>
                  </pic:spPr>
                </pic:pic>
              </a:graphicData>
            </a:graphic>
          </wp:inline>
        </w:drawing>
      </w:r>
      <w:bookmarkStart w:id="63" w:name="i-38"/>
      <w:bookmarkEnd w:id="63"/>
      <w:r>
        <w:rPr/>
        <w:drawing>
          <wp:inline distT="0" distB="0" distL="0" distR="0">
            <wp:extent cx="2152650" cy="1581150"/>
            <wp:effectExtent l="0" t="0" r="0" b="0"/>
            <wp:docPr id="9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9" descr=""/>
                    <pic:cNvPicPr>
                      <a:picLocks noChangeAspect="1" noChangeArrowheads="1"/>
                    </pic:cNvPicPr>
                  </pic:nvPicPr>
                  <pic:blipFill>
                    <a:blip r:embed="rId66"/>
                    <a:stretch>
                      <a:fillRect/>
                    </a:stretch>
                  </pic:blipFill>
                  <pic:spPr bwMode="auto">
                    <a:xfrm>
                      <a:off x="0" y="0"/>
                      <a:ext cx="2152650" cy="1581150"/>
                    </a:xfrm>
                    <a:prstGeom prst="rect">
                      <a:avLst/>
                    </a:prstGeom>
                  </pic:spPr>
                </pic:pic>
              </a:graphicData>
            </a:graphic>
          </wp:inline>
        </w:drawing>
      </w:r>
      <w:bookmarkStart w:id="64" w:name="i-39"/>
      <w:bookmarkEnd w:id="64"/>
      <w:r>
        <w:rPr/>
        <w:drawing>
          <wp:inline distT="0" distB="0" distL="0" distR="0">
            <wp:extent cx="2152650" cy="1581150"/>
            <wp:effectExtent l="0" t="0" r="0" b="0"/>
            <wp:docPr id="9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0" descr=""/>
                    <pic:cNvPicPr>
                      <a:picLocks noChangeAspect="1" noChangeArrowheads="1"/>
                    </pic:cNvPicPr>
                  </pic:nvPicPr>
                  <pic:blipFill>
                    <a:blip r:embed="rId67"/>
                    <a:stretch>
                      <a:fillRect/>
                    </a:stretch>
                  </pic:blipFill>
                  <pic:spPr bwMode="auto">
                    <a:xfrm>
                      <a:off x="0" y="0"/>
                      <a:ext cx="2152650" cy="1581150"/>
                    </a:xfrm>
                    <a:prstGeom prst="rect">
                      <a:avLst/>
                    </a:prstGeom>
                  </pic:spPr>
                </pic:pic>
              </a:graphicData>
            </a:graphic>
          </wp:inline>
        </w:drawing>
      </w:r>
      <w:bookmarkStart w:id="65" w:name="i-40"/>
      <w:bookmarkEnd w:id="65"/>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revenue includes three components: contractual recurring, transactional recurring and one-time services and other.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Transactional recurring revenue is comprised of transaction fees associated with the use of our solutions, including donation processing, tuition management, consumer giving and event-based usage.</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continue to prefer cloud subscription offerings with integrated analytics, training and payment services. We intend to continue focusing on innovation, quality and integration of our cloud solutions, which we believe will drive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91540"/>
                <wp:effectExtent l="0" t="0" r="0" b="0"/>
                <wp:wrapNone/>
                <wp:docPr id="94"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1" descr=""/>
                                                <pic:cNvPicPr>
                                                  <a:picLocks noChangeAspect="1" noChangeArrowheads="1"/>
                                                </pic:cNvPicPr>
                                              </pic:nvPicPr>
                                              <pic:blipFill>
                                                <a:blip r:embed="rId68"/>
                                                <a:stretch>
                                                  <a:fillRect/>
                                                </a:stretch>
                                              </pic:blipFill>
                                              <pic:spPr bwMode="auto">
                                                <a:xfrm>
                                                  <a:off x="0" y="0"/>
                                                  <a:ext cx="733425" cy="190500"/>
                                                </a:xfrm>
                                                <a:prstGeom prst="rect">
                                                  <a:avLst/>
                                                </a:prstGeom>
                                              </pic:spPr>
                                            </pic:pic>
                                          </a:graphicData>
                                        </a:graphic>
                                      </wp:inline>
                                    </w:drawing>
                                  </w:r>
                                  <w:bookmarkStart w:id="66" w:name="i-41"/>
                                  <w:bookmarkEnd w:id="6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1" descr=""/>
                                          <pic:cNvPicPr>
                                            <a:picLocks noChangeAspect="1" noChangeArrowheads="1"/>
                                          </pic:cNvPicPr>
                                        </pic:nvPicPr>
                                        <pic:blipFill>
                                          <a:blip r:embed="rId69"/>
                                          <a:stretch>
                                            <a:fillRect/>
                                          </a:stretch>
                                        </pic:blipFill>
                                        <pic:spPr bwMode="auto">
                                          <a:xfrm>
                                            <a:off x="0" y="0"/>
                                            <a:ext cx="733425" cy="190500"/>
                                          </a:xfrm>
                                          <a:prstGeom prst="rect">
                                            <a:avLst/>
                                          </a:prstGeom>
                                        </pic:spPr>
                                      </pic:pic>
                                    </a:graphicData>
                                  </a:graphic>
                                </wp:inline>
                              </w:drawing>
                            </w:r>
                            <w:bookmarkStart w:id="67" w:name="i-41"/>
                            <w:bookmarkEnd w:id="6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pPr>
      <w:r>
        <w:rPr>
          <w:rFonts w:ascii="sans-serif" w:hAnsi="sans-serif"/>
          <w:b w:val="false"/>
          <w:color w:val="51555C"/>
          <w:sz w:val="20"/>
        </w:rPr>
        <w:t xml:space="preserve">Revenue decreased by $5.9 million, or 2.1%, and $14.5 million, or 2.6%, during the three and six months ended June 30, 2025, respectively, when compared to the same periods in 2024. For a discussion of our changes in revenue, see "Revenue" above starting on page </w:t>
      </w:r>
      <w:hyperlink w:anchor="ic4ac21d798c247229aaf9796f1448243_115">
        <w:r>
          <w:rPr>
            <w:rStyle w:val="InternetLink"/>
            <w:rFonts w:ascii="sans-serif" w:hAnsi="sans-serif"/>
            <w:b w:val="false"/>
            <w:strike w:val="false"/>
            <w:dstrike w:val="false"/>
            <w:color w:val="51555C"/>
            <w:sz w:val="20"/>
            <w:u w:val="none"/>
            <w:effect w:val="none"/>
          </w:rPr>
          <w:t>24</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decreased by $11.1 million, or 8.9%, and $22.5 million, or 9.0%, during the three and six months ended June 30, 2025, respectively, when compared to the same periods in 2024,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20"/>
        <w:gridCol w:w="2605"/>
        <w:gridCol w:w="36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605" w:type="dxa"/>
            <w:tcBorders/>
            <w:vAlign w:val="center"/>
          </w:tcPr>
          <w:p>
            <w:pPr>
              <w:pStyle w:val="TableContents"/>
              <w:bidi w:val="0"/>
              <w:spacing w:before="0" w:after="283"/>
              <w:jc w:val="left"/>
              <w:rPr>
                <w:sz w:val="4"/>
                <w:szCs w:val="4"/>
              </w:rPr>
            </w:pPr>
            <w:r>
              <w:rPr>
                <w:sz w:val="4"/>
                <w:szCs w:val="4"/>
              </w:rPr>
            </w:r>
          </w:p>
        </w:tc>
        <w:tc>
          <w:tcPr>
            <w:tcW w:w="36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amortization of intangible assets from business combinations of $7.6 million and $15.2 million, respectively, largely due to the previously disclosed impairment charge related to our EVERFI asset group in December 2024, which primarily included finite-lived intangible assets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of $4.3 million and $7.2 million, respectively, primarily due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$1.1 million and $1.4 million, respectively, largely related to our sale of EVERFI and, to a lesser extent, decreased use of outside contractors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allocated overhead costs of $1.0 million and $2.6 million, respectively, primarily related to a reduction in facilities costs and the decreased headcount from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Increases in transaction-based costs of $1.1 million and $3.1 million, respectively, related to the increase in the volume of transactions for which we process payments and, to a lesser extent, increases in vendor rates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Gross margin increased by 300 basis points and 290 basis points for the three and six months ended June 30, 2025, respectively, when compared to the same periods in 2024, primarily due to the decreases in cost of revenue outpacing the decreases in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Operating Expenses</w:t>
      </w:r>
    </w:p>
    <w:tbl>
      <w:tblPr>
        <w:tblW w:w="6966"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629"/>
        <w:gridCol w:w="629"/>
        <w:gridCol w:w="631"/>
        <w:gridCol w:w="109"/>
        <w:gridCol w:w="109"/>
        <w:gridCol w:w="109"/>
        <w:gridCol w:w="605"/>
        <w:gridCol w:w="605"/>
        <w:gridCol w:w="85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Sales, marketing and</w:t>
              <w:b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Research and</w:t>
              <w:b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General and</w:t>
              <w:br/>
              <w:t>administrative ($M)</w:t>
            </w:r>
          </w:p>
        </w:tc>
      </w:tr>
      <w:tr>
        <w:trPr/>
        <w:tc>
          <w:tcPr>
            <w:tcW w:w="6966"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9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2" descr=""/>
                    <pic:cNvPicPr>
                      <a:picLocks noChangeAspect="1" noChangeArrowheads="1"/>
                    </pic:cNvPicPr>
                  </pic:nvPicPr>
                  <pic:blipFill>
                    <a:blip r:embed="rId70"/>
                    <a:stretch>
                      <a:fillRect/>
                    </a:stretch>
                  </pic:blipFill>
                  <pic:spPr bwMode="auto">
                    <a:xfrm>
                      <a:off x="0" y="0"/>
                      <a:ext cx="2152650" cy="1581150"/>
                    </a:xfrm>
                    <a:prstGeom prst="rect">
                      <a:avLst/>
                    </a:prstGeom>
                  </pic:spPr>
                </pic:pic>
              </a:graphicData>
            </a:graphic>
          </wp:inline>
        </w:drawing>
      </w:r>
      <w:bookmarkStart w:id="68" w:name="i-42"/>
      <w:bookmarkEnd w:id="68"/>
      <w:r>
        <w:rPr/>
        <w:drawing>
          <wp:inline distT="0" distB="0" distL="0" distR="0">
            <wp:extent cx="2152650" cy="1581150"/>
            <wp:effectExtent l="0" t="0" r="0" b="0"/>
            <wp:docPr id="9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43" descr=""/>
                    <pic:cNvPicPr>
                      <a:picLocks noChangeAspect="1" noChangeArrowheads="1"/>
                    </pic:cNvPicPr>
                  </pic:nvPicPr>
                  <pic:blipFill>
                    <a:blip r:embed="rId71"/>
                    <a:stretch>
                      <a:fillRect/>
                    </a:stretch>
                  </pic:blipFill>
                  <pic:spPr bwMode="auto">
                    <a:xfrm>
                      <a:off x="0" y="0"/>
                      <a:ext cx="2152650" cy="1581150"/>
                    </a:xfrm>
                    <a:prstGeom prst="rect">
                      <a:avLst/>
                    </a:prstGeom>
                  </pic:spPr>
                </pic:pic>
              </a:graphicData>
            </a:graphic>
          </wp:inline>
        </w:drawing>
      </w:r>
      <w:bookmarkStart w:id="69" w:name="i-43"/>
      <w:bookmarkEnd w:id="69"/>
      <w:r>
        <w:rPr/>
        <w:drawing>
          <wp:inline distT="0" distB="0" distL="0" distR="0">
            <wp:extent cx="2152650" cy="1581150"/>
            <wp:effectExtent l="0" t="0" r="0" b="0"/>
            <wp:docPr id="9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4" descr=""/>
                    <pic:cNvPicPr>
                      <a:picLocks noChangeAspect="1" noChangeArrowheads="1"/>
                    </pic:cNvPicPr>
                  </pic:nvPicPr>
                  <pic:blipFill>
                    <a:blip r:embed="rId72"/>
                    <a:stretch>
                      <a:fillRect/>
                    </a:stretch>
                  </pic:blipFill>
                  <pic:spPr bwMode="auto">
                    <a:xfrm>
                      <a:off x="0" y="0"/>
                      <a:ext cx="2152650" cy="1581150"/>
                    </a:xfrm>
                    <a:prstGeom prst="rect">
                      <a:avLst/>
                    </a:prstGeom>
                  </pic:spPr>
                </pic:pic>
              </a:graphicData>
            </a:graphic>
          </wp:inline>
        </w:drawing>
      </w:r>
      <w:bookmarkStart w:id="70" w:name="i-44"/>
      <w:bookmarkEnd w:id="70"/>
    </w:p>
    <w:p>
      <w:pPr>
        <w:pStyle w:val="TextBody"/>
        <w:bidi w:val="0"/>
        <w:spacing w:before="180" w:after="283"/>
        <w:jc w:val="left"/>
        <w:rPr/>
      </w:pPr>
      <w:r>
        <w:rPr/>
        <w:drawing>
          <wp:inline distT="0" distB="0" distL="0" distR="0">
            <wp:extent cx="2152650" cy="1581150"/>
            <wp:effectExtent l="0" t="0" r="0" b="0"/>
            <wp:docPr id="10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5" descr=""/>
                    <pic:cNvPicPr>
                      <a:picLocks noChangeAspect="1" noChangeArrowheads="1"/>
                    </pic:cNvPicPr>
                  </pic:nvPicPr>
                  <pic:blipFill>
                    <a:blip r:embed="rId73"/>
                    <a:stretch>
                      <a:fillRect/>
                    </a:stretch>
                  </pic:blipFill>
                  <pic:spPr bwMode="auto">
                    <a:xfrm>
                      <a:off x="0" y="0"/>
                      <a:ext cx="2152650" cy="1581150"/>
                    </a:xfrm>
                    <a:prstGeom prst="rect">
                      <a:avLst/>
                    </a:prstGeom>
                  </pic:spPr>
                </pic:pic>
              </a:graphicData>
            </a:graphic>
          </wp:inline>
        </w:drawing>
      </w:r>
      <w:bookmarkStart w:id="71" w:name="i-45"/>
      <w:bookmarkEnd w:id="71"/>
      <w:r>
        <w:rPr/>
        <w:drawing>
          <wp:inline distT="0" distB="0" distL="0" distR="0">
            <wp:extent cx="2152650" cy="1581150"/>
            <wp:effectExtent l="0" t="0" r="0" b="0"/>
            <wp:docPr id="10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46" descr=""/>
                    <pic:cNvPicPr>
                      <a:picLocks noChangeAspect="1" noChangeArrowheads="1"/>
                    </pic:cNvPicPr>
                  </pic:nvPicPr>
                  <pic:blipFill>
                    <a:blip r:embed="rId74"/>
                    <a:stretch>
                      <a:fillRect/>
                    </a:stretch>
                  </pic:blipFill>
                  <pic:spPr bwMode="auto">
                    <a:xfrm>
                      <a:off x="0" y="0"/>
                      <a:ext cx="2152650" cy="1581150"/>
                    </a:xfrm>
                    <a:prstGeom prst="rect">
                      <a:avLst/>
                    </a:prstGeom>
                  </pic:spPr>
                </pic:pic>
              </a:graphicData>
            </a:graphic>
          </wp:inline>
        </w:drawing>
      </w:r>
      <w:bookmarkStart w:id="72" w:name="i-46"/>
      <w:bookmarkEnd w:id="72"/>
      <w:r>
        <w:rPr/>
        <w:drawing>
          <wp:inline distT="0" distB="0" distL="0" distR="0">
            <wp:extent cx="2152650" cy="1581150"/>
            <wp:effectExtent l="0" t="0" r="0" b="0"/>
            <wp:docPr id="10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7" descr=""/>
                    <pic:cNvPicPr>
                      <a:picLocks noChangeAspect="1" noChangeArrowheads="1"/>
                    </pic:cNvPicPr>
                  </pic:nvPicPr>
                  <pic:blipFill>
                    <a:blip r:embed="rId75"/>
                    <a:stretch>
                      <a:fillRect/>
                    </a:stretch>
                  </pic:blipFill>
                  <pic:spPr bwMode="auto">
                    <a:xfrm>
                      <a:off x="0" y="0"/>
                      <a:ext cx="2152650" cy="1581150"/>
                    </a:xfrm>
                    <a:prstGeom prst="rect">
                      <a:avLst/>
                    </a:prstGeom>
                  </pic:spPr>
                </pic:pic>
              </a:graphicData>
            </a:graphic>
          </wp:inline>
        </w:drawing>
      </w:r>
      <w:bookmarkStart w:id="73" w:name="i-47"/>
      <w:bookmarkEnd w:id="73"/>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91540"/>
                <wp:effectExtent l="0" t="0" r="0" b="0"/>
                <wp:wrapNone/>
                <wp:docPr id="103" name="Frame2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48" descr=""/>
                                                <pic:cNvPicPr>
                                                  <a:picLocks noChangeAspect="1" noChangeArrowheads="1"/>
                                                </pic:cNvPicPr>
                                              </pic:nvPicPr>
                                              <pic:blipFill>
                                                <a:blip r:embed="rId76"/>
                                                <a:stretch>
                                                  <a:fillRect/>
                                                </a:stretch>
                                              </pic:blipFill>
                                              <pic:spPr bwMode="auto">
                                                <a:xfrm>
                                                  <a:off x="0" y="0"/>
                                                  <a:ext cx="723900" cy="190500"/>
                                                </a:xfrm>
                                                <a:prstGeom prst="rect">
                                                  <a:avLst/>
                                                </a:prstGeom>
                                              </pic:spPr>
                                            </pic:pic>
                                          </a:graphicData>
                                        </a:graphic>
                                      </wp:inline>
                                    </w:drawing>
                                  </w:r>
                                  <w:bookmarkStart w:id="74" w:name="i-48"/>
                                  <w:bookmarkEnd w:id="7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8" descr=""/>
                                          <pic:cNvPicPr>
                                            <a:picLocks noChangeAspect="1" noChangeArrowheads="1"/>
                                          </pic:cNvPicPr>
                                        </pic:nvPicPr>
                                        <pic:blipFill>
                                          <a:blip r:embed="rId77"/>
                                          <a:stretch>
                                            <a:fillRect/>
                                          </a:stretch>
                                        </pic:blipFill>
                                        <pic:spPr bwMode="auto">
                                          <a:xfrm>
                                            <a:off x="0" y="0"/>
                                            <a:ext cx="723900" cy="190500"/>
                                          </a:xfrm>
                                          <a:prstGeom prst="rect">
                                            <a:avLst/>
                                          </a:prstGeom>
                                        </pic:spPr>
                                      </pic:pic>
                                    </a:graphicData>
                                  </a:graphic>
                                </wp:inline>
                              </w:drawing>
                            </w:r>
                            <w:bookmarkStart w:id="75" w:name="i-48"/>
                            <w:bookmarkEnd w:id="7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Sales, marketing and 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intended to reduce our average customer acquisition cost per customer as well as the related payback period while increasing sales velocity.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decreased by $3.0 million, or 6.4%, and $9.3 million, or 9.5%, during the three and six months ended June 30, 2025, respectively, when compared to the same periods in 2024. The decreases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Decreases in compensation costs of $1.6 million and $5.8 million, respectively,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advertising costs of $1.6 million and $2.9 million, respectively,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Research and development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make investments intended to delight our customers with innovative and secure cloud solutions. Research and development expenses decreased by $5.5 million, or 14.0%, and $14.7 million, or 18.0%, during the three and six months ended June 30, 2025, respectively, when compared to the same periods in 2024. The decreases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compensation costs of $3.9 million and $11.7 million, respectively,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Decreases in third-party contractor costs of $2.5 million and $4.8 million, respectively, primarily related to our sale of EVERFI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software development costs of $1.7 million, for the six months ended June 30, 2025, that were required to be capitalized under GAAP,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Not included in research and development expense for the three months ended June 30, 2025 and 2024 were $14.4 million and $14.8 million, respectively, and for the six months ended June 30, 2025 and 2024 were $26.8 million and $28.5 million, respectively, of qualifying costs associated with software development activities that are required to be capitalized under GAAP, such as those for our cloud solutions. Qualifying capitalized development costs associated with our cloud solutions are subsequently amortized to cost </w:t>
      </w:r>
      <w:r>
        <w:rPr>
          <w:rFonts w:ascii="sans-serif" w:hAnsi="sans-serif"/>
          <w:b w:val="false"/>
          <w:color w:val="51555C"/>
          <w:sz w:val="20"/>
          <w:shd w:fill="FFFFFF" w:val="clear"/>
        </w:rPr>
        <w:t xml:space="preserve">of revenue over the related assets' estimated useful life, which generally range from three to seven years. </w:t>
      </w:r>
      <w:r>
        <w:rPr>
          <w:rFonts w:ascii="sans-serif" w:hAnsi="sans-serif"/>
          <w:b w:val="false"/>
          <w:color w:val="51555C"/>
          <w:sz w:val="20"/>
        </w:rPr>
        <w:t>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891540"/>
                <wp:effectExtent l="0" t="0" r="0" b="0"/>
                <wp:wrapNone/>
                <wp:docPr id="106"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49" descr=""/>
                                                <pic:cNvPicPr>
                                                  <a:picLocks noChangeAspect="1" noChangeArrowheads="1"/>
                                                </pic:cNvPicPr>
                                              </pic:nvPicPr>
                                              <pic:blipFill>
                                                <a:blip r:embed="rId78"/>
                                                <a:stretch>
                                                  <a:fillRect/>
                                                </a:stretch>
                                              </pic:blipFill>
                                              <pic:spPr bwMode="auto">
                                                <a:xfrm>
                                                  <a:off x="0" y="0"/>
                                                  <a:ext cx="733425" cy="190500"/>
                                                </a:xfrm>
                                                <a:prstGeom prst="rect">
                                                  <a:avLst/>
                                                </a:prstGeom>
                                              </pic:spPr>
                                            </pic:pic>
                                          </a:graphicData>
                                        </a:graphic>
                                      </wp:inline>
                                    </w:drawing>
                                  </w:r>
                                  <w:bookmarkStart w:id="76" w:name="i-49"/>
                                  <w:bookmarkEnd w:id="7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9" descr=""/>
                                          <pic:cNvPicPr>
                                            <a:picLocks noChangeAspect="1" noChangeArrowheads="1"/>
                                          </pic:cNvPicPr>
                                        </pic:nvPicPr>
                                        <pic:blipFill>
                                          <a:blip r:embed="rId79"/>
                                          <a:stretch>
                                            <a:fillRect/>
                                          </a:stretch>
                                        </pic:blipFill>
                                        <pic:spPr bwMode="auto">
                                          <a:xfrm>
                                            <a:off x="0" y="0"/>
                                            <a:ext cx="733425" cy="190500"/>
                                          </a:xfrm>
                                          <a:prstGeom prst="rect">
                                            <a:avLst/>
                                          </a:prstGeom>
                                        </pic:spPr>
                                      </pic:pic>
                                    </a:graphicData>
                                  </a:graphic>
                                </wp:inline>
                              </w:drawing>
                            </w:r>
                            <w:bookmarkStart w:id="77" w:name="i-49"/>
                            <w:bookmarkEnd w:id="7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General and administrative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costs, acquisition-related expenses and other administrative expenses.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decreased by $0.6 million, or 1.8%, during the three months ended June 30, 2025, when compared to the same period in 2024. The decrease in dollars was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of $2.1 million primarily due to prior year noncash impairment charges partially offset by the release of accrued contingent consideration, both of which occurred during the second quarter of 2024 but did not reoccur in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$1.4 million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$1.0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stock-based compensation costs of $2.5 million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total costs allocated from general and administrative expense of $1.5 million primarily related to a reduction in facilities costs and the decreased headcount from our sale of EVERFI. Depreciation, facilities and IT support costs are pooled and recorded to general and administrative expense and allocated to other lines of our statements of comprehensive income based on headcount.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increased by $8.3 million, or 10.3%, during the six months ended June 30, 2025, when compared to the same period in 2024. The increases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acquisition and disposition-related costs of $20.7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Decrease in total costs allocated from general and administrative expense of $3.3 million primarily related to a reduction in facilities costs and the decreased headcount from our sale of EVERFI. Depreciation, facilities and IT support costs are pooled and recorded to general and administrative expense and allocated to other lines of our statements of comprehensive income based on headcount.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$1.4 million primarily related to investments in our internal cybersecurity program</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$9.6 million largely related to decreases in loss contingency accruals. See Note 8 to our unaudited, condensed consolidated financial statements in this report for our discussion of the Security Incident.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stock-based compensation costs of $4.9 million primarily due to a decrease in the grant date fair value of equity award grants, and to a lesser extent, our sale of EVERFI; partially offset by an increase primarily due to estimated overall Company performance against 2025 goals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rent expense of $1.9 million primarily related to our release from our lease for office space in Washington, DC in February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other than stock-based compensation of $1.6 million primarily due to our sale of EVERFI</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891540"/>
                <wp:effectExtent l="0" t="0" r="0" b="0"/>
                <wp:wrapNone/>
                <wp:docPr id="109"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50" descr=""/>
                                                <pic:cNvPicPr>
                                                  <a:picLocks noChangeAspect="1" noChangeArrowheads="1"/>
                                                </pic:cNvPicPr>
                                              </pic:nvPicPr>
                                              <pic:blipFill>
                                                <a:blip r:embed="rId80"/>
                                                <a:stretch>
                                                  <a:fillRect/>
                                                </a:stretch>
                                              </pic:blipFill>
                                              <pic:spPr bwMode="auto">
                                                <a:xfrm>
                                                  <a:off x="0" y="0"/>
                                                  <a:ext cx="723900" cy="190500"/>
                                                </a:xfrm>
                                                <a:prstGeom prst="rect">
                                                  <a:avLst/>
                                                </a:prstGeom>
                                              </pic:spPr>
                                            </pic:pic>
                                          </a:graphicData>
                                        </a:graphic>
                                      </wp:inline>
                                    </w:drawing>
                                  </w:r>
                                  <w:bookmarkStart w:id="78" w:name="i-50"/>
                                  <w:bookmarkEnd w:id="7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50" descr=""/>
                                          <pic:cNvPicPr>
                                            <a:picLocks noChangeAspect="1" noChangeArrowheads="1"/>
                                          </pic:cNvPicPr>
                                        </pic:nvPicPr>
                                        <pic:blipFill>
                                          <a:blip r:embed="rId81"/>
                                          <a:stretch>
                                            <a:fillRect/>
                                          </a:stretch>
                                        </pic:blipFill>
                                        <pic:spPr bwMode="auto">
                                          <a:xfrm>
                                            <a:off x="0" y="0"/>
                                            <a:ext cx="723900" cy="190500"/>
                                          </a:xfrm>
                                          <a:prstGeom prst="rect">
                                            <a:avLst/>
                                          </a:prstGeom>
                                        </pic:spPr>
                                      </pic:pic>
                                    </a:graphicData>
                                  </a:graphic>
                                </wp:inline>
                              </w:drawing>
                            </w:r>
                            <w:bookmarkStart w:id="79" w:name="i-50"/>
                            <w:bookmarkEnd w:id="7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Interest Expense</w:t>
      </w:r>
    </w:p>
    <w:tbl>
      <w:tblPr>
        <w:tblW w:w="4813" w:type="dxa"/>
        <w:jc w:val="left"/>
        <w:tblInd w:w="0" w:type="dxa"/>
        <w:tblLayout w:type="fixed"/>
        <w:tblCellMar>
          <w:top w:w="28" w:type="dxa"/>
          <w:left w:w="28" w:type="dxa"/>
          <w:bottom w:w="28" w:type="dxa"/>
          <w:right w:w="28" w:type="dxa"/>
        </w:tblCellMar>
      </w:tblPr>
      <w:tblGrid>
        <w:gridCol w:w="573"/>
        <w:gridCol w:w="504"/>
        <w:gridCol w:w="504"/>
        <w:gridCol w:w="504"/>
        <w:gridCol w:w="504"/>
        <w:gridCol w:w="504"/>
        <w:gridCol w:w="504"/>
        <w:gridCol w:w="504"/>
        <w:gridCol w:w="712"/>
      </w:tblGrid>
      <w:tr>
        <w:trPr/>
        <w:tc>
          <w:tcPr>
            <w:tcW w:w="573"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4813"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i/>
                <w:color w:val="51555C"/>
                <w:sz w:val="20"/>
              </w:rPr>
            </w:pPr>
            <w:r>
              <w:rPr>
                <w:rFonts w:ascii="sans-serif" w:hAnsi="sans-serif"/>
                <w:b w:val="false"/>
                <w:i/>
                <w:color w:val="51555C"/>
                <w:sz w:val="20"/>
              </w:rPr>
              <w:t>Interest expense ($M)</w:t>
            </w:r>
          </w:p>
        </w:tc>
      </w:tr>
      <w:tr>
        <w:trPr/>
        <w:tc>
          <w:tcPr>
            <w:tcW w:w="4813"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51" descr=""/>
                    <pic:cNvPicPr>
                      <a:picLocks noChangeAspect="1" noChangeArrowheads="1"/>
                    </pic:cNvPicPr>
                  </pic:nvPicPr>
                  <pic:blipFill>
                    <a:blip r:embed="rId82"/>
                    <a:stretch>
                      <a:fillRect/>
                    </a:stretch>
                  </pic:blipFill>
                  <pic:spPr bwMode="auto">
                    <a:xfrm>
                      <a:off x="0" y="0"/>
                      <a:ext cx="2152650" cy="1581150"/>
                    </a:xfrm>
                    <a:prstGeom prst="rect">
                      <a:avLst/>
                    </a:prstGeom>
                  </pic:spPr>
                </pic:pic>
              </a:graphicData>
            </a:graphic>
          </wp:inline>
        </w:drawing>
      </w:r>
      <w:bookmarkStart w:id="80" w:name="i-51"/>
      <w:bookmarkEnd w:id="80"/>
      <w:r>
        <w:rPr>
          <w:color w:val="51555C"/>
        </w:rPr>
        <w:t>                                          </w:t>
      </w:r>
      <w:r>
        <w:rPr/>
        <w:drawing>
          <wp:inline distT="0" distB="0" distL="0" distR="0">
            <wp:extent cx="2152650" cy="1581150"/>
            <wp:effectExtent l="0" t="0" r="0" b="0"/>
            <wp:docPr id="11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2" descr=""/>
                    <pic:cNvPicPr>
                      <a:picLocks noChangeAspect="1" noChangeArrowheads="1"/>
                    </pic:cNvPicPr>
                  </pic:nvPicPr>
                  <pic:blipFill>
                    <a:blip r:embed="rId83"/>
                    <a:stretch>
                      <a:fillRect/>
                    </a:stretch>
                  </pic:blipFill>
                  <pic:spPr bwMode="auto">
                    <a:xfrm>
                      <a:off x="0" y="0"/>
                      <a:ext cx="2152650" cy="1581150"/>
                    </a:xfrm>
                    <a:prstGeom prst="rect">
                      <a:avLst/>
                    </a:prstGeom>
                  </pic:spPr>
                </pic:pic>
              </a:graphicData>
            </a:graphic>
          </wp:inline>
        </w:drawing>
      </w:r>
      <w:bookmarkStart w:id="81" w:name="i-52"/>
      <w:bookmarkEnd w:id="81"/>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increases in interest expense in dollars and as a percentage of total revenue during the three and six months ended June 30, 2025, when compared to the same periods in 2024, were primarily due to our incremental borrowings to fund stock repurchases during 2024 and 2025 and the expiration of favorable interest rate swaps in October 2024. We currently expect interest expense for the full year 2025 to be approximately $65 million to $69 million.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Income, Net</w:t>
      </w:r>
    </w:p>
    <w:tbl>
      <w:tblPr>
        <w:tblW w:w="5428" w:type="dxa"/>
        <w:jc w:val="left"/>
        <w:tblInd w:w="0" w:type="dxa"/>
        <w:tblLayout w:type="fixed"/>
        <w:tblCellMar>
          <w:top w:w="28" w:type="dxa"/>
          <w:left w:w="28" w:type="dxa"/>
          <w:bottom w:w="28" w:type="dxa"/>
          <w:right w:w="28" w:type="dxa"/>
        </w:tblCellMar>
      </w:tblPr>
      <w:tblGrid>
        <w:gridCol w:w="647"/>
        <w:gridCol w:w="568"/>
        <w:gridCol w:w="568"/>
        <w:gridCol w:w="568"/>
        <w:gridCol w:w="568"/>
        <w:gridCol w:w="568"/>
        <w:gridCol w:w="568"/>
        <w:gridCol w:w="568"/>
        <w:gridCol w:w="805"/>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r>
      <w:tr>
        <w:trPr/>
        <w:tc>
          <w:tcPr>
            <w:tcW w:w="5428"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Other income, net ($M)</w:t>
            </w:r>
          </w:p>
        </w:tc>
      </w:tr>
      <w:tr>
        <w:trPr/>
        <w:tc>
          <w:tcPr>
            <w:tcW w:w="5428"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other income, net as a percentage of total revenue</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3" descr=""/>
                    <pic:cNvPicPr>
                      <a:picLocks noChangeAspect="1" noChangeArrowheads="1"/>
                    </pic:cNvPicPr>
                  </pic:nvPicPr>
                  <pic:blipFill>
                    <a:blip r:embed="rId84"/>
                    <a:stretch>
                      <a:fillRect/>
                    </a:stretch>
                  </pic:blipFill>
                  <pic:spPr bwMode="auto">
                    <a:xfrm>
                      <a:off x="0" y="0"/>
                      <a:ext cx="2152650" cy="1581150"/>
                    </a:xfrm>
                    <a:prstGeom prst="rect">
                      <a:avLst/>
                    </a:prstGeom>
                  </pic:spPr>
                </pic:pic>
              </a:graphicData>
            </a:graphic>
          </wp:inline>
        </w:drawing>
      </w:r>
      <w:bookmarkStart w:id="82" w:name="i-53"/>
      <w:bookmarkEnd w:id="82"/>
      <w:r>
        <w:rPr>
          <w:color w:val="51555C"/>
        </w:rPr>
        <w:t>                                          </w:t>
      </w:r>
      <w:r>
        <w:rPr/>
        <w:drawing>
          <wp:inline distT="0" distB="0" distL="0" distR="0">
            <wp:extent cx="2152650" cy="1581150"/>
            <wp:effectExtent l="0" t="0" r="0" b="0"/>
            <wp:docPr id="11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4" descr=""/>
                    <pic:cNvPicPr>
                      <a:picLocks noChangeAspect="1" noChangeArrowheads="1"/>
                    </pic:cNvPicPr>
                  </pic:nvPicPr>
                  <pic:blipFill>
                    <a:blip r:embed="rId85"/>
                    <a:stretch>
                      <a:fillRect/>
                    </a:stretch>
                  </pic:blipFill>
                  <pic:spPr bwMode="auto">
                    <a:xfrm>
                      <a:off x="0" y="0"/>
                      <a:ext cx="2152650" cy="1581150"/>
                    </a:xfrm>
                    <a:prstGeom prst="rect">
                      <a:avLst/>
                    </a:prstGeom>
                  </pic:spPr>
                </pic:pic>
              </a:graphicData>
            </a:graphic>
          </wp:inline>
        </w:drawing>
      </w:r>
      <w:bookmarkStart w:id="83" w:name="i-54"/>
      <w:bookmarkEnd w:id="83"/>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decreases in other income, net in dollars and as a percentage of total revenue during the three and six months ended June 30, 2025, when compared to the same periods in 2024, were primarily due to increases in current year losses in currency revaluation compared to prior year losses. See Note 5 to our unaudited, condensed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891540"/>
                <wp:effectExtent l="0" t="0" r="0" b="0"/>
                <wp:wrapNone/>
                <wp:docPr id="116"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7"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5" descr=""/>
                                                <pic:cNvPicPr>
                                                  <a:picLocks noChangeAspect="1" noChangeArrowheads="1"/>
                                                </pic:cNvPicPr>
                                              </pic:nvPicPr>
                                              <pic:blipFill>
                                                <a:blip r:embed="rId86"/>
                                                <a:stretch>
                                                  <a:fillRect/>
                                                </a:stretch>
                                              </pic:blipFill>
                                              <pic:spPr bwMode="auto">
                                                <a:xfrm>
                                                  <a:off x="0" y="0"/>
                                                  <a:ext cx="733425" cy="190500"/>
                                                </a:xfrm>
                                                <a:prstGeom prst="rect">
                                                  <a:avLst/>
                                                </a:prstGeom>
                                              </pic:spPr>
                                            </pic:pic>
                                          </a:graphicData>
                                        </a:graphic>
                                      </wp:inline>
                                    </w:drawing>
                                  </w:r>
                                  <w:bookmarkStart w:id="84" w:name="i-55"/>
                                  <w:bookmarkEnd w:id="8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5" descr=""/>
                                          <pic:cNvPicPr>
                                            <a:picLocks noChangeAspect="1" noChangeArrowheads="1"/>
                                          </pic:cNvPicPr>
                                        </pic:nvPicPr>
                                        <pic:blipFill>
                                          <a:blip r:embed="rId87"/>
                                          <a:stretch>
                                            <a:fillRect/>
                                          </a:stretch>
                                        </pic:blipFill>
                                        <pic:spPr bwMode="auto">
                                          <a:xfrm>
                                            <a:off x="0" y="0"/>
                                            <a:ext cx="733425" cy="190500"/>
                                          </a:xfrm>
                                          <a:prstGeom prst="rect">
                                            <a:avLst/>
                                          </a:prstGeom>
                                        </pic:spPr>
                                      </pic:pic>
                                    </a:graphicData>
                                  </a:graphic>
                                </wp:inline>
                              </w:drawing>
                            </w:r>
                            <w:bookmarkStart w:id="85" w:name="i-55"/>
                            <w:bookmarkEnd w:id="8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table below compares the components of deferred revenue from our unaudited, condensed consolidated balance sheets:</w:t>
      </w:r>
    </w:p>
    <w:tbl>
      <w:tblPr>
        <w:tblW w:w="5945" w:type="dxa"/>
        <w:jc w:val="left"/>
        <w:tblInd w:w="0" w:type="dxa"/>
        <w:tblLayout w:type="fixed"/>
        <w:tblCellMar>
          <w:top w:w="28" w:type="dxa"/>
          <w:left w:w="28" w:type="dxa"/>
          <w:bottom w:w="28" w:type="dxa"/>
          <w:right w:w="28" w:type="dxa"/>
        </w:tblCellMar>
      </w:tblPr>
      <w:tblGrid>
        <w:gridCol w:w="879"/>
        <w:gridCol w:w="773"/>
        <w:gridCol w:w="778"/>
        <w:gridCol w:w="226"/>
        <w:gridCol w:w="706"/>
        <w:gridCol w:w="109"/>
        <w:gridCol w:w="299"/>
        <w:gridCol w:w="936"/>
        <w:gridCol w:w="144"/>
        <w:gridCol w:w="293"/>
        <w:gridCol w:w="293"/>
        <w:gridCol w:w="509"/>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09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Deferred revenue</w:t>
            </w:r>
            <w:r>
              <w:rPr>
                <w:rFonts w:ascii="sans-serif" w:hAnsi="sans-serif"/>
                <w:b w:val="false"/>
                <w:color w:val="51555C"/>
                <w:sz w:val="13"/>
              </w:rPr>
              <w:t>(1)</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401.4 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361.5 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Less: Long-term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Current portion</w:t>
            </w:r>
            <w:r>
              <w:rPr>
                <w:rFonts w:ascii="sans-serif" w:hAnsi="sans-serif"/>
                <w:b w:val="false"/>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399.2 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359.5 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11.0 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sans-serif" w:hAnsi="sans-serif"/>
          <w:b w:val="false"/>
          <w:color w:val="51555C"/>
          <w:sz w:val="20"/>
          <w:shd w:fill="FFFFFF" w:val="clear"/>
        </w:rPr>
        <w:t xml:space="preserve">The increase in deferred revenue during the six months ended June 30, 2025 was primarily due to </w:t>
      </w:r>
      <w:r>
        <w:rPr>
          <w:rFonts w:ascii="sans-serif" w:hAnsi="sans-serif"/>
          <w:b w:val="false"/>
          <w:color w:val="51555C"/>
          <w:sz w:val="20"/>
        </w:rPr>
        <w:t>a seasonal increase in customer contract billings.</w:t>
      </w:r>
      <w:r>
        <w:rPr>
          <w:color w:val="51555C"/>
          <w:shd w:fill="FFFFFF" w:val="clear"/>
        </w:rPr>
        <w:t xml:space="preserve"> </w:t>
      </w:r>
      <w:r>
        <w:rPr>
          <w:rFonts w:ascii="sans-serif" w:hAnsi="sans-serif"/>
          <w:b w:val="false"/>
          <w:color w:val="51555C"/>
          <w:sz w:val="20"/>
          <w:shd w:fill="FFFFFF" w:val="clear"/>
        </w:rPr>
        <w:t xml:space="preserve">Historically, due to the timing of customer budget cycles, we have an increase in billings and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Income Taxes</w:t>
      </w:r>
    </w:p>
    <w:tbl>
      <w:tblPr>
        <w:tblW w:w="3595" w:type="dxa"/>
        <w:jc w:val="left"/>
        <w:tblInd w:w="0" w:type="dxa"/>
        <w:tblLayout w:type="fixed"/>
        <w:tblCellMar>
          <w:top w:w="28" w:type="dxa"/>
          <w:left w:w="28" w:type="dxa"/>
          <w:bottom w:w="28" w:type="dxa"/>
          <w:right w:w="28" w:type="dxa"/>
        </w:tblCellMar>
      </w:tblPr>
      <w:tblGrid>
        <w:gridCol w:w="426"/>
        <w:gridCol w:w="374"/>
        <w:gridCol w:w="374"/>
        <w:gridCol w:w="374"/>
        <w:gridCol w:w="374"/>
        <w:gridCol w:w="374"/>
        <w:gridCol w:w="374"/>
        <w:gridCol w:w="374"/>
        <w:gridCol w:w="551"/>
      </w:tblGrid>
      <w:tr>
        <w:trPr/>
        <w:tc>
          <w:tcPr>
            <w:tcW w:w="42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595" w:type="dxa"/>
            <w:gridSpan w:val="9"/>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tax provision ($M)</w:t>
            </w:r>
          </w:p>
        </w:tc>
      </w:tr>
      <w:tr>
        <w:trPr/>
        <w:tc>
          <w:tcPr>
            <w:tcW w:w="3595" w:type="dxa"/>
            <w:gridSpan w:val="9"/>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effective income tax rates</w:t>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11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6" descr=""/>
                    <pic:cNvPicPr>
                      <a:picLocks noChangeAspect="1" noChangeArrowheads="1"/>
                    </pic:cNvPicPr>
                  </pic:nvPicPr>
                  <pic:blipFill>
                    <a:blip r:embed="rId88"/>
                    <a:stretch>
                      <a:fillRect/>
                    </a:stretch>
                  </pic:blipFill>
                  <pic:spPr bwMode="auto">
                    <a:xfrm>
                      <a:off x="0" y="0"/>
                      <a:ext cx="2152650" cy="1581150"/>
                    </a:xfrm>
                    <a:prstGeom prst="rect">
                      <a:avLst/>
                    </a:prstGeom>
                  </pic:spPr>
                </pic:pic>
              </a:graphicData>
            </a:graphic>
          </wp:inline>
        </w:drawing>
      </w:r>
      <w:bookmarkStart w:id="86" w:name="i-56"/>
      <w:bookmarkEnd w:id="86"/>
      <w:r>
        <w:rPr>
          <w:color w:val="51555C"/>
        </w:rPr>
        <w:t>                                          </w:t>
      </w:r>
      <w:r>
        <w:rPr/>
        <w:drawing>
          <wp:inline distT="0" distB="0" distL="0" distR="0">
            <wp:extent cx="2152650" cy="1581150"/>
            <wp:effectExtent l="0" t="0" r="0" b="0"/>
            <wp:docPr id="12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7" descr=""/>
                    <pic:cNvPicPr>
                      <a:picLocks noChangeAspect="1" noChangeArrowheads="1"/>
                    </pic:cNvPicPr>
                  </pic:nvPicPr>
                  <pic:blipFill>
                    <a:blip r:embed="rId89"/>
                    <a:stretch>
                      <a:fillRect/>
                    </a:stretch>
                  </pic:blipFill>
                  <pic:spPr bwMode="auto">
                    <a:xfrm>
                      <a:off x="0" y="0"/>
                      <a:ext cx="2152650" cy="1581150"/>
                    </a:xfrm>
                    <a:prstGeom prst="rect">
                      <a:avLst/>
                    </a:prstGeom>
                  </pic:spPr>
                </pic:pic>
              </a:graphicData>
            </a:graphic>
          </wp:inline>
        </w:drawing>
      </w:r>
      <w:bookmarkStart w:id="87" w:name="i-57"/>
      <w:bookmarkEnd w:id="87"/>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increases in our effective income tax rate for the three and six months ended June 30, 2025 when compared to the same periods in 2024 were primarily due to the unfavorable impact of a valuation allowance recorded against our net U.S. deferred tax assets.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Non-GAAP Financial Measures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891540"/>
                <wp:effectExtent l="0" t="0" r="0" b="0"/>
                <wp:wrapNone/>
                <wp:docPr id="121"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8" descr=""/>
                                                <pic:cNvPicPr>
                                                  <a:picLocks noChangeAspect="1" noChangeArrowheads="1"/>
                                                </pic:cNvPicPr>
                                              </pic:nvPicPr>
                                              <pic:blipFill>
                                                <a:blip r:embed="rId90"/>
                                                <a:stretch>
                                                  <a:fillRect/>
                                                </a:stretch>
                                              </pic:blipFill>
                                              <pic:spPr bwMode="auto">
                                                <a:xfrm>
                                                  <a:off x="0" y="0"/>
                                                  <a:ext cx="723900" cy="190500"/>
                                                </a:xfrm>
                                                <a:prstGeom prst="rect">
                                                  <a:avLst/>
                                                </a:prstGeom>
                                              </pic:spPr>
                                            </pic:pic>
                                          </a:graphicData>
                                        </a:graphic>
                                      </wp:inline>
                                    </w:drawing>
                                  </w:r>
                                  <w:bookmarkStart w:id="88" w:name="i-58"/>
                                  <w:bookmarkEnd w:id="8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8" descr=""/>
                                          <pic:cNvPicPr>
                                            <a:picLocks noChangeAspect="1" noChangeArrowheads="1"/>
                                          </pic:cNvPicPr>
                                        </pic:nvPicPr>
                                        <pic:blipFill>
                                          <a:blip r:embed="rId91"/>
                                          <a:stretch>
                                            <a:fillRect/>
                                          </a:stretch>
                                        </pic:blipFill>
                                        <pic:spPr bwMode="auto">
                                          <a:xfrm>
                                            <a:off x="0" y="0"/>
                                            <a:ext cx="723900" cy="190500"/>
                                          </a:xfrm>
                                          <a:prstGeom prst="rect">
                                            <a:avLst/>
                                          </a:prstGeom>
                                        </pic:spPr>
                                      </pic:pic>
                                    </a:graphicData>
                                  </a:graphic>
                                </wp:inline>
                              </w:drawing>
                            </w:r>
                            <w:bookmarkStart w:id="89" w:name="i-58"/>
                            <w:bookmarkEnd w:id="8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775"/>
        <w:gridCol w:w="1350"/>
        <w:gridCol w:w="1358"/>
        <w:gridCol w:w="275"/>
        <w:gridCol w:w="806"/>
        <w:gridCol w:w="256"/>
        <w:gridCol w:w="275"/>
        <w:gridCol w:w="806"/>
        <w:gridCol w:w="256"/>
        <w:gridCol w:w="109"/>
        <w:gridCol w:w="109"/>
        <w:gridCol w:w="109"/>
        <w:gridCol w:w="275"/>
        <w:gridCol w:w="806"/>
        <w:gridCol w:w="256"/>
        <w:gridCol w:w="275"/>
        <w:gridCol w:w="806"/>
        <w:gridCol w:w="303"/>
      </w:tblGrid>
      <w:tr>
        <w:trPr/>
        <w:tc>
          <w:tcPr>
            <w:tcW w:w="177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44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67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4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8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4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w:t>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287.3 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566.5 </w:t>
            </w:r>
          </w:p>
        </w:tc>
        <w:tc>
          <w:tcPr>
            <w:tcW w:w="30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profit</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167.7 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162.6 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323.6 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315.6 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58.6 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55.7 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29.3 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20.3 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36.5 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gross profit</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178.3 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180.6 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343.9 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352.1 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gross margin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63.4 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62.9 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62.3 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62.1 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from operations</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52.8 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margin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14.7 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14.0 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9.3 </w:t>
            </w:r>
          </w:p>
        </w:tc>
        <w:tc>
          <w:tcPr>
            <w:tcW w:w="3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57.9 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(2)</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(3)</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(1)</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94.7 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105.8 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from operations</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94.3 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86.1 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171.8 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158.6 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operating margin</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33.5 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30.0 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28.0 </w:t>
            </w:r>
          </w:p>
        </w:tc>
        <w:tc>
          <w:tcPr>
            <w:tcW w:w="30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before provision for income taxes</w:t>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39.4 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33.5 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income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GAAP diluted earnings per share</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48,248,057 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51,677,418 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48,786,793 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52,371,927 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diluted earnings per share</w:t>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GAAP income tax provision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Total non-GAAP adjustments affecting income from operations</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37.6 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44.0 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94.7 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105.8 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before provision for income taxes</w:t>
            </w:r>
            <w:r>
              <w:rPr>
                <w:rFonts w:ascii="sans-serif" w:hAnsi="sans-serif"/>
                <w:b/>
                <w:color w:val="51555C"/>
                <w:sz w:val="10"/>
              </w:rPr>
              <w:t>(1)</w:t>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77.0 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139.7 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139.2 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Assumed non-GAAP income tax provision</w:t>
            </w:r>
            <w:r>
              <w:rPr>
                <w:rFonts w:ascii="sans-serif" w:hAnsi="sans-serif"/>
                <w:b w:val="false"/>
                <w:color w:val="51555C"/>
                <w:sz w:val="10"/>
              </w:rPr>
              <w:t>(4)</w:t>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18.9 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18.1 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34.2 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34.1 </w:t>
            </w:r>
          </w:p>
        </w:tc>
        <w:tc>
          <w:tcPr>
            <w:tcW w:w="30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net income</w:t>
            </w:r>
            <w:r>
              <w:rPr>
                <w:rFonts w:ascii="sans-serif" w:hAnsi="sans-serif"/>
                <w:b/>
                <w:color w:val="51555C"/>
                <w:sz w:val="10"/>
              </w:rPr>
              <w:t>(1)</w:t>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105.5 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105.1 </w:t>
            </w:r>
          </w:p>
        </w:tc>
        <w:tc>
          <w:tcPr>
            <w:tcW w:w="30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non-GAAP diluted earnings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48,248,057 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51,677,418 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48,786,793 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52,371,927 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diluted earnings per share</w:t>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1.08 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2.16 </w:t>
            </w:r>
          </w:p>
        </w:tc>
        <w:tc>
          <w:tcPr>
            <w:tcW w:w="25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2.01 </w:t>
            </w:r>
          </w:p>
        </w:tc>
        <w:tc>
          <w:tcPr>
            <w:tcW w:w="303"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r>
        <w:trPr/>
        <w:tc>
          <w:tcPr>
            <w:tcW w:w="4483"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13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(2)Includes charges of $24.3 million incurred during the six months ended June 30, 2025 related to the release from our lease for office space in Washington, DC (which was acquired as part of our acquisition of EVERFI in December 2021).</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(3)Includes Security Incident-related costs incurred during the three months ended June 30, 2025 which were insignificant for on-going legal fees, during the six months ended June 30, 2025 of $2.6 million, which included approximately $1.1 million in aggregate accruals for loss contingencies and during the three and six months ended June 30, 2024 of $1.8 million and $12.1 million, respectively, which included approximately $0.0 million and $7.0 million, respectively, in aggregate accruals for loss contingencies. Recorded expenses consisted primarily of payments to third-party service providers and consultants, including legal fees, as well as settlements of customer claims, negotiated settlements and accruals for certain loss contingencies. Not included in this adjustment were costs associated with enhancements to our cybersecurity program. As of June 30, 2025, we have recorded approximately $1.6 million in aggregate liabilities for loss contingencies that we believed we could reasonably estimate in accordance with our loss contingency procedures. Our liabilities for loss contingencies are recorded in accrued expenses and other current liabilities on our unaudited, condensed consolidated balance sheets. It is reasonably possible that our estimated actual losses may change in the near term for those matters, but we believe that they are not reasonably likely, either separately or in the aggregate, to have a material adverse impact on our results of operations, cash flows or financial condition.</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(4)We apply a non-GAAP effective tax rate of 24.5% when calculating non-GAAP net income and non-GAAP diluted earnings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91540"/>
                <wp:effectExtent l="0" t="0" r="0" b="0"/>
                <wp:wrapNone/>
                <wp:docPr id="124"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59" descr=""/>
                                                <pic:cNvPicPr>
                                                  <a:picLocks noChangeAspect="1" noChangeArrowheads="1"/>
                                                </pic:cNvPicPr>
                                              </pic:nvPicPr>
                                              <pic:blipFill>
                                                <a:blip r:embed="rId92"/>
                                                <a:stretch>
                                                  <a:fillRect/>
                                                </a:stretch>
                                              </pic:blipFill>
                                              <pic:spPr bwMode="auto">
                                                <a:xfrm>
                                                  <a:off x="0" y="0"/>
                                                  <a:ext cx="733425" cy="190500"/>
                                                </a:xfrm>
                                                <a:prstGeom prst="rect">
                                                  <a:avLst/>
                                                </a:prstGeom>
                                              </pic:spPr>
                                            </pic:pic>
                                          </a:graphicData>
                                        </a:graphic>
                                      </wp:inline>
                                    </w:drawing>
                                  </w:r>
                                  <w:bookmarkStart w:id="90" w:name="i-59"/>
                                  <w:bookmarkEnd w:id="9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6"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9" descr=""/>
                                          <pic:cNvPicPr>
                                            <a:picLocks noChangeAspect="1" noChangeArrowheads="1"/>
                                          </pic:cNvPicPr>
                                        </pic:nvPicPr>
                                        <pic:blipFill>
                                          <a:blip r:embed="rId93"/>
                                          <a:stretch>
                                            <a:fillRect/>
                                          </a:stretch>
                                        </pic:blipFill>
                                        <pic:spPr bwMode="auto">
                                          <a:xfrm>
                                            <a:off x="0" y="0"/>
                                            <a:ext cx="733425" cy="190500"/>
                                          </a:xfrm>
                                          <a:prstGeom prst="rect">
                                            <a:avLst/>
                                          </a:prstGeom>
                                        </pic:spPr>
                                      </pic:pic>
                                    </a:graphicData>
                                  </a:graphic>
                                </wp:inline>
                              </w:drawing>
                            </w:r>
                            <w:bookmarkStart w:id="91" w:name="i-59"/>
                            <w:bookmarkEnd w:id="9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Non-GAAP organic revenue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10205" w:type="dxa"/>
        <w:jc w:val="left"/>
        <w:tblInd w:w="0" w:type="dxa"/>
        <w:tblLayout w:type="fixed"/>
        <w:tblCellMar>
          <w:top w:w="28" w:type="dxa"/>
          <w:left w:w="28" w:type="dxa"/>
          <w:bottom w:w="28" w:type="dxa"/>
          <w:right w:w="28" w:type="dxa"/>
        </w:tblCellMar>
      </w:tblPr>
      <w:tblGrid>
        <w:gridCol w:w="2112"/>
        <w:gridCol w:w="1820"/>
        <w:gridCol w:w="1831"/>
        <w:gridCol w:w="211"/>
        <w:gridCol w:w="616"/>
        <w:gridCol w:w="271"/>
        <w:gridCol w:w="211"/>
        <w:gridCol w:w="616"/>
        <w:gridCol w:w="109"/>
        <w:gridCol w:w="109"/>
        <w:gridCol w:w="109"/>
        <w:gridCol w:w="109"/>
        <w:gridCol w:w="211"/>
        <w:gridCol w:w="616"/>
        <w:gridCol w:w="271"/>
        <w:gridCol w:w="211"/>
        <w:gridCol w:w="616"/>
        <w:gridCol w:w="156"/>
      </w:tblGrid>
      <w:tr>
        <w:trPr/>
        <w:tc>
          <w:tcPr>
            <w:tcW w:w="2112"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20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76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76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GAAP revenue</w:t>
            </w:r>
            <w:r>
              <w:rPr>
                <w:color w:val="51555C"/>
              </w:rPr>
              <w:t xml:space="preserve"> </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287.3 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566.5 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 growth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(2.1)</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(2.6)</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revenue from divested businesses</w:t>
            </w:r>
            <w:r>
              <w:rPr>
                <w:rFonts w:ascii="sans-serif" w:hAnsi="sans-serif"/>
                <w:b w:val="false"/>
                <w:color w:val="51555C"/>
                <w:sz w:val="10"/>
              </w:rPr>
              <w:t>(1)</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(47.2)</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519.4 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6.8</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6.3</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552.0 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519.4 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revenue</w:t>
            </w:r>
            <w:r>
              <w:rPr>
                <w:rFonts w:ascii="sans-serif" w:hAnsi="sans-serif"/>
                <w:b w:val="false"/>
                <w:color w:val="51555C"/>
                <w:sz w:val="10"/>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 on constant currency basis</w:t>
            </w:r>
            <w:r>
              <w:rPr>
                <w:rFonts w:ascii="sans-serif" w:hAnsi="sans-serif"/>
                <w:b w:val="false"/>
                <w:color w:val="51555C"/>
                <w:sz w:val="10"/>
              </w:rPr>
              <w:t>(3)</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279.5 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550.4 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519.4 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 on constant currency basis</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6.0</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6.0</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recurring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552.9 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recurring revenue growth</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(2.0)</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(2.4)</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recurring revenue from divested businesses</w:t>
            </w:r>
            <w:r>
              <w:rPr>
                <w:rFonts w:ascii="sans-serif" w:hAnsi="sans-serif"/>
                <w:b w:val="false"/>
                <w:color w:val="51555C"/>
                <w:sz w:val="10"/>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275.6 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539.7 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507.4 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6.9</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6.4</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recurring revenue</w:t>
            </w:r>
            <w:r>
              <w:rPr>
                <w:rFonts w:ascii="sans-serif" w:hAnsi="sans-serif"/>
                <w:b w:val="false"/>
                <w:color w:val="51555C"/>
                <w:sz w:val="10"/>
              </w:rPr>
              <w:t>(3)</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 on constant currency basis</w:t>
            </w:r>
            <w:r>
              <w:rPr>
                <w:rFonts w:ascii="sans-serif" w:hAnsi="sans-serif"/>
                <w:b w:val="false"/>
                <w:color w:val="51555C"/>
                <w:sz w:val="10"/>
              </w:rPr>
              <w:t>(3)</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273.7 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258.0 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538.1 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507.4 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 on constant currency basis</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6.1</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6.0</w:t>
            </w:r>
            <w:r>
              <w:rPr>
                <w:color w:val="51555C"/>
              </w:rPr>
              <w:t> </w:t>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1540"/>
                <wp:effectExtent l="0" t="0" r="0" b="0"/>
                <wp:wrapNone/>
                <wp:docPr id="127"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8"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0" descr=""/>
                                                <pic:cNvPicPr>
                                                  <a:picLocks noChangeAspect="1" noChangeArrowheads="1"/>
                                                </pic:cNvPicPr>
                                              </pic:nvPicPr>
                                              <pic:blipFill>
                                                <a:blip r:embed="rId94"/>
                                                <a:stretch>
                                                  <a:fillRect/>
                                                </a:stretch>
                                              </pic:blipFill>
                                              <pic:spPr bwMode="auto">
                                                <a:xfrm>
                                                  <a:off x="0" y="0"/>
                                                  <a:ext cx="723900" cy="190500"/>
                                                </a:xfrm>
                                                <a:prstGeom prst="rect">
                                                  <a:avLst/>
                                                </a:prstGeom>
                                              </pic:spPr>
                                            </pic:pic>
                                          </a:graphicData>
                                        </a:graphic>
                                      </wp:inline>
                                    </w:drawing>
                                  </w:r>
                                  <w:bookmarkStart w:id="92" w:name="i-60"/>
                                  <w:bookmarkEnd w:id="9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9"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0" descr=""/>
                                          <pic:cNvPicPr>
                                            <a:picLocks noChangeAspect="1" noChangeArrowheads="1"/>
                                          </pic:cNvPicPr>
                                        </pic:nvPicPr>
                                        <pic:blipFill>
                                          <a:blip r:embed="rId95"/>
                                          <a:stretch>
                                            <a:fillRect/>
                                          </a:stretch>
                                        </pic:blipFill>
                                        <pic:spPr bwMode="auto">
                                          <a:xfrm>
                                            <a:off x="0" y="0"/>
                                            <a:ext cx="723900" cy="190500"/>
                                          </a:xfrm>
                                          <a:prstGeom prst="rect">
                                            <a:avLst/>
                                          </a:prstGeom>
                                        </pic:spPr>
                                      </pic:pic>
                                    </a:graphicData>
                                  </a:graphic>
                                </wp:inline>
                              </w:drawing>
                            </w:r>
                            <w:bookmarkStart w:id="93" w:name="i-60"/>
                            <w:bookmarkEnd w:id="93"/>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Rule of 40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acquisition and disposition-related costs; Security Incident-related costs; and impairment and disposition charges.</w:t>
      </w:r>
    </w:p>
    <w:tbl>
      <w:tblPr>
        <w:tblW w:w="10205" w:type="dxa"/>
        <w:jc w:val="left"/>
        <w:tblInd w:w="0" w:type="dxa"/>
        <w:tblLayout w:type="fixed"/>
        <w:tblCellMar>
          <w:top w:w="28" w:type="dxa"/>
          <w:left w:w="28" w:type="dxa"/>
          <w:bottom w:w="28" w:type="dxa"/>
          <w:right w:w="28" w:type="dxa"/>
        </w:tblCellMar>
      </w:tblPr>
      <w:tblGrid>
        <w:gridCol w:w="2117"/>
        <w:gridCol w:w="1816"/>
        <w:gridCol w:w="1830"/>
        <w:gridCol w:w="211"/>
        <w:gridCol w:w="616"/>
        <w:gridCol w:w="271"/>
        <w:gridCol w:w="211"/>
        <w:gridCol w:w="616"/>
        <w:gridCol w:w="109"/>
        <w:gridCol w:w="109"/>
        <w:gridCol w:w="109"/>
        <w:gridCol w:w="109"/>
        <w:gridCol w:w="211"/>
        <w:gridCol w:w="616"/>
        <w:gridCol w:w="271"/>
        <w:gridCol w:w="211"/>
        <w:gridCol w:w="616"/>
        <w:gridCol w:w="156"/>
      </w:tblGrid>
      <w:tr>
        <w:trPr/>
        <w:tc>
          <w:tcPr>
            <w:tcW w:w="211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6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576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3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9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576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net income</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26.0 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21.8 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30.8 </w:t>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27.1 </w:t>
            </w:r>
          </w:p>
        </w:tc>
        <w:tc>
          <w:tcPr>
            <w:tcW w:w="1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Interest, net</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21.1 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GAAP income tax provision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Depreciation</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5.6 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Amortization of software development costs</w:t>
            </w:r>
            <w:r>
              <w:rPr>
                <w:rFonts w:ascii="sans-serif" w:hAnsi="sans-serif"/>
                <w:b w:val="false"/>
                <w:color w:val="51555C"/>
                <w:sz w:val="10"/>
              </w:rPr>
              <w:t>(1)</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12.3 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24.2 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52.4 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52.2 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90.9 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89.7 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w:t>
            </w:r>
            <w:r>
              <w:rPr>
                <w:rFonts w:ascii="sans-serif" w:hAnsi="sans-serif"/>
                <w:b w:val="false"/>
                <w:color w:val="51555C"/>
                <w:sz w:val="10"/>
              </w:rPr>
              <w:t>(2)</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78.4 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74.0 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121.7 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116.8 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 margin</w:t>
            </w:r>
            <w:r>
              <w:rPr>
                <w:rFonts w:ascii="sans-serif" w:hAnsi="sans-serif"/>
                <w:b w:val="false"/>
                <w:color w:val="51555C"/>
                <w:sz w:val="10"/>
              </w:rPr>
              <w:t>(3)</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27.9 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22.0 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27.3 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57.9 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Employee severance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Acquisition and disposition-related costs</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25.4 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4.7 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(4)</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30.1 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28.5 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79.5 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74.7 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w:t>
            </w:r>
            <w:r>
              <w:rPr>
                <w:rFonts w:ascii="sans-serif" w:hAnsi="sans-serif"/>
                <w:b w:val="false"/>
                <w:color w:val="51555C"/>
                <w:sz w:val="10"/>
              </w:rPr>
              <w:t>(2)</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108.5 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102.5 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201.2 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191.4 </w:t>
            </w:r>
          </w:p>
        </w:tc>
        <w:tc>
          <w:tcPr>
            <w:tcW w:w="1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w:t>
            </w:r>
            <w:r>
              <w:rPr>
                <w:rFonts w:ascii="sans-serif" w:hAnsi="sans-serif"/>
                <w:b/>
                <w:color w:val="51555C"/>
                <w:sz w:val="10"/>
              </w:rPr>
              <w:t>(5)</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38.5</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36.5</w:t>
            </w:r>
            <w:r>
              <w:rPr>
                <w:color w:val="51555C"/>
              </w:rPr>
              <w:t>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Rule of 40</w:t>
            </w:r>
            <w:r>
              <w:rPr>
                <w:rFonts w:ascii="sans-serif" w:hAnsi="sans-serif"/>
                <w:b/>
                <w:color w:val="51555C"/>
                <w:sz w:val="10"/>
              </w:rPr>
              <w:t>(6)</w:t>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45.3</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42.8</w:t>
            </w:r>
            <w:r>
              <w:rPr>
                <w:color w:val="51555C"/>
              </w:rPr>
              <w:t> </w:t>
            </w:r>
          </w:p>
        </w:tc>
        <w:tc>
          <w:tcPr>
            <w:tcW w:w="27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adjusted EBITDA</w:t>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108.5 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201.2 </w:t>
            </w:r>
          </w:p>
        </w:tc>
        <w:tc>
          <w:tcPr>
            <w:tcW w:w="27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191.4 </w:t>
            </w:r>
          </w:p>
        </w:tc>
        <w:tc>
          <w:tcPr>
            <w:tcW w:w="1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adjusted EBITDA</w:t>
            </w:r>
            <w:r>
              <w:rPr>
                <w:rFonts w:ascii="sans-serif" w:hAnsi="sans-serif"/>
                <w:b w:val="false"/>
                <w:color w:val="51555C"/>
                <w:sz w:val="10"/>
              </w:rPr>
              <w:t>(7)</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 on constant currency basis</w:t>
            </w:r>
            <w:r>
              <w:rPr>
                <w:rFonts w:ascii="sans-serif" w:hAnsi="sans-serif"/>
                <w:b w:val="false"/>
                <w:color w:val="51555C"/>
                <w:sz w:val="10"/>
              </w:rPr>
              <w:t>(7)</w:t>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107.4 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102.4 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200.4 </w:t>
            </w:r>
          </w:p>
        </w:tc>
        <w:tc>
          <w:tcPr>
            <w:tcW w:w="27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190.9 </w:t>
            </w:r>
          </w:p>
        </w:tc>
        <w:tc>
          <w:tcPr>
            <w:tcW w:w="15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EBITDA margin on constant currency basis</w:t>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38.4</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36.4</w:t>
            </w:r>
            <w:r>
              <w:rPr>
                <w:color w:val="51555C"/>
              </w:rPr>
              <w:t> </w:t>
            </w:r>
          </w:p>
        </w:tc>
        <w:tc>
          <w:tcPr>
            <w:tcW w:w="27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6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51555C"/>
                <w:sz w:val="16"/>
              </w:rPr>
              <w:t>Rule of 40 on constant currency basis</w:t>
            </w:r>
            <w:r>
              <w:rPr>
                <w:rFonts w:ascii="sans-serif" w:hAnsi="sans-serif"/>
                <w:b/>
                <w:color w:val="51555C"/>
                <w:sz w:val="10"/>
              </w:rPr>
              <w:t>(8)</w:t>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44.4</w:t>
            </w:r>
            <w:r>
              <w:rPr>
                <w:color w:val="51555C"/>
              </w:rPr>
              <w:t> </w:t>
            </w:r>
          </w:p>
        </w:tc>
        <w:tc>
          <w:tcPr>
            <w:tcW w:w="27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3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42.4</w:t>
            </w:r>
            <w:r>
              <w:rPr>
                <w:color w:val="51555C"/>
              </w:rPr>
              <w:t> </w:t>
            </w:r>
          </w:p>
        </w:tc>
        <w:tc>
          <w:tcPr>
            <w:tcW w:w="27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3"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(3)Measured by GAAP revenue divided by non-GAAP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1540"/>
                <wp:effectExtent l="0" t="0" r="0" b="0"/>
                <wp:wrapNone/>
                <wp:docPr id="130"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61" descr=""/>
                                                <pic:cNvPicPr>
                                                  <a:picLocks noChangeAspect="1" noChangeArrowheads="1"/>
                                                </pic:cNvPicPr>
                                              </pic:nvPicPr>
                                              <pic:blipFill>
                                                <a:blip r:embed="rId96"/>
                                                <a:stretch>
                                                  <a:fillRect/>
                                                </a:stretch>
                                              </pic:blipFill>
                                              <pic:spPr bwMode="auto">
                                                <a:xfrm>
                                                  <a:off x="0" y="0"/>
                                                  <a:ext cx="733425" cy="190500"/>
                                                </a:xfrm>
                                                <a:prstGeom prst="rect">
                                                  <a:avLst/>
                                                </a:prstGeom>
                                              </pic:spPr>
                                            </pic:pic>
                                          </a:graphicData>
                                        </a:graphic>
                                      </wp:inline>
                                    </w:drawing>
                                  </w:r>
                                  <w:bookmarkStart w:id="94" w:name="i-61"/>
                                  <w:bookmarkEnd w:id="9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61" descr=""/>
                                          <pic:cNvPicPr>
                                            <a:picLocks noChangeAspect="1" noChangeArrowheads="1"/>
                                          </pic:cNvPicPr>
                                        </pic:nvPicPr>
                                        <pic:blipFill>
                                          <a:blip r:embed="rId97"/>
                                          <a:stretch>
                                            <a:fillRect/>
                                          </a:stretch>
                                        </pic:blipFill>
                                        <pic:spPr bwMode="auto">
                                          <a:xfrm>
                                            <a:off x="0" y="0"/>
                                            <a:ext cx="733425" cy="190500"/>
                                          </a:xfrm>
                                          <a:prstGeom prst="rect">
                                            <a:avLst/>
                                          </a:prstGeom>
                                        </pic:spPr>
                                      </pic:pic>
                                    </a:graphicData>
                                  </a:graphic>
                                </wp:inline>
                              </w:drawing>
                            </w:r>
                            <w:bookmarkStart w:id="95" w:name="i-61"/>
                            <w:bookmarkEnd w:id="9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bookmarkStart w:id="96" w:name="ie7217be68ef54b6da30936eeb7ac810e_974"/>
      <w:bookmarkEnd w:id="96"/>
      <w:r>
        <w:rPr>
          <w:rFonts w:ascii="sans-serif" w:hAnsi="sans-serif"/>
          <w:b w:val="false"/>
          <w:i/>
          <w:color w:val="51555C"/>
          <w:sz w:val="20"/>
        </w:rPr>
        <w:t>Non-GAAP free cash flow and non-GAAP adjusted free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Non-GAAP free cash flow is defined as operating cash flow less capital expenditures, including costs required to be capitalized for software development, and capital expenditures for property and equipment.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Non-GAAP adjusted free cash flow is defined as operating cash flow less capital expenditures, including costs required to be capitalized for software development and capital expenditures for property and equipment, plus cash outflows related to the Security Incident.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tbl>
      <w:tblPr>
        <w:tblW w:w="6650" w:type="dxa"/>
        <w:jc w:val="left"/>
        <w:tblInd w:w="0" w:type="dxa"/>
        <w:tblLayout w:type="fixed"/>
        <w:tblCellMar>
          <w:top w:w="28" w:type="dxa"/>
          <w:left w:w="28" w:type="dxa"/>
          <w:bottom w:w="28" w:type="dxa"/>
          <w:right w:w="28" w:type="dxa"/>
        </w:tblCellMar>
      </w:tblPr>
      <w:tblGrid>
        <w:gridCol w:w="1644"/>
        <w:gridCol w:w="1445"/>
        <w:gridCol w:w="1455"/>
        <w:gridCol w:w="211"/>
        <w:gridCol w:w="511"/>
        <w:gridCol w:w="256"/>
        <w:gridCol w:w="211"/>
        <w:gridCol w:w="616"/>
        <w:gridCol w:w="301"/>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June 30,</w:t>
            </w:r>
          </w:p>
        </w:tc>
      </w:tr>
      <w:tr>
        <w:trPr/>
        <w:tc>
          <w:tcPr>
            <w:tcW w:w="45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7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2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r>
      <w:tr>
        <w:trPr/>
        <w:tc>
          <w:tcPr>
            <w:tcW w:w="45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cash provided by operating activities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68.3 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118.4 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cash flow margin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20.9 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purchase of property and equipment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capitalized software development costs</w:t>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(28.4)</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39.2 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83.9 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free cash flow margin</w:t>
            </w:r>
          </w:p>
        </w:tc>
        <w:tc>
          <w:tcPr>
            <w:tcW w:w="72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7.1 </w:t>
            </w:r>
          </w:p>
        </w:tc>
        <w:tc>
          <w:tcPr>
            <w:tcW w:w="25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14.8 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Security Incident-related cash flows</w:t>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2.5 </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5.8 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41.7 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89.7 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free cash flow margin</w:t>
            </w:r>
          </w:p>
        </w:tc>
        <w:tc>
          <w:tcPr>
            <w:tcW w:w="72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2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15.8 </w:t>
            </w:r>
          </w:p>
        </w:tc>
        <w:tc>
          <w:tcPr>
            <w:tcW w:w="30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non-GAAP free cash flow or non-GAAP adjusted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Seasonality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billings and renewals and student enrollments or significant acquisitions. Our cash flow from financing is negatively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91540"/>
                <wp:effectExtent l="0" t="0" r="0" b="0"/>
                <wp:wrapNone/>
                <wp:docPr id="133"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4"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2" descr=""/>
                                                <pic:cNvPicPr>
                                                  <a:picLocks noChangeAspect="1" noChangeArrowheads="1"/>
                                                </pic:cNvPicPr>
                                              </pic:nvPicPr>
                                              <pic:blipFill>
                                                <a:blip r:embed="rId98"/>
                                                <a:stretch>
                                                  <a:fillRect/>
                                                </a:stretch>
                                              </pic:blipFill>
                                              <pic:spPr bwMode="auto">
                                                <a:xfrm>
                                                  <a:off x="0" y="0"/>
                                                  <a:ext cx="723900" cy="190500"/>
                                                </a:xfrm>
                                                <a:prstGeom prst="rect">
                                                  <a:avLst/>
                                                </a:prstGeom>
                                              </pic:spPr>
                                            </pic:pic>
                                          </a:graphicData>
                                        </a:graphic>
                                      </wp:inline>
                                    </w:drawing>
                                  </w:r>
                                  <w:bookmarkStart w:id="97" w:name="i-62"/>
                                  <w:bookmarkEnd w:id="97"/>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62" descr=""/>
                                          <pic:cNvPicPr>
                                            <a:picLocks noChangeAspect="1" noChangeArrowheads="1"/>
                                          </pic:cNvPicPr>
                                        </pic:nvPicPr>
                                        <pic:blipFill>
                                          <a:blip r:embed="rId99"/>
                                          <a:stretch>
                                            <a:fillRect/>
                                          </a:stretch>
                                        </pic:blipFill>
                                        <pic:spPr bwMode="auto">
                                          <a:xfrm>
                                            <a:off x="0" y="0"/>
                                            <a:ext cx="723900" cy="190500"/>
                                          </a:xfrm>
                                          <a:prstGeom prst="rect">
                                            <a:avLst/>
                                          </a:prstGeom>
                                        </pic:spPr>
                                      </pic:pic>
                                    </a:graphicData>
                                  </a:graphic>
                                </wp:inline>
                              </w:drawing>
                            </w:r>
                            <w:bookmarkStart w:id="98" w:name="i-62"/>
                            <w:bookmarkEnd w:id="98"/>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409" w:type="dxa"/>
        <w:jc w:val="left"/>
        <w:tblInd w:w="0" w:type="dxa"/>
        <w:tblLayout w:type="fixed"/>
        <w:tblCellMar>
          <w:top w:w="28" w:type="dxa"/>
          <w:left w:w="28" w:type="dxa"/>
          <w:bottom w:w="28" w:type="dxa"/>
          <w:right w:w="28" w:type="dxa"/>
        </w:tblCellMar>
      </w:tblPr>
      <w:tblGrid>
        <w:gridCol w:w="1412"/>
        <w:gridCol w:w="1240"/>
        <w:gridCol w:w="175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Liquidity and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financial position:</w:t>
      </w:r>
    </w:p>
    <w:tbl>
      <w:tblPr>
        <w:tblW w:w="6903" w:type="dxa"/>
        <w:jc w:val="left"/>
        <w:tblInd w:w="0" w:type="dxa"/>
        <w:tblLayout w:type="fixed"/>
        <w:tblCellMar>
          <w:top w:w="28" w:type="dxa"/>
          <w:left w:w="28" w:type="dxa"/>
          <w:bottom w:w="28" w:type="dxa"/>
          <w:right w:w="28" w:type="dxa"/>
        </w:tblCellMar>
      </w:tblPr>
      <w:tblGrid>
        <w:gridCol w:w="1211"/>
        <w:gridCol w:w="1063"/>
        <w:gridCol w:w="1070"/>
        <w:gridCol w:w="246"/>
        <w:gridCol w:w="640"/>
        <w:gridCol w:w="109"/>
        <w:gridCol w:w="338"/>
        <w:gridCol w:w="877"/>
        <w:gridCol w:w="165"/>
        <w:gridCol w:w="337"/>
        <w:gridCol w:w="338"/>
        <w:gridCol w:w="509"/>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June 30,</w:t>
              <w:br/>
              <w:t>2025</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2024</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Cash and cash equivalents</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6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41.6 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67.6 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(38.5)</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Property and equipment, net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91.9 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(9.7)</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Software development costs, net</w:t>
            </w:r>
          </w:p>
        </w:tc>
        <w:tc>
          <w:tcPr>
            <w:tcW w:w="88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153.6 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148.3 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3.6 </w:t>
            </w:r>
          </w:p>
        </w:tc>
        <w:tc>
          <w:tcPr>
            <w:tcW w:w="50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Total carrying value of debt</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1,075.0 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7.8 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Working capital</w:t>
            </w:r>
          </w:p>
        </w:tc>
        <w:tc>
          <w:tcPr>
            <w:tcW w:w="8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(226.1)</w:t>
            </w:r>
          </w:p>
        </w:tc>
        <w:tc>
          <w:tcPr>
            <w:tcW w:w="1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(275.8)</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18.0 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cash flows:</w:t>
      </w:r>
    </w:p>
    <w:tbl>
      <w:tblPr>
        <w:tblW w:w="7428" w:type="dxa"/>
        <w:jc w:val="left"/>
        <w:tblInd w:w="0" w:type="dxa"/>
        <w:tblLayout w:type="fixed"/>
        <w:tblCellMar>
          <w:top w:w="28" w:type="dxa"/>
          <w:left w:w="28" w:type="dxa"/>
          <w:bottom w:w="28" w:type="dxa"/>
          <w:right w:w="28" w:type="dxa"/>
        </w:tblCellMar>
      </w:tblPr>
      <w:tblGrid>
        <w:gridCol w:w="1498"/>
        <w:gridCol w:w="1317"/>
        <w:gridCol w:w="1325"/>
        <w:gridCol w:w="239"/>
        <w:gridCol w:w="619"/>
        <w:gridCol w:w="115"/>
        <w:gridCol w:w="239"/>
        <w:gridCol w:w="746"/>
        <w:gridCol w:w="115"/>
        <w:gridCol w:w="352"/>
        <w:gridCol w:w="354"/>
        <w:gridCol w:w="509"/>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8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Six months ended June 30,</w:t>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7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10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2024</w:t>
            </w:r>
          </w:p>
        </w:tc>
        <w:tc>
          <w:tcPr>
            <w:tcW w:w="121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provided by operating activities</w:t>
            </w:r>
          </w:p>
        </w:tc>
        <w:tc>
          <w:tcPr>
            <w:tcW w:w="2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6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68.3 </w:t>
            </w:r>
          </w:p>
        </w:tc>
        <w:tc>
          <w:tcPr>
            <w:tcW w:w="11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118.4 </w:t>
            </w:r>
          </w:p>
        </w:tc>
        <w:tc>
          <w:tcPr>
            <w:tcW w:w="11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(42.3)</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used in investing activities</w:t>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(41.3)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1.5 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Net cash provided by financing activities</w:t>
            </w:r>
          </w:p>
        </w:tc>
        <w:tc>
          <w:tcPr>
            <w:tcW w:w="85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68.1 </w:t>
            </w:r>
          </w:p>
        </w:tc>
        <w:tc>
          <w:tcPr>
            <w:tcW w:w="1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25.7 </w:t>
            </w:r>
          </w:p>
        </w:tc>
        <w:tc>
          <w:tcPr>
            <w:tcW w:w="11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165.4 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June 30, 2025, our total cash and cash equivalents balance included approximately $20.7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891540"/>
                <wp:effectExtent l="0" t="0" r="0" b="0"/>
                <wp:wrapNone/>
                <wp:docPr id="136"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7"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63" descr=""/>
                                                <pic:cNvPicPr>
                                                  <a:picLocks noChangeAspect="1" noChangeArrowheads="1"/>
                                                </pic:cNvPicPr>
                                              </pic:nvPicPr>
                                              <pic:blipFill>
                                                <a:blip r:embed="rId100"/>
                                                <a:stretch>
                                                  <a:fillRect/>
                                                </a:stretch>
                                              </pic:blipFill>
                                              <pic:spPr bwMode="auto">
                                                <a:xfrm>
                                                  <a:off x="0" y="0"/>
                                                  <a:ext cx="733425" cy="190500"/>
                                                </a:xfrm>
                                                <a:prstGeom prst="rect">
                                                  <a:avLst/>
                                                </a:prstGeom>
                                              </pic:spPr>
                                            </pic:pic>
                                          </a:graphicData>
                                        </a:graphic>
                                      </wp:inline>
                                    </w:drawing>
                                  </w:r>
                                  <w:bookmarkStart w:id="99" w:name="i-63"/>
                                  <w:bookmarkEnd w:id="9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63" descr=""/>
                                          <pic:cNvPicPr>
                                            <a:picLocks noChangeAspect="1" noChangeArrowheads="1"/>
                                          </pic:cNvPicPr>
                                        </pic:nvPicPr>
                                        <pic:blipFill>
                                          <a:blip r:embed="rId101"/>
                                          <a:stretch>
                                            <a:fillRect/>
                                          </a:stretch>
                                        </pic:blipFill>
                                        <pic:spPr bwMode="auto">
                                          <a:xfrm>
                                            <a:off x="0" y="0"/>
                                            <a:ext cx="733425" cy="190500"/>
                                          </a:xfrm>
                                          <a:prstGeom prst="rect">
                                            <a:avLst/>
                                          </a:prstGeom>
                                        </pic:spPr>
                                      </pic:pic>
                                    </a:graphicData>
                                  </a:graphic>
                                </wp:inline>
                              </w:drawing>
                            </w:r>
                            <w:bookmarkStart w:id="100" w:name="i-63"/>
                            <w:bookmarkEnd w:id="10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cash provided by operating activities decreased by $50.1 million during the six months ended June 30, 2025, when compared to the same period in 2024, primarily due to a $9.5 million decrease in net income adjusted for non-cash expenses and a $40.6 million decrease in cash flow from operations associated with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 in cash flow from operations associated with working capital during the six months ended June 30, 2025, when compared to the same period in 2024, was primarily due to:</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fluctuations in the timing of vendor payments;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a decrease in accrued expenses during the first half of 2025 related to disposition-related costs paid compared to an increase in accrued expenses during the first half of 2024 related to the Security Incident.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See discussion of the Security Incident in Note 8 to our unaudited, condensed consolidated financial statements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Based on our preliminary review, we expect OBBBA to meaningfully reduce cash taxes for the Company in the near-term.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Investing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Net cash used in investing activities of $41.3 million remained relatively consistent during the six months ended June 30, 2025, when compared to the same period in 2024.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2025, we used cash of $27.8 million for software development costs, which was relatively consistent with cash spent during the same period in 2024. We spent $1.3 million for purchases of property and equipment during the six months ended June 30, 2025, which was a decrease of $4.8 million when compared to the same period in 2024. During the six months ended June 30, 2025, we used net cash of $12.2 million for the disposition of a business compared to $1.2 million used during the same period in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Financing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2025, we had a net increase in borrowings of $84.6 million, primarily due to our stock repurchase program and to satisfy tax obligations of employees upon settlement of equity awards (see discussion below).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paid $38.7 million to satisfy tax obligations of employees upon settlement of equity awards during the six months ended June 30, 2025 compared to $54.5 million during the same period in 2024.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six months ended June 30, 2025, cash flow from financing activities associated with changes in restricted cash due to customers increased $128.6 million, compared to an increase of $106.9 million during the same period in 2024. This line in the statement of cash flows represents the change in the amount of restricted cash held and payable by us to customers from one period to the next. This restricted cash due to customers is not available to us for operational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891540"/>
                <wp:effectExtent l="0" t="0" r="0" b="0"/>
                <wp:wrapNone/>
                <wp:docPr id="139"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64" descr=""/>
                                                <pic:cNvPicPr>
                                                  <a:picLocks noChangeAspect="1" noChangeArrowheads="1"/>
                                                </pic:cNvPicPr>
                                              </pic:nvPicPr>
                                              <pic:blipFill>
                                                <a:blip r:embed="rId102"/>
                                                <a:stretch>
                                                  <a:fillRect/>
                                                </a:stretch>
                                              </pic:blipFill>
                                              <pic:spPr bwMode="auto">
                                                <a:xfrm>
                                                  <a:off x="0" y="0"/>
                                                  <a:ext cx="723900" cy="190500"/>
                                                </a:xfrm>
                                                <a:prstGeom prst="rect">
                                                  <a:avLst/>
                                                </a:prstGeom>
                                              </pic:spPr>
                                            </pic:pic>
                                          </a:graphicData>
                                        </a:graphic>
                                      </wp:inline>
                                    </w:drawing>
                                  </w:r>
                                  <w:bookmarkStart w:id="101" w:name="i-64"/>
                                  <w:bookmarkEnd w:id="101"/>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1"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4" descr=""/>
                                          <pic:cNvPicPr>
                                            <a:picLocks noChangeAspect="1" noChangeArrowheads="1"/>
                                          </pic:cNvPicPr>
                                        </pic:nvPicPr>
                                        <pic:blipFill>
                                          <a:blip r:embed="rId103"/>
                                          <a:stretch>
                                            <a:fillRect/>
                                          </a:stretch>
                                        </pic:blipFill>
                                        <pic:spPr bwMode="auto">
                                          <a:xfrm>
                                            <a:off x="0" y="0"/>
                                            <a:ext cx="723900" cy="190500"/>
                                          </a:xfrm>
                                          <a:prstGeom prst="rect">
                                            <a:avLst/>
                                          </a:prstGeom>
                                        </pic:spPr>
                                      </pic:pic>
                                    </a:graphicData>
                                  </a:graphic>
                                </wp:inline>
                              </w:drawing>
                            </w:r>
                            <w:bookmarkStart w:id="102" w:name="i-64"/>
                            <w:bookmarkEnd w:id="102"/>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July 16, 2024, our Board of Directors reauthorized, expanded and replenished our stock repurchase program by expanding the total capacity under the program to $800.0 million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2025, we announced that we intend to repurchase during 2025 between 3% and 5% of our outstanding common stock as of December 31, 2024 under our stock repurchase program. During the three months ended June 30, 2025, we did not repurchase any shares. During the six months ended June 30, 2025, we repurchased 1,513,022 shares for $100.0 million. Including net share settlement of employee stock compensation, this represents approximately 4.2% of the Company's common stock outstanding as of December 31, 2024. The remaining amount available to purchase stock under our stock repurchase program was $544.5 million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we have drawn on our credit facility from time to time to help us meet financial needs, primarily due to the seasonality of our cash flows from operations and financing for business acquisitions. At June 30, 2025, our available borrowing capacity under the 2024 Credit Facilities was $374.3 million. The 2024 Credit Facilities mature in April 2029.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June 30, 2025, the carrying amount of our debt under the 2024 Credit Facilities was $1.1 billion. Our average daily borrowings during the three and six months ended June 30, 2025 were $1.1 billion and $1.1 billion,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is a summary of the financial covenants under the 2024 Credit Facilities:</w:t>
      </w:r>
    </w:p>
    <w:tbl>
      <w:tblPr>
        <w:tblW w:w="6313" w:type="dxa"/>
        <w:jc w:val="left"/>
        <w:tblInd w:w="0" w:type="dxa"/>
        <w:tblLayout w:type="fixed"/>
        <w:tblCellMar>
          <w:top w:w="28" w:type="dxa"/>
          <w:left w:w="28" w:type="dxa"/>
          <w:bottom w:w="28" w:type="dxa"/>
          <w:right w:w="28" w:type="dxa"/>
        </w:tblCellMar>
      </w:tblPr>
      <w:tblGrid>
        <w:gridCol w:w="846"/>
        <w:gridCol w:w="746"/>
        <w:gridCol w:w="748"/>
        <w:gridCol w:w="484"/>
        <w:gridCol w:w="484"/>
        <w:gridCol w:w="486"/>
        <w:gridCol w:w="737"/>
        <w:gridCol w:w="737"/>
        <w:gridCol w:w="1045"/>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Financial covenant</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Requirement</w:t>
            </w:r>
          </w:p>
        </w:tc>
        <w:tc>
          <w:tcPr>
            <w:tcW w:w="251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Ratio as of June 30, 2025</w:t>
            </w:r>
          </w:p>
        </w:tc>
      </w:tr>
      <w:tr>
        <w:trPr/>
        <w:tc>
          <w:tcPr>
            <w:tcW w:w="23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Net leverage ratio</w:t>
            </w:r>
            <w:r>
              <w:rPr>
                <w:rFonts w:ascii="sans-serif" w:hAnsi="sans-serif"/>
                <w:b w:val="false"/>
                <w:color w:val="51555C"/>
                <w:sz w:val="13"/>
              </w:rPr>
              <w:t>(1)</w:t>
            </w:r>
          </w:p>
        </w:tc>
        <w:tc>
          <w:tcPr>
            <w:tcW w:w="1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sans-serif" w:hAnsi="sans-serif"/>
                <w:b w:val="false"/>
                <w:color w:val="51555C"/>
                <w:sz w:val="20"/>
              </w:rPr>
              <w:t>3.75 to 1.00</w:t>
            </w:r>
          </w:p>
        </w:tc>
        <w:tc>
          <w:tcPr>
            <w:tcW w:w="251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2.70 to 1.00</w:t>
            </w:r>
          </w:p>
        </w:tc>
      </w:tr>
      <w:tr>
        <w:trPr/>
        <w:tc>
          <w:tcPr>
            <w:tcW w:w="23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coverage ratio</w:t>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color w:val="51555C"/>
              </w:rPr>
            </w:pPr>
            <w:r>
              <w:rPr>
                <w:color w:val="51555C"/>
              </w:rPr>
              <w:t xml:space="preserve">≥ </w:t>
            </w:r>
            <w:r>
              <w:rPr>
                <w:rFonts w:ascii="sans-serif" w:hAnsi="sans-serif"/>
                <w:b w:val="false"/>
                <w:color w:val="51555C"/>
                <w:sz w:val="20"/>
              </w:rPr>
              <w:t>2.50 to 1.00</w:t>
            </w:r>
          </w:p>
        </w:tc>
        <w:tc>
          <w:tcPr>
            <w:tcW w:w="251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6.41 to 1.00</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June 30, 2025, we were in compliance with our debt covenants under the 2024 Credit Facilities. See Note 6 to our unaudited, condensed consolidated financial statements in this report for additional information regarding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891540"/>
                <wp:effectExtent l="0" t="0" r="0" b="0"/>
                <wp:wrapNone/>
                <wp:docPr id="142"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3"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65" descr=""/>
                                                <pic:cNvPicPr>
                                                  <a:picLocks noChangeAspect="1" noChangeArrowheads="1"/>
                                                </pic:cNvPicPr>
                                              </pic:nvPicPr>
                                              <pic:blipFill>
                                                <a:blip r:embed="rId104"/>
                                                <a:stretch>
                                                  <a:fillRect/>
                                                </a:stretch>
                                              </pic:blipFill>
                                              <pic:spPr bwMode="auto">
                                                <a:xfrm>
                                                  <a:off x="0" y="0"/>
                                                  <a:ext cx="733425" cy="190500"/>
                                                </a:xfrm>
                                                <a:prstGeom prst="rect">
                                                  <a:avLst/>
                                                </a:prstGeom>
                                              </pic:spPr>
                                            </pic:pic>
                                          </a:graphicData>
                                        </a:graphic>
                                      </wp:inline>
                                    </w:drawing>
                                  </w:r>
                                  <w:bookmarkStart w:id="103" w:name="i-65"/>
                                  <w:bookmarkEnd w:id="10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4"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65" descr=""/>
                                          <pic:cNvPicPr>
                                            <a:picLocks noChangeAspect="1" noChangeArrowheads="1"/>
                                          </pic:cNvPicPr>
                                        </pic:nvPicPr>
                                        <pic:blipFill>
                                          <a:blip r:embed="rId105"/>
                                          <a:stretch>
                                            <a:fillRect/>
                                          </a:stretch>
                                        </pic:blipFill>
                                        <pic:spPr bwMode="auto">
                                          <a:xfrm>
                                            <a:off x="0" y="0"/>
                                            <a:ext cx="733425" cy="190500"/>
                                          </a:xfrm>
                                          <a:prstGeom prst="rect">
                                            <a:avLst/>
                                          </a:prstGeom>
                                        </pic:spPr>
                                      </pic:pic>
                                    </a:graphicData>
                                  </a:graphic>
                                </wp:inline>
                              </w:drawing>
                            </w:r>
                            <w:bookmarkStart w:id="104" w:name="i-65"/>
                            <w:bookmarkEnd w:id="10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Commitments and Contingencies</w:t>
      </w:r>
    </w:p>
    <w:tbl>
      <w:tblPr>
        <w:tblW w:w="7592" w:type="dxa"/>
        <w:jc w:val="left"/>
        <w:tblInd w:w="0" w:type="dxa"/>
        <w:tblLayout w:type="fixed"/>
        <w:tblCellMar>
          <w:top w:w="28" w:type="dxa"/>
          <w:left w:w="28" w:type="dxa"/>
          <w:bottom w:w="28" w:type="dxa"/>
          <w:right w:w="28" w:type="dxa"/>
        </w:tblCellMar>
      </w:tblPr>
      <w:tblGrid>
        <w:gridCol w:w="1470"/>
        <w:gridCol w:w="1291"/>
        <w:gridCol w:w="1303"/>
        <w:gridCol w:w="226"/>
        <w:gridCol w:w="706"/>
        <w:gridCol w:w="109"/>
        <w:gridCol w:w="226"/>
        <w:gridCol w:w="886"/>
        <w:gridCol w:w="109"/>
        <w:gridCol w:w="226"/>
        <w:gridCol w:w="88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Payments due by period</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millions)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Less than</w:t>
              <w:br/>
              <w:t>1 year</w:t>
            </w:r>
          </w:p>
        </w:tc>
        <w:tc>
          <w:tcPr>
            <w:tcW w:w="122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More than</w:t>
              <w:br/>
              <w:t>1 year</w:t>
            </w:r>
          </w:p>
        </w:tc>
        <w:tc>
          <w:tcPr>
            <w:tcW w:w="12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Total</w:t>
            </w:r>
            <w:r>
              <w:rPr>
                <w:rFonts w:ascii="sans-serif" w:hAnsi="sans-serif"/>
                <w:b/>
                <w:color w:val="FFFFFF"/>
                <w:sz w:val="10"/>
              </w:rPr>
              <w:t>(1)</w:t>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Recorded contractual obligations: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Debt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1,160.4 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Unrecorded contractual obligations:</w:t>
            </w:r>
          </w:p>
        </w:tc>
        <w:tc>
          <w:tcPr>
            <w:tcW w:w="10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Purchase obligations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67.0 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203.9 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271.0 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contractual obligations</w:t>
            </w:r>
            <w:r>
              <w:rPr>
                <w:rFonts w:ascii="sans-serif" w:hAnsi="sans-serif"/>
                <w:b/>
                <w:color w:val="51555C"/>
                <w:sz w:val="13"/>
              </w:rPr>
              <w:t>(1)</w:t>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180.1 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1,433.9 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1,614.0 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may not sum to the total due to rounding.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2025, we had total remaining principal payments of approximately $1.2 billion. These payments represent principal payments only, under the following assumptions: (i) that the amounts outstanding under the 2024 Credit Facilities, our real estate loans and our other debt at June 30, 2025 will remain outstanding until maturity, with minimum payments occurring as currently scheduled, and (ii) 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Interest payments on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to principal payments, as of June 30, 2025, we expect to pay interest expense over the life of our debt obligations of approximately $274.9 million. These payments represent our estimated future interest payments on debt using our debt balances and the related weighted average effective interest rates as of June 30, 2025,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Operating leases</w:t>
      </w:r>
    </w:p>
    <w:p>
      <w:pPr>
        <w:pStyle w:val="TextBody"/>
        <w:bidi w:val="0"/>
        <w:spacing w:lineRule="auto" w:line="288" w:before="180" w:after="283"/>
        <w:jc w:val="both"/>
        <w:rPr/>
      </w:pPr>
      <w:r>
        <w:rPr>
          <w:rFonts w:ascii="sans-serif" w:hAnsi="sans-serif"/>
          <w:b w:val="false"/>
          <w:color w:val="51555C"/>
          <w:sz w:val="20"/>
        </w:rPr>
        <w:t>As of June 30, 2025, we had remaining operating lease payments of $8.1 million. These payments have not been reduced by sublease income, incentive payments, reimbursement of leasehold improvements or the amount representing imputed interest which was $1.1 million. Our operating leases are generally for corporate offices, subleased offices and certain equipment and furnit</w:t>
      </w:r>
      <w:r>
        <w:rPr>
          <w:rFonts w:ascii="sans-serif" w:hAnsi="sans-serif"/>
          <w:b w:val="false"/>
          <w:color w:val="51555C"/>
          <w:sz w:val="20"/>
          <w:shd w:fill="FFFFFF" w:val="clear"/>
        </w:rPr>
        <w:t>ure. Given our remote-first workforce strategy and real estate footprint optimization efforts, we do not anticipate entering any new, material operating leases for offices for the foreseeable future. See Note 8 to our unaud</w:t>
      </w:r>
      <w:r>
        <w:rPr>
          <w:rFonts w:ascii="sans-serif" w:hAnsi="sans-serif"/>
          <w:b w:val="false"/>
          <w:color w:val="51555C"/>
          <w:sz w:val="20"/>
        </w:rPr>
        <w:t>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Purchase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June 30, 2025, we had remaining purchase obligations of $170.6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June 30, 2025, as we had not received the related services. See Note 8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total liability for uncertain tax positions as of June 30, 2025 was $5.9 million. Our accrued interest and penalties related to tax positions taken on our tax returns was insignificant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891540"/>
                <wp:effectExtent l="0" t="0" r="0" b="0"/>
                <wp:wrapNone/>
                <wp:docPr id="145"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6" descr=""/>
                                                <pic:cNvPicPr>
                                                  <a:picLocks noChangeAspect="1" noChangeArrowheads="1"/>
                                                </pic:cNvPicPr>
                                              </pic:nvPicPr>
                                              <pic:blipFill>
                                                <a:blip r:embed="rId106"/>
                                                <a:stretch>
                                                  <a:fillRect/>
                                                </a:stretch>
                                              </pic:blipFill>
                                              <pic:spPr bwMode="auto">
                                                <a:xfrm>
                                                  <a:off x="0" y="0"/>
                                                  <a:ext cx="723900" cy="190500"/>
                                                </a:xfrm>
                                                <a:prstGeom prst="rect">
                                                  <a:avLst/>
                                                </a:prstGeom>
                                              </pic:spPr>
                                            </pic:pic>
                                          </a:graphicData>
                                        </a:graphic>
                                      </wp:inline>
                                    </w:drawing>
                                  </w:r>
                                  <w:bookmarkStart w:id="105" w:name="i-66"/>
                                  <w:bookmarkEnd w:id="10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6" descr=""/>
                                          <pic:cNvPicPr>
                                            <a:picLocks noChangeAspect="1" noChangeArrowheads="1"/>
                                          </pic:cNvPicPr>
                                        </pic:nvPicPr>
                                        <pic:blipFill>
                                          <a:blip r:embed="rId107"/>
                                          <a:stretch>
                                            <a:fillRect/>
                                          </a:stretch>
                                        </pic:blipFill>
                                        <pic:spPr bwMode="auto">
                                          <a:xfrm>
                                            <a:off x="0" y="0"/>
                                            <a:ext cx="723900" cy="190500"/>
                                          </a:xfrm>
                                          <a:prstGeom prst="rect">
                                            <a:avLst/>
                                          </a:prstGeom>
                                        </pic:spPr>
                                      </pic:pic>
                                    </a:graphicData>
                                  </a:graphic>
                                </wp:inline>
                              </w:drawing>
                            </w:r>
                            <w:bookmarkStart w:id="106" w:name="i-66"/>
                            <w:bookmarkEnd w:id="106"/>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pPr>
      <w:r>
        <w:rPr>
          <w:rFonts w:ascii="sans-serif" w:hAnsi="sans-serif"/>
          <w:b w:val="false"/>
          <w:color w:val="51555C"/>
          <w:sz w:val="20"/>
        </w:rPr>
        <w:t xml:space="preserve">In connection with the settlement of the multi-state Attorneys General investigation, the California Attorney General investigation and the FTC investigation relating to the Security Incident, as discussed </w:t>
      </w:r>
      <w:r>
        <w:rPr>
          <w:rFonts w:ascii="sans-serif" w:hAnsi="sans-serif"/>
          <w:b w:val="false"/>
          <w:color w:val="51555C"/>
          <w:sz w:val="20"/>
          <w:shd w:fill="FFFFFF" w:val="clear"/>
        </w:rPr>
        <w:t xml:space="preserve">in </w:t>
      </w:r>
      <w:r>
        <w:rPr>
          <w:rFonts w:ascii="sans-serif" w:hAnsi="sans-serif"/>
          <w:b w:val="false"/>
          <w:color w:val="51555C"/>
          <w:sz w:val="20"/>
        </w:rPr>
        <w:t>Note 11 to our audited consolidated financial statements contained in our Annual Report on Form 10-K filed with the SEC on February 21, 2025, we have agreed to implement and improve certain of our cybersecurity programs and tools through May 2044. The currently anticipated costs in connection with these efforts are primarily expected to be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10" w:type="dxa"/>
        <w:jc w:val="left"/>
        <w:tblInd w:w="0" w:type="dxa"/>
        <w:tblLayout w:type="fixed"/>
        <w:tblCellMar>
          <w:top w:w="28" w:type="dxa"/>
          <w:left w:w="28" w:type="dxa"/>
          <w:bottom w:w="28" w:type="dxa"/>
          <w:right w:w="28" w:type="dxa"/>
        </w:tblCellMar>
      </w:tblPr>
      <w:tblGrid>
        <w:gridCol w:w="1507"/>
        <w:gridCol w:w="1324"/>
        <w:gridCol w:w="187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Foreign Currency Exchange Rates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Approximately 17% of our total revenue for the six months ended June 30, 2025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$2.1 million as of June 30, 2025 and a loss of $12.7 million as of December 31, 2024.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six months ended June 30, 2025,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six months ended June 30, 2025, the fluctuation in foreign currency exchange rates increased our total revenue and our income from operations by $1.6 million and an insignificant amount,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9" w:type="dxa"/>
        <w:jc w:val="left"/>
        <w:tblInd w:w="0" w:type="dxa"/>
        <w:tblLayout w:type="fixed"/>
        <w:tblCellMar>
          <w:top w:w="28" w:type="dxa"/>
          <w:left w:w="28" w:type="dxa"/>
          <w:bottom w:w="28" w:type="dxa"/>
          <w:right w:w="28" w:type="dxa"/>
        </w:tblCellMar>
      </w:tblPr>
      <w:tblGrid>
        <w:gridCol w:w="1864"/>
        <w:gridCol w:w="1636"/>
        <w:gridCol w:w="2319"/>
      </w:tblGrid>
      <w:tr>
        <w:trPr/>
        <w:tc>
          <w:tcPr>
            <w:tcW w:w="186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Critical Accounting Policies and Estimates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significant changes in our critical accounting policies and estimates during the six months ended June 30, 2025 as compared to those disclosed in “Management’s Discussion and Analysis of Financial Condition and Results of Operations” included in our Annual Report on Form 10-K for the fiscal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5" w:type="dxa"/>
        <w:jc w:val="left"/>
        <w:tblInd w:w="0" w:type="dxa"/>
        <w:tblLayout w:type="fixed"/>
        <w:tblCellMar>
          <w:top w:w="28" w:type="dxa"/>
          <w:left w:w="28" w:type="dxa"/>
          <w:bottom w:w="28" w:type="dxa"/>
          <w:right w:w="28" w:type="dxa"/>
        </w:tblCellMar>
      </w:tblPr>
      <w:tblGrid>
        <w:gridCol w:w="1993"/>
        <w:gridCol w:w="1751"/>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Recently Issued Accounting Pronouncements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891540"/>
                <wp:effectExtent l="0" t="0" r="0" b="0"/>
                <wp:wrapNone/>
                <wp:docPr id="148"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9"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67" descr=""/>
                                                <pic:cNvPicPr>
                                                  <a:picLocks noChangeAspect="1" noChangeArrowheads="1"/>
                                                </pic:cNvPicPr>
                                              </pic:nvPicPr>
                                              <pic:blipFill>
                                                <a:blip r:embed="rId108"/>
                                                <a:stretch>
                                                  <a:fillRect/>
                                                </a:stretch>
                                              </pic:blipFill>
                                              <pic:spPr bwMode="auto">
                                                <a:xfrm>
                                                  <a:off x="0" y="0"/>
                                                  <a:ext cx="733425" cy="190500"/>
                                                </a:xfrm>
                                                <a:prstGeom prst="rect">
                                                  <a:avLst/>
                                                </a:prstGeom>
                                              </pic:spPr>
                                            </pic:pic>
                                          </a:graphicData>
                                        </a:graphic>
                                      </wp:inline>
                                    </w:drawing>
                                  </w:r>
                                  <w:bookmarkStart w:id="107" w:name="i-67"/>
                                  <w:bookmarkEnd w:id="10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67" descr=""/>
                                          <pic:cNvPicPr>
                                            <a:picLocks noChangeAspect="1" noChangeArrowheads="1"/>
                                          </pic:cNvPicPr>
                                        </pic:nvPicPr>
                                        <pic:blipFill>
                                          <a:blip r:embed="rId109"/>
                                          <a:stretch>
                                            <a:fillRect/>
                                          </a:stretch>
                                        </pic:blipFill>
                                        <pic:spPr bwMode="auto">
                                          <a:xfrm>
                                            <a:off x="0" y="0"/>
                                            <a:ext cx="733425" cy="190500"/>
                                          </a:xfrm>
                                          <a:prstGeom prst="rect">
                                            <a:avLst/>
                                          </a:prstGeom>
                                        </pic:spPr>
                                      </pic:pic>
                                    </a:graphicData>
                                  </a:graphic>
                                </wp:inline>
                              </w:drawing>
                            </w:r>
                            <w:bookmarkStart w:id="108" w:name="i-67"/>
                            <w:bookmarkEnd w:id="10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3. QUANTITATIVE AND QUALITATIVE DISCLOSURES ABOUT MARKET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market rate sensitivity for interest rates and foreign currency exchange rates.</w:t>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Interest Rate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June 30, 2025, we believe that the risk of exposure to changing interest rates for those positions is immaterial. There were no significant changes in how we manage interest rate risk between December 31, 2024 and June 30, 2025.</w:t>
      </w:r>
    </w:p>
    <w:tbl>
      <w:tblPr>
        <w:tblW w:w="3135" w:type="dxa"/>
        <w:jc w:val="lef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Foreign Currency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4. CONTROLS AND PROCEDURES</w:t>
      </w:r>
    </w:p>
    <w:tbl>
      <w:tblPr>
        <w:tblW w:w="6855" w:type="dxa"/>
        <w:jc w:val="left"/>
        <w:tblInd w:w="0" w:type="dxa"/>
        <w:tblLayout w:type="fixed"/>
        <w:tblCellMar>
          <w:top w:w="28" w:type="dxa"/>
          <w:left w:w="28" w:type="dxa"/>
          <w:bottom w:w="28" w:type="dxa"/>
          <w:right w:w="28" w:type="dxa"/>
        </w:tblCellMar>
      </w:tblPr>
      <w:tblGrid>
        <w:gridCol w:w="2195"/>
        <w:gridCol w:w="1928"/>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Evaluation of Disclosure Controls and Procedures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tbl>
      <w:tblPr>
        <w:tblW w:w="7305" w:type="dxa"/>
        <w:jc w:val="left"/>
        <w:tblInd w:w="0" w:type="dxa"/>
        <w:tblLayout w:type="fixed"/>
        <w:tblCellMar>
          <w:top w:w="28" w:type="dxa"/>
          <w:left w:w="28" w:type="dxa"/>
          <w:bottom w:w="28" w:type="dxa"/>
          <w:right w:w="28" w:type="dxa"/>
        </w:tblCellMar>
      </w:tblPr>
      <w:tblGrid>
        <w:gridCol w:w="2340"/>
        <w:gridCol w:w="2055"/>
        <w:gridCol w:w="2910"/>
      </w:tblGrid>
      <w:tr>
        <w:trPr/>
        <w:tc>
          <w:tcPr>
            <w:tcW w:w="23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Changes in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 changes in internal control over financial reporting occurred during the most recent fiscal quarter ended June 30, 2025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91540"/>
                <wp:effectExtent l="0" t="0" r="0" b="0"/>
                <wp:wrapNone/>
                <wp:docPr id="151"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2"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68" descr=""/>
                                                <pic:cNvPicPr>
                                                  <a:picLocks noChangeAspect="1" noChangeArrowheads="1"/>
                                                </pic:cNvPicPr>
                                              </pic:nvPicPr>
                                              <pic:blipFill>
                                                <a:blip r:embed="rId110"/>
                                                <a:stretch>
                                                  <a:fillRect/>
                                                </a:stretch>
                                              </pic:blipFill>
                                              <pic:spPr bwMode="auto">
                                                <a:xfrm>
                                                  <a:off x="0" y="0"/>
                                                  <a:ext cx="723900" cy="190500"/>
                                                </a:xfrm>
                                                <a:prstGeom prst="rect">
                                                  <a:avLst/>
                                                </a:prstGeom>
                                              </pic:spPr>
                                            </pic:pic>
                                          </a:graphicData>
                                        </a:graphic>
                                      </wp:inline>
                                    </w:drawing>
                                  </w:r>
                                  <w:bookmarkStart w:id="109" w:name="i-68"/>
                                  <w:bookmarkEnd w:id="10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68" descr=""/>
                                          <pic:cNvPicPr>
                                            <a:picLocks noChangeAspect="1" noChangeArrowheads="1"/>
                                          </pic:cNvPicPr>
                                        </pic:nvPicPr>
                                        <pic:blipFill>
                                          <a:blip r:embed="rId111"/>
                                          <a:stretch>
                                            <a:fillRect/>
                                          </a:stretch>
                                        </pic:blipFill>
                                        <pic:spPr bwMode="auto">
                                          <a:xfrm>
                                            <a:off x="0" y="0"/>
                                            <a:ext cx="723900" cy="190500"/>
                                          </a:xfrm>
                                          <a:prstGeom prst="rect">
                                            <a:avLst/>
                                          </a:prstGeom>
                                        </pic:spPr>
                                      </pic:pic>
                                    </a:graphicData>
                                  </a:graphic>
                                </wp:inline>
                              </w:drawing>
                            </w:r>
                            <w:bookmarkStart w:id="110" w:name="i-68"/>
                            <w:bookmarkEnd w:id="11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839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206"/>
        <w:gridCol w:w="2206"/>
        <w:gridCol w:w="3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5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69" descr=""/>
                          <pic:cNvPicPr>
                            <a:picLocks noChangeAspect="1" noChangeArrowheads="1"/>
                          </pic:cNvPicPr>
                        </pic:nvPicPr>
                        <pic:blipFill>
                          <a:blip r:embed="rId112"/>
                          <a:stretch>
                            <a:fillRect/>
                          </a:stretch>
                        </pic:blipFill>
                        <pic:spPr bwMode="auto">
                          <a:xfrm>
                            <a:off x="0" y="0"/>
                            <a:ext cx="276225" cy="276225"/>
                          </a:xfrm>
                          <a:prstGeom prst="rect">
                            <a:avLst/>
                          </a:prstGeom>
                        </pic:spPr>
                      </pic:pic>
                    </a:graphicData>
                  </a:graphic>
                </wp:inline>
              </w:drawing>
            </w:r>
            <w:bookmarkStart w:id="111" w:name="i-69"/>
            <w:bookmarkEnd w:id="111"/>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1A. RISK FACTORS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supplementing Item 1A. Risk Factors in our Annual Report on Form 10-K for the year ended December 31, 2024, as filed with the Securities and Exchange Commission on February 21, 2025 (the “Annual Report”). The following risk factors should be read in conjunction with the risk factors set forth in that Annual Report.</w:t>
      </w:r>
    </w:p>
    <w:tbl>
      <w:tblPr>
        <w:tblW w:w="2219" w:type="dxa"/>
        <w:jc w:val="left"/>
        <w:tblInd w:w="0" w:type="dxa"/>
        <w:tblLayout w:type="fixed"/>
        <w:tblCellMar>
          <w:top w:w="28" w:type="dxa"/>
          <w:left w:w="28" w:type="dxa"/>
          <w:bottom w:w="28" w:type="dxa"/>
          <w:right w:w="28" w:type="dxa"/>
        </w:tblCellMar>
      </w:tblPr>
      <w:tblGrid>
        <w:gridCol w:w="711"/>
        <w:gridCol w:w="624"/>
        <w:gridCol w:w="88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Strategic Risks</w:t>
            </w:r>
          </w:p>
        </w:tc>
      </w:tr>
    </w:tbl>
    <w:p>
      <w:pPr>
        <w:pStyle w:val="TextBody"/>
        <w:bidi w:val="0"/>
        <w:spacing w:lineRule="auto" w:line="288" w:before="180" w:after="283"/>
        <w:jc w:val="both"/>
        <w:rPr>
          <w:rFonts w:ascii="sans-serif" w:hAnsi="sans-serif"/>
          <w:b/>
          <w:i/>
          <w:color w:val="51555C"/>
          <w:sz w:val="20"/>
        </w:rPr>
      </w:pPr>
      <w:r>
        <w:rPr>
          <w:rFonts w:ascii="sans-serif" w:hAnsi="sans-serif"/>
          <w:b/>
          <w:i/>
          <w:color w:val="51555C"/>
          <w:sz w:val="20"/>
        </w:rPr>
        <w:t>We are increasingly incorporating AI technology into many of our solutions and services. Because this technology is new and developing, technically complex and investment-intensive and the legal and regulatory issues are unsettled, our AI strategy may result in operational, financial and reputational harm and other adverse consequences to our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implementing AI features, including generative, predictive, interactive and agentic AI technologies, in many of our solutions and services. The technologies underpinning these features are in the early stages of commercial use, are evolving rapidly and exist in an emerging regulatory environment, which presents regulatory, litigation, ethical, reputational, operational and financial risks, some of which are still unknown.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Many U.S. federal, U.S. state and international governmental bodies and regulators have adopted, or are in the process of developing, new laws and regulations related to the use of AI and machine learning technologies. These have imposed, and may in the future further impose, obligations related to our development, offering and use of AI technologies and expose us to increased risk of regulatory enforcement and litigation. Many of our AI features include the processing of personal data and are, and may be further, subject to laws, policies, legal obligations and codes of conduct related to privacy and data protection. There is uncertainty about the extent to which privacy and data protection laws apply to AI technologies, and any delay in addressing privacy or data protection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implementation of AI technologies into our products and services may result in exposure to claims related to copyright infringement or other intellectual property misappropriation.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use of AI technology may also present additional security risks due to embedded security vulnerabilities. Furthermore, many of our AI features may rely on third-party developers and other service providers, and any improper processing of personal data by these service providers could harm our reputation, business or customers, or expose us to legal liability. Also, our sensitive information could be leaked, disclosed or revealed as a result of or in connection with company or vendor use of these technologies generally. Any disruption or failure in our AI systems or infrastructure could result in delays or errors in our operations, which could harm our business and financial results. See also “Item 1A. Risk Factors. Operational Risks” related to breaches of our software and failure to safeguard confidential data in our Annual Report on Form 10-K filed with the SEC on February 21, 2025.</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Blackbaud is in the early stages of leveraging agentic AI in the AI features of our solutions and deploying agentic AI for our internal business purposes. Agentic AI differs from traditional AI technologies by making decisions and pursuing business goals autonomously without prompting by humans, sometimes across multiple steps and over time, which may require deployers to give agentic AI access to systems for the purpose of taking such initiative. This presents additional risks, including the possibility of opaque decision making, unique security concerns due to agent permissioning, challenges with monitoring actions and assigning and enforcing accountability.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AI technology features may also generate output that is misleading, inaccurate, harmful or otherwise flawed, which may harm our reputation, business or customers, or expose us to legal liability. Also, some AI scenarios present ethical issues.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891540"/>
                <wp:effectExtent l="0" t="0" r="0" b="0"/>
                <wp:wrapNone/>
                <wp:docPr id="155"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70" descr=""/>
                                                <pic:cNvPicPr>
                                                  <a:picLocks noChangeAspect="1" noChangeArrowheads="1"/>
                                                </pic:cNvPicPr>
                                              </pic:nvPicPr>
                                              <pic:blipFill>
                                                <a:blip r:embed="rId113"/>
                                                <a:stretch>
                                                  <a:fillRect/>
                                                </a:stretch>
                                              </pic:blipFill>
                                              <pic:spPr bwMode="auto">
                                                <a:xfrm>
                                                  <a:off x="0" y="0"/>
                                                  <a:ext cx="733425" cy="190500"/>
                                                </a:xfrm>
                                                <a:prstGeom prst="rect">
                                                  <a:avLst/>
                                                </a:prstGeom>
                                              </pic:spPr>
                                            </pic:pic>
                                          </a:graphicData>
                                        </a:graphic>
                                      </wp:inline>
                                    </w:drawing>
                                  </w:r>
                                  <w:bookmarkStart w:id="112" w:name="i-70"/>
                                  <w:bookmarkEnd w:id="1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center"/>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5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70" descr=""/>
                                          <pic:cNvPicPr>
                                            <a:picLocks noChangeAspect="1" noChangeArrowheads="1"/>
                                          </pic:cNvPicPr>
                                        </pic:nvPicPr>
                                        <pic:blipFill>
                                          <a:blip r:embed="rId114"/>
                                          <a:stretch>
                                            <a:fillRect/>
                                          </a:stretch>
                                        </pic:blipFill>
                                        <pic:spPr bwMode="auto">
                                          <a:xfrm>
                                            <a:off x="0" y="0"/>
                                            <a:ext cx="733425" cy="190500"/>
                                          </a:xfrm>
                                          <a:prstGeom prst="rect">
                                            <a:avLst/>
                                          </a:prstGeom>
                                        </pic:spPr>
                                      </pic:pic>
                                    </a:graphicData>
                                  </a:graphic>
                                </wp:inline>
                              </w:drawing>
                            </w:r>
                            <w:bookmarkStart w:id="113" w:name="i-70"/>
                            <w:bookmarkEnd w:id="11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enable or offer AI solutions that are controversial because of their purported or actual impact on human rights, privacy, employment or other social issues, we may experience reputational harm and legal liability.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New and emerging AI technologies require substantial additional investment in the development and maintenance of various models, approaches and processes, as well as development of protections and safeguards for the use of AI technologies, which is expensive and could negatively impact our financial results as we further expand AI technology into our products and services. Likewise, the use of AI technology involves significant technical complexity and requires specialized expertise, which is expected to require increased investment in infrastructure and headcount.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success of any enhancement or new product depends on many factors, including its relevance to our customers, timely implementation and market acceptance. If our AI-enhanced products and services do not achieve widespread market adoption or there is a reduction in demand due to a lack of customer acceptance, technology challenges, strengthening competition, weakening economic conditions, or security or privacy concerns, our business could be harmed and our financial results could be adversely affected.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face significant competition from other companies that are developing their own AI-enhanced products and services. Such AI features and technologies may be similar or superior to ours and may be more cost-effective. Furthermore, other parties could have proprietary rights that would interfere with our ability to implement our own AI features. Our AI features also may require access to specific third-party equipment or infrastructure, which availability or pricing we may not be able to control.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It is not possible to predict all of the risks related to the use of AI technology. Although we aim to develop and use AI responsibly and attempt to identify and mitigate ethical and legal issues presented by its use, we may be unsuccessful in identifying or resolving issues before they arise, which may affect our ability to develop and use AI or subject us to legal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UNREGISTERED SALES OF EQUITY SECURITIES AND USE OF PROCEEDS</w:t>
      </w:r>
    </w:p>
    <w:tbl>
      <w:tblPr>
        <w:tblW w:w="5220" w:type="dxa"/>
        <w:jc w:val="left"/>
        <w:tblInd w:w="0" w:type="dxa"/>
        <w:tblLayout w:type="fixed"/>
        <w:tblCellMar>
          <w:top w:w="28" w:type="dxa"/>
          <w:left w:w="28" w:type="dxa"/>
          <w:bottom w:w="28" w:type="dxa"/>
          <w:right w:w="28" w:type="dxa"/>
        </w:tblCellMar>
      </w:tblPr>
      <w:tblGrid>
        <w:gridCol w:w="1672"/>
        <w:gridCol w:w="1468"/>
        <w:gridCol w:w="2080"/>
      </w:tblGrid>
      <w:tr>
        <w:trPr/>
        <w:tc>
          <w:tcPr>
            <w:tcW w:w="167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Issuer Purchases of Equity Securities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shares of common stock acquired or repurchased during the three months ended June 30, 2025 under the stock repurchase program then in effect, as well as common stock withheld by us to satisfy the minimum tax obligations of employees due upon vesting of restricted stock awards and units.</w:t>
      </w:r>
    </w:p>
    <w:tbl>
      <w:tblPr>
        <w:tblW w:w="9882" w:type="dxa"/>
        <w:jc w:val="left"/>
        <w:tblInd w:w="0" w:type="dxa"/>
        <w:tblLayout w:type="fixed"/>
        <w:tblCellMar>
          <w:top w:w="28" w:type="dxa"/>
          <w:left w:w="28" w:type="dxa"/>
          <w:bottom w:w="28" w:type="dxa"/>
          <w:right w:w="28" w:type="dxa"/>
        </w:tblCellMar>
      </w:tblPr>
      <w:tblGrid>
        <w:gridCol w:w="1290"/>
        <w:gridCol w:w="1133"/>
        <w:gridCol w:w="1147"/>
        <w:gridCol w:w="414"/>
        <w:gridCol w:w="414"/>
        <w:gridCol w:w="416"/>
        <w:gridCol w:w="109"/>
        <w:gridCol w:w="109"/>
        <w:gridCol w:w="109"/>
        <w:gridCol w:w="226"/>
        <w:gridCol w:w="706"/>
        <w:gridCol w:w="109"/>
        <w:gridCol w:w="109"/>
        <w:gridCol w:w="109"/>
        <w:gridCol w:w="109"/>
        <w:gridCol w:w="450"/>
        <w:gridCol w:w="450"/>
        <w:gridCol w:w="451"/>
        <w:gridCol w:w="109"/>
        <w:gridCol w:w="109"/>
        <w:gridCol w:w="109"/>
        <w:gridCol w:w="288"/>
        <w:gridCol w:w="1209"/>
        <w:gridCol w:w="198"/>
      </w:tblGrid>
      <w:tr>
        <w:trPr/>
        <w:tc>
          <w:tcPr>
            <w:tcW w:w="1290"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Period</w:t>
            </w:r>
          </w:p>
        </w:tc>
        <w:tc>
          <w:tcPr>
            <w:tcW w:w="12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Total</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number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pPr>
            <w:r>
              <w:rPr>
                <w:rFonts w:ascii="sans-serif" w:hAnsi="sans-serif"/>
                <w:b/>
                <w:color w:val="FFFFFF"/>
                <w:sz w:val="16"/>
              </w:rPr>
              <w:t>purchased</w:t>
            </w:r>
            <w:r>
              <w:rPr>
                <w:rFonts w:ascii="sans-serif" w:hAns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number</w:t>
              <w:br/>
              <w:t>of shares</w:t>
              <w:br/>
              <w:t>purchased as</w:t>
              <w:br/>
              <w:t>part of</w:t>
              <w:br/>
              <w:t>publicly</w:t>
              <w:br/>
              <w:t>announced</w:t>
              <w:br/>
              <w:t>plans or</w:t>
              <w:br/>
              <w:t>programs</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Approximate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dollar value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that may yet</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be purchased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under the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plans or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programs</w:t>
            </w:r>
          </w:p>
          <w:p>
            <w:pPr>
              <w:pStyle w:val="TableContents"/>
              <w:bidi w:val="0"/>
              <w:spacing w:lineRule="auto" w:line="288" w:before="0" w:after="0"/>
              <w:jc w:val="right"/>
              <w:rPr/>
            </w:pPr>
            <w:r>
              <w:rPr>
                <w:rFonts w:ascii="sans-serif" w:hAnsi="sans-serif"/>
                <w:b/>
                <w:color w:val="FFFFFF"/>
                <w:sz w:val="16"/>
              </w:rPr>
              <w:t>(in thousands)</w:t>
            </w:r>
            <w:r>
              <w:rPr>
                <w:rFonts w:ascii="sans-serif" w:hAnsi="sans-serif"/>
                <w:b/>
                <w:color w:val="FFFFFF"/>
                <w:sz w:val="10"/>
              </w:rPr>
              <w:t>(2)</w:t>
            </w:r>
          </w:p>
        </w:tc>
      </w:tr>
      <w:tr>
        <w:trPr/>
        <w:tc>
          <w:tcPr>
            <w:tcW w:w="357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Beginning balance, April 1, 2025</w:t>
            </w:r>
          </w:p>
        </w:tc>
        <w:tc>
          <w:tcPr>
            <w:tcW w:w="12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April 1, 2025 through April 30, 2025</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May 1, 2025 through May 31, 2025</w:t>
            </w:r>
          </w:p>
        </w:tc>
        <w:tc>
          <w:tcPr>
            <w:tcW w:w="828"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13,939 </w:t>
            </w:r>
          </w:p>
        </w:tc>
        <w:tc>
          <w:tcPr>
            <w:tcW w:w="41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62.24 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June 1, 2025 through June 30, 2025</w:t>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Total</w:t>
            </w:r>
          </w:p>
        </w:tc>
        <w:tc>
          <w:tcPr>
            <w:tcW w:w="828"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13,939 </w:t>
            </w:r>
          </w:p>
        </w:tc>
        <w:tc>
          <w:tcPr>
            <w:tcW w:w="41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62.24 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color w:val="51555C"/>
              </w:rPr>
            </w:pPr>
            <w:r>
              <w:rPr>
                <w:color w:val="51555C"/>
              </w:rPr>
              <w:t>— </w:t>
            </w:r>
          </w:p>
        </w:tc>
        <w:tc>
          <w:tcPr>
            <w:tcW w:w="45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w:t>
            </w:r>
          </w:p>
        </w:tc>
        <w:tc>
          <w:tcPr>
            <w:tcW w:w="12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544,532 </w:t>
            </w:r>
          </w:p>
        </w:tc>
        <w:tc>
          <w:tcPr>
            <w:tcW w:w="19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13,939 shares in May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 July 2024, our Board of Directors reauthorized, expanded and replenished our stock repurchase program by raising the total capacity under the program to $800.0 million available for repurchases.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891540"/>
                <wp:effectExtent l="0" t="0" r="0" b="0"/>
                <wp:wrapNone/>
                <wp:docPr id="158" name="Frame4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59"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71" descr=""/>
                                                <pic:cNvPicPr>
                                                  <a:picLocks noChangeAspect="1" noChangeArrowheads="1"/>
                                                </pic:cNvPicPr>
                                              </pic:nvPicPr>
                                              <pic:blipFill>
                                                <a:blip r:embed="rId115"/>
                                                <a:stretch>
                                                  <a:fillRect/>
                                                </a:stretch>
                                              </pic:blipFill>
                                              <pic:spPr bwMode="auto">
                                                <a:xfrm>
                                                  <a:off x="0" y="0"/>
                                                  <a:ext cx="723900" cy="190500"/>
                                                </a:xfrm>
                                                <a:prstGeom prst="rect">
                                                  <a:avLst/>
                                                </a:prstGeom>
                                              </pic:spPr>
                                            </pic:pic>
                                          </a:graphicData>
                                        </a:graphic>
                                      </wp:inline>
                                    </w:drawing>
                                  </w:r>
                                  <w:bookmarkStart w:id="114" w:name="i-71"/>
                                  <w:bookmarkEnd w:id="114"/>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0"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71" descr=""/>
                                          <pic:cNvPicPr>
                                            <a:picLocks noChangeAspect="1" noChangeArrowheads="1"/>
                                          </pic:cNvPicPr>
                                        </pic:nvPicPr>
                                        <pic:blipFill>
                                          <a:blip r:embed="rId116"/>
                                          <a:stretch>
                                            <a:fillRect/>
                                          </a:stretch>
                                        </pic:blipFill>
                                        <pic:spPr bwMode="auto">
                                          <a:xfrm>
                                            <a:off x="0" y="0"/>
                                            <a:ext cx="723900" cy="190500"/>
                                          </a:xfrm>
                                          <a:prstGeom prst="rect">
                                            <a:avLst/>
                                          </a:prstGeom>
                                        </pic:spPr>
                                      </pic:pic>
                                    </a:graphicData>
                                  </a:graphic>
                                </wp:inline>
                              </w:drawing>
                            </w:r>
                            <w:bookmarkStart w:id="115" w:name="i-71"/>
                            <w:bookmarkEnd w:id="115"/>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49" w:type="dxa"/>
        <w:jc w:val="left"/>
        <w:tblInd w:w="0" w:type="dxa"/>
        <w:tblLayout w:type="fixed"/>
        <w:tblCellMar>
          <w:top w:w="28" w:type="dxa"/>
          <w:left w:w="28" w:type="dxa"/>
          <w:bottom w:w="28" w:type="dxa"/>
          <w:right w:w="28" w:type="dxa"/>
        </w:tblCellMar>
      </w:tblPr>
      <w:tblGrid>
        <w:gridCol w:w="2066"/>
        <w:gridCol w:w="1814"/>
        <w:gridCol w:w="2569"/>
      </w:tblGrid>
      <w:tr>
        <w:trPr/>
        <w:tc>
          <w:tcPr>
            <w:tcW w:w="206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006880"/>
                <w:sz w:val="24"/>
              </w:rPr>
            </w:pPr>
            <w:r>
              <w:rPr>
                <w:rFonts w:ascii="sans-serif" w:hAnsi="sans-serif"/>
                <w:b/>
                <w:color w:val="006880"/>
                <w:sz w:val="24"/>
              </w:rPr>
              <w:t>Trading Arrangements Adopted or Terminated</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June 30, 2025, none of the Company’s directors or executive officers adopted or terminated any contract, instruction or written plan for the purchase or sale of Company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4054"/>
          <w:sz w:val="32"/>
        </w:rPr>
      </w:pPr>
      <w:r>
        <w:rPr>
          <w:rFonts w:ascii="sans-serif" w:hAnsi="sans-serif"/>
          <w:b/>
          <w:color w:val="004054"/>
          <w:sz w:val="32"/>
        </w:rPr>
        <w:t>ITEM 6. EXHIBITS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649"/>
        <w:gridCol w:w="1261"/>
        <w:gridCol w:w="1264"/>
        <w:gridCol w:w="109"/>
        <w:gridCol w:w="109"/>
        <w:gridCol w:w="109"/>
        <w:gridCol w:w="338"/>
        <w:gridCol w:w="338"/>
        <w:gridCol w:w="340"/>
        <w:gridCol w:w="109"/>
        <w:gridCol w:w="109"/>
        <w:gridCol w:w="109"/>
        <w:gridCol w:w="213"/>
        <w:gridCol w:w="213"/>
        <w:gridCol w:w="214"/>
        <w:gridCol w:w="109"/>
        <w:gridCol w:w="109"/>
        <w:gridCol w:w="109"/>
        <w:gridCol w:w="477"/>
        <w:gridCol w:w="314"/>
        <w:gridCol w:w="315"/>
        <w:gridCol w:w="109"/>
        <w:gridCol w:w="109"/>
        <w:gridCol w:w="109"/>
        <w:gridCol w:w="225"/>
        <w:gridCol w:w="225"/>
        <w:gridCol w:w="327"/>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520"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Filing Date</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r>
              <w:fldChar w:fldCharType="begin"/>
            </w:r>
            <w:r>
              <w:rPr>
                <w:rStyle w:val="InternetLink"/>
                <w:sz w:val="20"/>
                <w:u w:val="single"/>
                <w:b w:val="false"/>
                <w:rFonts w:ascii="sans-serif" w:hAnsi="sans-serif"/>
                <w:color w:val="7A04DD"/>
              </w:rPr>
              <w:instrText xml:space="preserve"> HYPERLINK "https://www.sec.gov/ix?doc=/Archives/edgar/data/1280058/000128005825000017/blkb-20250421.htm" \l "i3aa072c4ead34f95a3b534024431b382_358"</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10.1</w:t>
            </w:r>
            <w:r>
              <w:rPr>
                <w:rStyle w:val="InternetLink"/>
                <w:sz w:val="20"/>
                <w:u w:val="single"/>
                <w:b w:val="false"/>
                <w:rFonts w:ascii="sans-serif" w:hAnsi="sans-serif"/>
                <w:color w:val="7A04DD"/>
              </w:rPr>
              <w:fldChar w:fldCharType="end"/>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fldChar w:fldCharType="begin"/>
            </w:r>
            <w:r>
              <w:rPr>
                <w:rStyle w:val="InternetLink"/>
                <w:sz w:val="20"/>
                <w:u w:val="single"/>
                <w:b w:val="false"/>
                <w:rFonts w:ascii="sans-serif" w:hAnsi="sans-serif"/>
                <w:color w:val="7A04DD"/>
              </w:rPr>
              <w:instrText xml:space="preserve"> HYPERLINK "https://www.sec.gov/ix?doc=/Archives/edgar/data/1280058/000128005825000017/blkb-20250421.htm" \l "i3aa072c4ead34f95a3b534024431b382_358"</w:instrText>
            </w:r>
            <w:r>
              <w:rPr>
                <w:rStyle w:val="InternetLink"/>
                <w:sz w:val="20"/>
                <w:u w:val="single"/>
                <w:b w:val="false"/>
                <w:rFonts w:ascii="sans-serif" w:hAnsi="sans-serif"/>
                <w:color w:val="7A04DD"/>
              </w:rPr>
              <w:fldChar w:fldCharType="separate"/>
            </w:r>
            <w:r>
              <w:rPr>
                <w:rStyle w:val="InternetLink"/>
                <w:rFonts w:ascii="sans-serif" w:hAnsi="sans-serif"/>
                <w:b w:val="false"/>
                <w:color w:val="7A04DD"/>
                <w:sz w:val="20"/>
                <w:u w:val="single"/>
              </w:rPr>
              <w:t>Amended and Restated Blackbaud, Inc. 2016 Equity and Incentive Compensation Plan.</w:t>
            </w:r>
            <w:r>
              <w:rPr>
                <w:rStyle w:val="InternetLink"/>
                <w:sz w:val="20"/>
                <w:u w:val="single"/>
                <w:b w:val="false"/>
                <w:rFonts w:ascii="sans-serif" w:hAnsi="sans-serif"/>
                <w:color w:val="7A04DD"/>
              </w:rPr>
              <w:fldChar w:fldCharType="end"/>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DEF 14A</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Appendix B</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4/22/2025</w:t>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2202510-qexx311.htm">
              <w:r>
                <w:rPr>
                  <w:rStyle w:val="InternetLink"/>
                  <w:rFonts w:ascii="sans-serif" w:hAnsi="sans-serif"/>
                  <w:b w:val="false"/>
                  <w:color w:val="7A04DD"/>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2202510-qexx311.htm">
              <w:r>
                <w:rPr>
                  <w:rStyle w:val="InternetLink"/>
                  <w:rFonts w:ascii="sans-serif" w:hAnsi="sans-serif"/>
                  <w:b w:val="false"/>
                  <w:color w:val="7A04DD"/>
                  <w:sz w:val="20"/>
                  <w:u w:val="single"/>
                </w:rPr>
                <w:t>Certification by the Chief Executive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2202510-qexx312.htm">
              <w:r>
                <w:rPr>
                  <w:rStyle w:val="InternetLink"/>
                  <w:rFonts w:ascii="sans-serif" w:hAnsi="sans-serif"/>
                  <w:b w:val="false"/>
                  <w:color w:val="7A04DD"/>
                  <w:sz w:val="20"/>
                  <w:u w:val="single"/>
                </w:rPr>
                <w:t>31.2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2202510-qexx312.htm">
              <w:r>
                <w:rPr>
                  <w:rStyle w:val="InternetLink"/>
                  <w:rFonts w:ascii="sans-serif" w:hAnsi="sans-serif"/>
                  <w:b w:val="false"/>
                  <w:color w:val="7A04DD"/>
                  <w:sz w:val="20"/>
                  <w:u w:val="single"/>
                </w:rPr>
                <w:t>Certification by the Chief Financial Officer pursuant to Section 302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2202510-qexx321.htm">
              <w:r>
                <w:rPr>
                  <w:rStyle w:val="InternetLink"/>
                  <w:rFonts w:ascii="sans-serif" w:hAnsi="sans-serif"/>
                  <w:b w:val="false"/>
                  <w:color w:val="7A04DD"/>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2202510-qexx321.htm">
              <w:r>
                <w:rPr>
                  <w:rStyle w:val="InternetLink"/>
                  <w:rFonts w:ascii="sans-serif" w:hAns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2202510-qexx322.htm">
              <w:r>
                <w:rPr>
                  <w:rStyle w:val="InternetLink"/>
                  <w:rFonts w:ascii="sans-serif" w:hAnsi="sans-serif"/>
                  <w:b w:val="false"/>
                  <w:color w:val="7A04DD"/>
                  <w:sz w:val="20"/>
                  <w:u w:val="single"/>
                </w:rPr>
                <w:t>32.2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2202510-qexx322.htm">
              <w:r>
                <w:rPr>
                  <w:rStyle w:val="InternetLink"/>
                  <w:rFonts w:ascii="sans-serif" w:hAns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101.SCH</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Schema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101.DEF</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101.PRE</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91540"/>
                <wp:effectExtent l="0" t="0" r="0" b="0"/>
                <wp:wrapNone/>
                <wp:docPr id="161" name="Frame4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47" w:type="dxa"/>
                              <w:jc w:val="left"/>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72" descr=""/>
                                                <pic:cNvPicPr>
                                                  <a:picLocks noChangeAspect="1" noChangeArrowheads="1"/>
                                                </pic:cNvPicPr>
                                              </pic:nvPicPr>
                                              <pic:blipFill>
                                                <a:blip r:embed="rId117"/>
                                                <a:stretch>
                                                  <a:fillRect/>
                                                </a:stretch>
                                              </pic:blipFill>
                                              <pic:spPr bwMode="auto">
                                                <a:xfrm>
                                                  <a:off x="0" y="0"/>
                                                  <a:ext cx="733425" cy="190500"/>
                                                </a:xfrm>
                                                <a:prstGeom prst="rect">
                                                  <a:avLst/>
                                                </a:prstGeom>
                                              </pic:spPr>
                                            </pic:pic>
                                          </a:graphicData>
                                        </a:graphic>
                                      </wp:inline>
                                    </w:drawing>
                                  </w:r>
                                  <w:bookmarkStart w:id="116" w:name="i-72"/>
                                  <w:bookmarkEnd w:id="1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47" w:type="dxa"/>
                        <w:jc w:val="left"/>
                        <w:tblInd w:w="0" w:type="dxa"/>
                        <w:tblLayout w:type="fixed"/>
                        <w:tblCellMar>
                          <w:top w:w="28" w:type="dxa"/>
                          <w:left w:w="28" w:type="dxa"/>
                          <w:bottom w:w="28" w:type="dxa"/>
                          <w:right w:w="28" w:type="dxa"/>
                        </w:tblCellMar>
                      </w:tblPr>
                      <w:tblGrid>
                        <w:gridCol w:w="1027"/>
                        <w:gridCol w:w="900"/>
                        <w:gridCol w:w="907"/>
                        <w:gridCol w:w="413"/>
                        <w:gridCol w:w="413"/>
                        <w:gridCol w:w="415"/>
                        <w:gridCol w:w="109"/>
                        <w:gridCol w:w="109"/>
                        <w:gridCol w:w="154"/>
                      </w:tblGrid>
                      <w:tr>
                        <w:trPr/>
                        <w:tc>
                          <w:tcPr>
                            <w:tcW w:w="102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Second Quarter 2025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63"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72" descr=""/>
                                          <pic:cNvPicPr>
                                            <a:picLocks noChangeAspect="1" noChangeArrowheads="1"/>
                                          </pic:cNvPicPr>
                                        </pic:nvPicPr>
                                        <pic:blipFill>
                                          <a:blip r:embed="rId118"/>
                                          <a:stretch>
                                            <a:fillRect/>
                                          </a:stretch>
                                        </pic:blipFill>
                                        <pic:spPr bwMode="auto">
                                          <a:xfrm>
                                            <a:off x="0" y="0"/>
                                            <a:ext cx="733425" cy="190500"/>
                                          </a:xfrm>
                                          <a:prstGeom prst="rect">
                                            <a:avLst/>
                                          </a:prstGeom>
                                        </pic:spPr>
                                      </pic:pic>
                                    </a:graphicData>
                                  </a:graphic>
                                </wp:inline>
                              </w:drawing>
                            </w:r>
                            <w:bookmarkStart w:id="117" w:name="i-72"/>
                            <w:bookmarkEnd w:id="11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c4ac21d798c247229aaf9796f1448243_16">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4149"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962"/>
        <w:gridCol w:w="962"/>
        <w:gridCol w:w="1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64"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73" descr=""/>
                          <pic:cNvPicPr>
                            <a:picLocks noChangeAspect="1" noChangeArrowheads="1"/>
                          </pic:cNvPicPr>
                        </pic:nvPicPr>
                        <pic:blipFill>
                          <a:blip r:embed="rId119"/>
                          <a:stretch>
                            <a:fillRect/>
                          </a:stretch>
                        </pic:blipFill>
                        <pic:spPr bwMode="auto">
                          <a:xfrm>
                            <a:off x="0" y="0"/>
                            <a:ext cx="276225" cy="276225"/>
                          </a:xfrm>
                          <a:prstGeom prst="rect">
                            <a:avLst/>
                          </a:prstGeom>
                        </pic:spPr>
                      </pic:pic>
                    </a:graphicData>
                  </a:graphic>
                </wp:inline>
              </w:drawing>
            </w:r>
            <w:bookmarkStart w:id="118" w:name="i-73"/>
            <w:bookmarkEnd w:id="118"/>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SIGNATURES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the Securities Exchange Act of 1934, the Registrant has duly caused this Report to be signed on its behalf by the undersigned thereunto duly authorized.</w:t>
      </w:r>
    </w:p>
    <w:tbl>
      <w:tblPr>
        <w:tblW w:w="9579"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328"/>
        <w:gridCol w:w="328"/>
        <w:gridCol w:w="328"/>
        <w:gridCol w:w="1916"/>
        <w:gridCol w:w="1916"/>
        <w:gridCol w:w="27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20"/>
              </w:rPr>
            </w:pPr>
            <w:r>
              <w:rPr>
                <w:rFonts w:ascii="sans-serif" w:hAnsi="sans-serif"/>
                <w:b/>
                <w:color w:val="51555C"/>
                <w:sz w:val="20"/>
              </w:rPr>
              <w:t>BLACKBAUD,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July 30,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July 30, 2025</w:t>
            </w:r>
          </w:p>
        </w:tc>
        <w:tc>
          <w:tcPr>
            <w:tcW w:w="9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891540"/>
                <wp:effectExtent l="0" t="0" r="0" b="0"/>
                <wp:wrapNone/>
                <wp:docPr id="165" name="Frame4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6"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74" descr=""/>
                                                <pic:cNvPicPr>
                                                  <a:picLocks noChangeAspect="1" noChangeArrowheads="1"/>
                                                </pic:cNvPicPr>
                                              </pic:nvPicPr>
                                              <pic:blipFill>
                                                <a:blip r:embed="rId120"/>
                                                <a:stretch>
                                                  <a:fillRect/>
                                                </a:stretch>
                                              </pic:blipFill>
                                              <pic:spPr bwMode="auto">
                                                <a:xfrm>
                                                  <a:off x="0" y="0"/>
                                                  <a:ext cx="723900" cy="190500"/>
                                                </a:xfrm>
                                                <a:prstGeom prst="rect">
                                                  <a:avLst/>
                                                </a:prstGeom>
                                              </pic:spPr>
                                            </pic:pic>
                                          </a:graphicData>
                                        </a:graphic>
                                      </wp:inline>
                                    </w:drawing>
                                  </w:r>
                                  <w:bookmarkStart w:id="119" w:name="i-74"/>
                                  <w:bookmarkEnd w:id="119"/>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432"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837"/>
                        <w:gridCol w:w="837"/>
                        <w:gridCol w:w="11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6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74" descr=""/>
                                          <pic:cNvPicPr>
                                            <a:picLocks noChangeAspect="1" noChangeArrowheads="1"/>
                                          </pic:cNvPicPr>
                                        </pic:nvPicPr>
                                        <pic:blipFill>
                                          <a:blip r:embed="rId121"/>
                                          <a:stretch>
                                            <a:fillRect/>
                                          </a:stretch>
                                        </pic:blipFill>
                                        <pic:spPr bwMode="auto">
                                          <a:xfrm>
                                            <a:off x="0" y="0"/>
                                            <a:ext cx="723900" cy="190500"/>
                                          </a:xfrm>
                                          <a:prstGeom prst="rect">
                                            <a:avLst/>
                                          </a:prstGeom>
                                        </pic:spPr>
                                      </pic:pic>
                                    </a:graphicData>
                                  </a:graphic>
                                </wp:inline>
                              </w:drawing>
                            </w:r>
                            <w:bookmarkStart w:id="120" w:name="i-74"/>
                            <w:bookmarkEnd w:id="120"/>
                          </w:p>
                        </w:tc>
                        <w:tc>
                          <w:tcPr>
                            <w:tcW w:w="28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Second Quarter 2025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Michael P. Gianoni,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9341"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30,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6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Chad M. Anderson,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7946" w:type="dxa"/>
        <w:jc w:val="center"/>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30,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6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June 30, 2025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9341" w:type="dxa"/>
        <w:jc w:val="left"/>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30,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7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June 30, 2025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7946" w:type="dxa"/>
        <w:jc w:val="left"/>
        <w:tblInd w:w="0" w:type="dxa"/>
        <w:tblLayout w:type="fixed"/>
        <w:tblCellMar>
          <w:top w:w="28" w:type="dxa"/>
          <w:left w:w="28" w:type="dxa"/>
          <w:bottom w:w="28" w:type="dxa"/>
          <w:right w:w="28" w:type="dxa"/>
        </w:tblCellMar>
      </w:tblPr>
      <w:tblGrid>
        <w:gridCol w:w="233"/>
        <w:gridCol w:w="205"/>
        <w:gridCol w:w="207"/>
        <w:gridCol w:w="454"/>
        <w:gridCol w:w="454"/>
        <w:gridCol w:w="45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July 30, 2025</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7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2.jpeg"/><Relationship Id="rId46" Type="http://schemas.openxmlformats.org/officeDocument/2006/relationships/image" Target="media/image2.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4.jpeg"/><Relationship Id="rId50" Type="http://schemas.openxmlformats.org/officeDocument/2006/relationships/image" Target="media/image5.jpeg"/><Relationship Id="rId51" Type="http://schemas.openxmlformats.org/officeDocument/2006/relationships/image" Target="media/image6.jpeg"/><Relationship Id="rId52" Type="http://schemas.openxmlformats.org/officeDocument/2006/relationships/image" Target="media/image7.jpeg"/><Relationship Id="rId53" Type="http://schemas.openxmlformats.org/officeDocument/2006/relationships/image" Target="media/image2.jpeg"/><Relationship Id="rId54" Type="http://schemas.openxmlformats.org/officeDocument/2006/relationships/image" Target="media/image2.jpeg"/><Relationship Id="rId55" Type="http://schemas.openxmlformats.org/officeDocument/2006/relationships/image" Target="media/image2.jpeg"/><Relationship Id="rId56" Type="http://schemas.openxmlformats.org/officeDocument/2006/relationships/image" Target="media/image2.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8.jpeg"/><Relationship Id="rId60" Type="http://schemas.openxmlformats.org/officeDocument/2006/relationships/image" Target="media/image2.jpeg"/><Relationship Id="rId61" Type="http://schemas.openxmlformats.org/officeDocument/2006/relationships/image" Target="media/image2.jpeg"/><Relationship Id="rId62" Type="http://schemas.openxmlformats.org/officeDocument/2006/relationships/image" Target="media/image9.jpeg"/><Relationship Id="rId63" Type="http://schemas.openxmlformats.org/officeDocument/2006/relationships/image" Target="media/image10.jpeg"/><Relationship Id="rId64" Type="http://schemas.openxmlformats.org/officeDocument/2006/relationships/image" Target="media/image11.jpeg"/><Relationship Id="rId65" Type="http://schemas.openxmlformats.org/officeDocument/2006/relationships/image" Target="media/image12.jpeg"/><Relationship Id="rId66" Type="http://schemas.openxmlformats.org/officeDocument/2006/relationships/image" Target="media/image13.jpeg"/><Relationship Id="rId67" Type="http://schemas.openxmlformats.org/officeDocument/2006/relationships/image" Target="media/image14.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15.jpeg"/><Relationship Id="rId71" Type="http://schemas.openxmlformats.org/officeDocument/2006/relationships/image" Target="media/image16.jpeg"/><Relationship Id="rId72" Type="http://schemas.openxmlformats.org/officeDocument/2006/relationships/image" Target="media/image17.jpeg"/><Relationship Id="rId73" Type="http://schemas.openxmlformats.org/officeDocument/2006/relationships/image" Target="media/image18.jpeg"/><Relationship Id="rId74" Type="http://schemas.openxmlformats.org/officeDocument/2006/relationships/image" Target="media/image19.jpeg"/><Relationship Id="rId75" Type="http://schemas.openxmlformats.org/officeDocument/2006/relationships/image" Target="media/image20.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1.jpeg"/><Relationship Id="rId83" Type="http://schemas.openxmlformats.org/officeDocument/2006/relationships/image" Target="media/image22.jpeg"/><Relationship Id="rId84" Type="http://schemas.openxmlformats.org/officeDocument/2006/relationships/image" Target="media/image23.jpeg"/><Relationship Id="rId85" Type="http://schemas.openxmlformats.org/officeDocument/2006/relationships/image" Target="media/image24.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5.jpeg"/><Relationship Id="rId89" Type="http://schemas.openxmlformats.org/officeDocument/2006/relationships/image" Target="media/image26.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2.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2.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image" Target="media/image2.jpeg"/><Relationship Id="rId106" Type="http://schemas.openxmlformats.org/officeDocument/2006/relationships/image" Target="media/image2.jpeg"/><Relationship Id="rId107" Type="http://schemas.openxmlformats.org/officeDocument/2006/relationships/image" Target="media/image2.jpeg"/><Relationship Id="rId108" Type="http://schemas.openxmlformats.org/officeDocument/2006/relationships/image" Target="media/image2.jpeg"/><Relationship Id="rId109" Type="http://schemas.openxmlformats.org/officeDocument/2006/relationships/image" Target="media/image2.jpeg"/><Relationship Id="rId110" Type="http://schemas.openxmlformats.org/officeDocument/2006/relationships/image" Target="media/image2.jpeg"/><Relationship Id="rId111" Type="http://schemas.openxmlformats.org/officeDocument/2006/relationships/image" Target="media/image2.jpeg"/><Relationship Id="rId112" Type="http://schemas.openxmlformats.org/officeDocument/2006/relationships/image" Target="media/image3.jpeg"/><Relationship Id="rId113" Type="http://schemas.openxmlformats.org/officeDocument/2006/relationships/image" Target="media/image2.jpeg"/><Relationship Id="rId114" Type="http://schemas.openxmlformats.org/officeDocument/2006/relationships/image" Target="media/image2.jpeg"/><Relationship Id="rId115" Type="http://schemas.openxmlformats.org/officeDocument/2006/relationships/image" Target="media/image2.jpeg"/><Relationship Id="rId116" Type="http://schemas.openxmlformats.org/officeDocument/2006/relationships/image" Target="media/image2.jpeg"/><Relationship Id="rId117" Type="http://schemas.openxmlformats.org/officeDocument/2006/relationships/image" Target="media/image2.jpeg"/><Relationship Id="rId118" Type="http://schemas.openxmlformats.org/officeDocument/2006/relationships/image" Target="media/image2.jpeg"/><Relationship Id="rId119" Type="http://schemas.openxmlformats.org/officeDocument/2006/relationships/image" Target="media/image3.jpeg"/><Relationship Id="rId120" Type="http://schemas.openxmlformats.org/officeDocument/2006/relationships/image" Target="media/image2.jpeg"/><Relationship Id="rId121" Type="http://schemas.openxmlformats.org/officeDocument/2006/relationships/image" Target="media/image2.jpeg"/><Relationship Id="rId122" Type="http://schemas.openxmlformats.org/officeDocument/2006/relationships/fontTable" Target="fontTable.xml"/><Relationship Id="rId1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21594</Words>
  <Characters>121422</Characters>
  <CharactersWithSpaces>141812</CharactersWithSpaces>
  <Paragraphs>3218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