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9"/>
        <w:spacing w:after="0"/>
        <w:rPr>
          <w:sz w:val="20"/>
          <w:szCs w:val="20"/>
          <w:color w:val="auto"/>
        </w:rPr>
      </w:pPr>
      <w:r>
        <w:rPr>
          <w:rFonts w:ascii="Arial" w:cs="Arial" w:eastAsia="Arial" w:hAnsi="Arial"/>
          <w:sz w:val="17"/>
          <w:szCs w:val="17"/>
          <w:b w:val="1"/>
          <w:bCs w:val="1"/>
          <w:color w:val="auto"/>
        </w:rPr>
        <w:t>As filed with the Securities and Exchange Commission on January 18, 2004</w:t>
      </w:r>
    </w:p>
    <w:p>
      <w:pPr>
        <w:spacing w:after="0" w:line="228" w:lineRule="exact"/>
        <w:rPr>
          <w:sz w:val="20"/>
          <w:szCs w:val="20"/>
          <w:color w:val="auto"/>
        </w:rPr>
      </w:pPr>
    </w:p>
    <w:p>
      <w:pPr>
        <w:ind w:left="8420"/>
        <w:spacing w:after="0"/>
        <w:rPr>
          <w:sz w:val="20"/>
          <w:szCs w:val="20"/>
          <w:color w:val="auto"/>
        </w:rPr>
      </w:pPr>
      <w:r>
        <w:rPr>
          <w:rFonts w:ascii="Arial" w:cs="Arial" w:eastAsia="Arial" w:hAnsi="Arial"/>
          <w:sz w:val="17"/>
          <w:szCs w:val="17"/>
          <w:b w:val="1"/>
          <w:bCs w:val="1"/>
          <w:color w:val="auto"/>
        </w:rPr>
        <w:t>Registration Statement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153670</wp:posOffset>
            </wp:positionV>
            <wp:extent cx="7266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229235</wp:posOffset>
            </wp:positionV>
            <wp:extent cx="7266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149860</wp:posOffset>
            </wp:positionV>
            <wp:extent cx="1906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S-1</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REGISTRATION STATEMENT</w:t>
      </w:r>
    </w:p>
    <w:p>
      <w:pPr>
        <w:spacing w:after="0" w:line="17"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UNDER</w:t>
      </w:r>
    </w:p>
    <w:p>
      <w:pPr>
        <w:jc w:val="center"/>
        <w:ind w:right="-99"/>
        <w:spacing w:after="0"/>
        <w:rPr>
          <w:sz w:val="20"/>
          <w:szCs w:val="20"/>
          <w:color w:val="auto"/>
        </w:rPr>
      </w:pPr>
      <w:r>
        <w:rPr>
          <w:rFonts w:ascii="Arial" w:cs="Arial" w:eastAsia="Arial" w:hAnsi="Arial"/>
          <w:sz w:val="21"/>
          <w:szCs w:val="21"/>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134620</wp:posOffset>
            </wp:positionV>
            <wp:extent cx="1906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42"/>
          <w:szCs w:val="42"/>
          <w:b w:val="1"/>
          <w:bCs w:val="1"/>
          <w:color w:val="auto"/>
        </w:rPr>
        <w:t>Blackbaud, Inc.</w:t>
      </w:r>
    </w:p>
    <w:p>
      <w:pPr>
        <w:spacing w:after="0" w:line="251" w:lineRule="exact"/>
        <w:rPr>
          <w:sz w:val="20"/>
          <w:szCs w:val="20"/>
          <w:color w:val="auto"/>
        </w:rPr>
      </w:pPr>
    </w:p>
    <w:tbl>
      <w:tblPr>
        <w:tblLayout w:type="fixed"/>
        <w:tblInd w:w="88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4920" w:type="dxa"/>
            <w:vAlign w:val="bottom"/>
          </w:tcPr>
          <w:p>
            <w:pPr>
              <w:ind w:left="460"/>
              <w:spacing w:after="0"/>
              <w:rPr>
                <w:sz w:val="20"/>
                <w:szCs w:val="20"/>
                <w:color w:val="auto"/>
              </w:rPr>
            </w:pPr>
            <w:r>
              <w:rPr>
                <w:rFonts w:ascii="Arial" w:cs="Arial" w:eastAsia="Arial" w:hAnsi="Arial"/>
                <w:sz w:val="17"/>
                <w:szCs w:val="17"/>
                <w:i w:val="1"/>
                <w:iCs w:val="1"/>
                <w:color w:val="auto"/>
              </w:rPr>
              <w:t>(Exact name of registrant as specified in its charter)</w:t>
            </w:r>
          </w:p>
        </w:tc>
        <w:tc>
          <w:tcPr>
            <w:tcW w:w="2140" w:type="dxa"/>
            <w:vAlign w:val="bottom"/>
          </w:tcPr>
          <w:p>
            <w:pPr>
              <w:spacing w:after="0"/>
              <w:rPr>
                <w:sz w:val="18"/>
                <w:szCs w:val="18"/>
                <w:color w:val="auto"/>
              </w:rPr>
            </w:pPr>
          </w:p>
        </w:tc>
      </w:tr>
      <w:tr>
        <w:trPr>
          <w:trHeight w:val="418"/>
        </w:trPr>
        <w:tc>
          <w:tcPr>
            <w:tcW w:w="2580" w:type="dxa"/>
            <w:vAlign w:val="bottom"/>
          </w:tcPr>
          <w:p>
            <w:pPr>
              <w:jc w:val="center"/>
              <w:ind w:right="354"/>
              <w:spacing w:after="0"/>
              <w:rPr>
                <w:sz w:val="20"/>
                <w:szCs w:val="20"/>
                <w:color w:val="auto"/>
              </w:rPr>
            </w:pPr>
            <w:r>
              <w:rPr>
                <w:rFonts w:ascii="Arial" w:cs="Arial" w:eastAsia="Arial" w:hAnsi="Arial"/>
                <w:sz w:val="17"/>
                <w:szCs w:val="17"/>
                <w:b w:val="1"/>
                <w:bCs w:val="1"/>
                <w:color w:val="auto"/>
                <w:w w:val="93"/>
              </w:rPr>
              <w:t>Delaware</w:t>
            </w:r>
          </w:p>
        </w:tc>
        <w:tc>
          <w:tcPr>
            <w:tcW w:w="4920" w:type="dxa"/>
            <w:vAlign w:val="bottom"/>
          </w:tcPr>
          <w:p>
            <w:pPr>
              <w:jc w:val="center"/>
              <w:ind w:left="334"/>
              <w:spacing w:after="0"/>
              <w:rPr>
                <w:sz w:val="20"/>
                <w:szCs w:val="20"/>
                <w:color w:val="auto"/>
              </w:rPr>
            </w:pPr>
            <w:r>
              <w:rPr>
                <w:rFonts w:ascii="Arial" w:cs="Arial" w:eastAsia="Arial" w:hAnsi="Arial"/>
                <w:sz w:val="17"/>
                <w:szCs w:val="17"/>
                <w:b w:val="1"/>
                <w:bCs w:val="1"/>
                <w:color w:val="auto"/>
                <w:w w:val="89"/>
              </w:rPr>
              <w:t>7372</w:t>
            </w:r>
          </w:p>
        </w:tc>
        <w:tc>
          <w:tcPr>
            <w:tcW w:w="2140" w:type="dxa"/>
            <w:vAlign w:val="bottom"/>
          </w:tcPr>
          <w:p>
            <w:pPr>
              <w:jc w:val="center"/>
              <w:ind w:left="794"/>
              <w:spacing w:after="0"/>
              <w:rPr>
                <w:sz w:val="20"/>
                <w:szCs w:val="20"/>
                <w:color w:val="auto"/>
              </w:rPr>
            </w:pPr>
            <w:r>
              <w:rPr>
                <w:rFonts w:ascii="Arial" w:cs="Arial" w:eastAsia="Arial" w:hAnsi="Arial"/>
                <w:sz w:val="17"/>
                <w:szCs w:val="17"/>
                <w:b w:val="1"/>
                <w:bCs w:val="1"/>
                <w:color w:val="auto"/>
                <w:w w:val="90"/>
              </w:rPr>
              <w:t>11-2617163</w:t>
            </w:r>
          </w:p>
        </w:tc>
      </w:tr>
      <w:tr>
        <w:trPr>
          <w:trHeight w:val="212"/>
        </w:trPr>
        <w:tc>
          <w:tcPr>
            <w:tcW w:w="2580" w:type="dxa"/>
            <w:vAlign w:val="bottom"/>
          </w:tcPr>
          <w:p>
            <w:pPr>
              <w:jc w:val="center"/>
              <w:ind w:right="354"/>
              <w:spacing w:after="0"/>
              <w:rPr>
                <w:sz w:val="20"/>
                <w:szCs w:val="20"/>
                <w:color w:val="auto"/>
              </w:rPr>
            </w:pPr>
            <w:r>
              <w:rPr>
                <w:rFonts w:ascii="Arial" w:cs="Arial" w:eastAsia="Arial" w:hAnsi="Arial"/>
                <w:sz w:val="17"/>
                <w:szCs w:val="17"/>
                <w:i w:val="1"/>
                <w:iCs w:val="1"/>
                <w:color w:val="auto"/>
                <w:w w:val="94"/>
              </w:rPr>
              <w:t>(State or other jurisdiction of</w:t>
            </w:r>
          </w:p>
        </w:tc>
        <w:tc>
          <w:tcPr>
            <w:tcW w:w="4920" w:type="dxa"/>
            <w:vAlign w:val="bottom"/>
          </w:tcPr>
          <w:p>
            <w:pPr>
              <w:jc w:val="center"/>
              <w:ind w:left="334"/>
              <w:spacing w:after="0"/>
              <w:rPr>
                <w:sz w:val="20"/>
                <w:szCs w:val="20"/>
                <w:color w:val="auto"/>
              </w:rPr>
            </w:pPr>
            <w:r>
              <w:rPr>
                <w:rFonts w:ascii="Arial" w:cs="Arial" w:eastAsia="Arial" w:hAnsi="Arial"/>
                <w:sz w:val="17"/>
                <w:szCs w:val="17"/>
                <w:i w:val="1"/>
                <w:iCs w:val="1"/>
                <w:color w:val="auto"/>
                <w:w w:val="95"/>
              </w:rPr>
              <w:t>(Primary Standard Industrial</w:t>
            </w:r>
          </w:p>
        </w:tc>
        <w:tc>
          <w:tcPr>
            <w:tcW w:w="2140" w:type="dxa"/>
            <w:vAlign w:val="bottom"/>
          </w:tcPr>
          <w:p>
            <w:pPr>
              <w:jc w:val="center"/>
              <w:ind w:left="774"/>
              <w:spacing w:after="0"/>
              <w:rPr>
                <w:sz w:val="20"/>
                <w:szCs w:val="20"/>
                <w:color w:val="auto"/>
              </w:rPr>
            </w:pPr>
            <w:r>
              <w:rPr>
                <w:rFonts w:ascii="Arial" w:cs="Arial" w:eastAsia="Arial" w:hAnsi="Arial"/>
                <w:sz w:val="17"/>
                <w:szCs w:val="17"/>
                <w:i w:val="1"/>
                <w:iCs w:val="1"/>
                <w:color w:val="auto"/>
                <w:w w:val="92"/>
              </w:rPr>
              <w:t>(I.R.S. Employer</w:t>
            </w:r>
          </w:p>
        </w:tc>
      </w:tr>
      <w:tr>
        <w:trPr>
          <w:trHeight w:val="217"/>
        </w:trPr>
        <w:tc>
          <w:tcPr>
            <w:tcW w:w="2580" w:type="dxa"/>
            <w:vAlign w:val="bottom"/>
          </w:tcPr>
          <w:p>
            <w:pPr>
              <w:jc w:val="center"/>
              <w:ind w:right="354"/>
              <w:spacing w:after="0"/>
              <w:rPr>
                <w:sz w:val="20"/>
                <w:szCs w:val="20"/>
                <w:color w:val="auto"/>
              </w:rPr>
            </w:pPr>
            <w:r>
              <w:rPr>
                <w:rFonts w:ascii="Arial" w:cs="Arial" w:eastAsia="Arial" w:hAnsi="Arial"/>
                <w:sz w:val="17"/>
                <w:szCs w:val="17"/>
                <w:i w:val="1"/>
                <w:iCs w:val="1"/>
                <w:color w:val="auto"/>
                <w:w w:val="96"/>
              </w:rPr>
              <w:t>incorporation or organization)</w:t>
            </w:r>
          </w:p>
        </w:tc>
        <w:tc>
          <w:tcPr>
            <w:tcW w:w="4920" w:type="dxa"/>
            <w:vAlign w:val="bottom"/>
          </w:tcPr>
          <w:p>
            <w:pPr>
              <w:jc w:val="center"/>
              <w:ind w:left="334"/>
              <w:spacing w:after="0"/>
              <w:rPr>
                <w:sz w:val="20"/>
                <w:szCs w:val="20"/>
                <w:color w:val="auto"/>
              </w:rPr>
            </w:pPr>
            <w:r>
              <w:rPr>
                <w:rFonts w:ascii="Arial" w:cs="Arial" w:eastAsia="Arial" w:hAnsi="Arial"/>
                <w:sz w:val="17"/>
                <w:szCs w:val="17"/>
                <w:i w:val="1"/>
                <w:iCs w:val="1"/>
                <w:color w:val="auto"/>
                <w:w w:val="93"/>
              </w:rPr>
              <w:t>Classification Code Number)</w:t>
            </w:r>
          </w:p>
        </w:tc>
        <w:tc>
          <w:tcPr>
            <w:tcW w:w="2140" w:type="dxa"/>
            <w:vAlign w:val="bottom"/>
          </w:tcPr>
          <w:p>
            <w:pPr>
              <w:jc w:val="center"/>
              <w:ind w:left="774"/>
              <w:spacing w:after="0"/>
              <w:rPr>
                <w:sz w:val="20"/>
                <w:szCs w:val="20"/>
                <w:color w:val="auto"/>
              </w:rPr>
            </w:pPr>
            <w:r>
              <w:rPr>
                <w:rFonts w:ascii="Arial" w:cs="Arial" w:eastAsia="Arial" w:hAnsi="Arial"/>
                <w:sz w:val="17"/>
                <w:szCs w:val="17"/>
                <w:i w:val="1"/>
                <w:iCs w:val="1"/>
                <w:color w:val="auto"/>
                <w:w w:val="96"/>
              </w:rPr>
              <w:t>Identification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136525</wp:posOffset>
            </wp:positionV>
            <wp:extent cx="1906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2000 Daniel Island Drive</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Charleston, South Carolina 29492</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Telephone: (843) 216-6200</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(Address, including zip code, and telephone number, including area code, of</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registrant’s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146685</wp:posOffset>
            </wp:positionV>
            <wp:extent cx="1906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Robert J. Sywolski</w:t>
      </w: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Chief Executive Officer</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Blackbaud, Inc.</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2000 Daniel Island Drive</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Charleston, South Carolina 29492</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Telephone: (843) 216-6200</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(Name, address, including zip code, and telephone number, including area</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146685</wp:posOffset>
            </wp:positionV>
            <wp:extent cx="1906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Copies to:</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Donald R. Reynolds, Esq.</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Kevin A. Prakke, Esq.</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Wyrick Robbins Yates &amp; Ponton LLP</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4101 Lake Boone Trail, Suite 300</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Raleigh, North Carolina 27607</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Telephone: (919) 781-4000</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Facsimile: (919) 781-4865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146685</wp:posOffset>
            </wp:positionV>
            <wp:extent cx="19069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the effective date of this registration statement.</w:t>
      </w:r>
    </w:p>
    <w:p>
      <w:pPr>
        <w:spacing w:after="0" w:line="260" w:lineRule="exact"/>
        <w:rPr>
          <w:sz w:val="20"/>
          <w:szCs w:val="20"/>
          <w:color w:val="auto"/>
        </w:rPr>
      </w:pPr>
    </w:p>
    <w:p>
      <w:pPr>
        <w:ind w:right="60" w:firstLine="265"/>
        <w:spacing w:after="0" w:line="224"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7"/>
          <w:szCs w:val="17"/>
          <w:color w:val="auto"/>
        </w:rPr>
        <w:t>☒</w:t>
      </w:r>
    </w:p>
    <w:p>
      <w:pPr>
        <w:spacing w:after="0" w:line="213" w:lineRule="exact"/>
        <w:rPr>
          <w:sz w:val="20"/>
          <w:szCs w:val="20"/>
          <w:color w:val="auto"/>
        </w:rPr>
      </w:pPr>
    </w:p>
    <w:p>
      <w:pPr>
        <w:ind w:right="580" w:firstLine="265"/>
        <w:spacing w:after="0" w:line="286"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6" w:lineRule="exact"/>
        <w:rPr>
          <w:sz w:val="20"/>
          <w:szCs w:val="20"/>
          <w:color w:val="auto"/>
        </w:rPr>
      </w:pPr>
    </w:p>
    <w:p>
      <w:pPr>
        <w:ind w:firstLine="265"/>
        <w:spacing w:after="0" w:line="286"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6" w:lineRule="exact"/>
        <w:rPr>
          <w:sz w:val="20"/>
          <w:szCs w:val="20"/>
          <w:color w:val="auto"/>
        </w:rPr>
      </w:pPr>
    </w:p>
    <w:p>
      <w:pPr>
        <w:ind w:firstLine="265"/>
        <w:spacing w:after="0" w:line="286"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ectPr>
          <w:pgSz w:w="11900" w:h="16838" w:orient="portrait"/>
          <w:cols w:equalWidth="0" w:num="1">
            <w:col w:w="11320"/>
          </w:cols>
          <w:pgMar w:left="240" w:top="628" w:right="339" w:bottom="0" w:gutter="0" w:footer="0" w:header="0"/>
        </w:sectPr>
      </w:pPr>
    </w:p>
    <w:bookmarkStart w:id="2" w:name="page3"/>
    <w:bookmarkEnd w:id="2"/>
    <w:p>
      <w:pPr>
        <w:ind w:left="280"/>
        <w:spacing w:after="0"/>
        <w:tabs>
          <w:tab w:leader="none" w:pos="7720" w:val="left"/>
        </w:tabs>
        <w:rPr>
          <w:sz w:val="20"/>
          <w:szCs w:val="20"/>
          <w:color w:val="auto"/>
        </w:rPr>
      </w:pPr>
      <w:r>
        <w:rPr>
          <w:rFonts w:ascii="Arial" w:cs="Arial" w:eastAsia="Arial" w:hAnsi="Arial"/>
          <w:sz w:val="16"/>
          <w:szCs w:val="16"/>
          <w:color w:val="auto"/>
        </w:rPr>
        <w:t>If delivery of the prospectus is expected to be made pursuant to Rule 434, please check the following box.</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157480</wp:posOffset>
            </wp:positionV>
            <wp:extent cx="1906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249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498475</wp:posOffset>
            </wp:positionV>
            <wp:extent cx="7249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60" w:type="dxa"/>
            <w:vAlign w:val="bottom"/>
          </w:tcPr>
          <w:p>
            <w:pPr>
              <w:spacing w:after="0"/>
              <w:rPr>
                <w:sz w:val="13"/>
                <w:szCs w:val="13"/>
                <w:color w:val="auto"/>
              </w:rPr>
            </w:pPr>
          </w:p>
        </w:tc>
        <w:tc>
          <w:tcPr>
            <w:tcW w:w="3280" w:type="dxa"/>
            <w:vAlign w:val="bottom"/>
          </w:tcPr>
          <w:p>
            <w:pPr>
              <w:jc w:val="center"/>
              <w:ind w:left="269"/>
              <w:spacing w:after="0"/>
              <w:rPr>
                <w:sz w:val="20"/>
                <w:szCs w:val="20"/>
                <w:color w:val="auto"/>
              </w:rPr>
            </w:pPr>
            <w:r>
              <w:rPr>
                <w:rFonts w:ascii="Arial" w:cs="Arial" w:eastAsia="Arial" w:hAnsi="Arial"/>
                <w:sz w:val="13"/>
                <w:szCs w:val="13"/>
                <w:b w:val="1"/>
                <w:bCs w:val="1"/>
                <w:color w:val="auto"/>
                <w:w w:val="92"/>
              </w:rPr>
              <w:t>Proposed Maximum</w:t>
            </w:r>
          </w:p>
        </w:tc>
        <w:tc>
          <w:tcPr>
            <w:tcW w:w="2680" w:type="dxa"/>
            <w:vAlign w:val="bottom"/>
          </w:tcPr>
          <w:p>
            <w:pPr>
              <w:spacing w:after="0"/>
              <w:rPr>
                <w:sz w:val="13"/>
                <w:szCs w:val="13"/>
                <w:color w:val="auto"/>
              </w:rPr>
            </w:pPr>
          </w:p>
        </w:tc>
      </w:tr>
      <w:tr>
        <w:trPr>
          <w:trHeight w:val="146"/>
        </w:trPr>
        <w:tc>
          <w:tcPr>
            <w:tcW w:w="5460" w:type="dxa"/>
            <w:vAlign w:val="bottom"/>
          </w:tcPr>
          <w:p>
            <w:pPr>
              <w:spacing w:after="0"/>
              <w:rPr>
                <w:sz w:val="12"/>
                <w:szCs w:val="12"/>
                <w:color w:val="auto"/>
              </w:rPr>
            </w:pPr>
          </w:p>
        </w:tc>
        <w:tc>
          <w:tcPr>
            <w:tcW w:w="3280" w:type="dxa"/>
            <w:vAlign w:val="bottom"/>
          </w:tcPr>
          <w:p>
            <w:pPr>
              <w:jc w:val="center"/>
              <w:ind w:left="269"/>
              <w:spacing w:after="0" w:line="146" w:lineRule="exact"/>
              <w:rPr>
                <w:sz w:val="20"/>
                <w:szCs w:val="20"/>
                <w:color w:val="auto"/>
              </w:rPr>
            </w:pPr>
            <w:r>
              <w:rPr>
                <w:rFonts w:ascii="Arial" w:cs="Arial" w:eastAsia="Arial" w:hAnsi="Arial"/>
                <w:sz w:val="13"/>
                <w:szCs w:val="13"/>
                <w:b w:val="1"/>
                <w:bCs w:val="1"/>
                <w:color w:val="auto"/>
                <w:w w:val="92"/>
              </w:rPr>
              <w:t>Aggregate Offering</w:t>
            </w:r>
          </w:p>
        </w:tc>
        <w:tc>
          <w:tcPr>
            <w:tcW w:w="26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5"/>
              </w:rPr>
              <w:t>Amount of</w:t>
            </w:r>
          </w:p>
        </w:tc>
      </w:tr>
      <w:tr>
        <w:trPr>
          <w:trHeight w:val="170"/>
        </w:trPr>
        <w:tc>
          <w:tcPr>
            <w:tcW w:w="5460" w:type="dxa"/>
            <w:vAlign w:val="bottom"/>
          </w:tcPr>
          <w:p>
            <w:pPr>
              <w:ind w:left="150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3280" w:type="dxa"/>
            <w:vAlign w:val="bottom"/>
          </w:tcPr>
          <w:p>
            <w:pPr>
              <w:jc w:val="center"/>
              <w:ind w:left="269"/>
              <w:spacing w:after="0"/>
              <w:rPr>
                <w:sz w:val="20"/>
                <w:szCs w:val="20"/>
                <w:color w:val="auto"/>
              </w:rPr>
            </w:pPr>
            <w:r>
              <w:rPr>
                <w:rFonts w:ascii="Arial" w:cs="Arial" w:eastAsia="Arial" w:hAnsi="Arial"/>
                <w:sz w:val="13"/>
                <w:szCs w:val="13"/>
                <w:b w:val="1"/>
                <w:bCs w:val="1"/>
                <w:color w:val="auto"/>
                <w:w w:val="96"/>
              </w:rPr>
              <w:t>Price(1)</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2"/>
              </w:rPr>
              <w:t>Registration Fee</w:t>
            </w:r>
          </w:p>
        </w:tc>
      </w:tr>
      <w:tr>
        <w:trPr>
          <w:trHeight w:val="94"/>
        </w:trPr>
        <w:tc>
          <w:tcPr>
            <w:tcW w:w="5460" w:type="dxa"/>
            <w:vAlign w:val="bottom"/>
            <w:tcBorders>
              <w:bottom w:val="single" w:sz="8" w:color="808080"/>
            </w:tcBorders>
          </w:tcPr>
          <w:p>
            <w:pPr>
              <w:spacing w:after="0"/>
              <w:rPr>
                <w:sz w:val="8"/>
                <w:szCs w:val="8"/>
                <w:color w:val="auto"/>
              </w:rPr>
            </w:pPr>
          </w:p>
        </w:tc>
        <w:tc>
          <w:tcPr>
            <w:tcW w:w="32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r>
      <w:tr>
        <w:trPr>
          <w:trHeight w:val="308"/>
        </w:trPr>
        <w:tc>
          <w:tcPr>
            <w:tcW w:w="5460" w:type="dxa"/>
            <w:vAlign w:val="bottom"/>
          </w:tcPr>
          <w:p>
            <w:pPr>
              <w:spacing w:after="0"/>
              <w:rPr>
                <w:sz w:val="20"/>
                <w:szCs w:val="20"/>
                <w:color w:val="auto"/>
              </w:rPr>
            </w:pPr>
            <w:r>
              <w:rPr>
                <w:rFonts w:ascii="Arial" w:cs="Arial" w:eastAsia="Arial" w:hAnsi="Arial"/>
                <w:sz w:val="17"/>
                <w:szCs w:val="17"/>
                <w:color w:val="auto"/>
              </w:rPr>
              <w:t>Common Stock, par value $0.001 per share</w:t>
            </w:r>
          </w:p>
        </w:tc>
        <w:tc>
          <w:tcPr>
            <w:tcW w:w="3280" w:type="dxa"/>
            <w:vAlign w:val="bottom"/>
          </w:tcPr>
          <w:p>
            <w:pPr>
              <w:jc w:val="right"/>
              <w:ind w:right="929"/>
              <w:spacing w:after="0"/>
              <w:rPr>
                <w:sz w:val="20"/>
                <w:szCs w:val="20"/>
                <w:color w:val="auto"/>
              </w:rPr>
            </w:pPr>
            <w:r>
              <w:rPr>
                <w:rFonts w:ascii="Arial" w:cs="Arial" w:eastAsia="Arial" w:hAnsi="Arial"/>
                <w:sz w:val="17"/>
                <w:szCs w:val="17"/>
                <w:color w:val="auto"/>
              </w:rPr>
              <w:t>$138,950,000</w:t>
            </w:r>
          </w:p>
        </w:tc>
        <w:tc>
          <w:tcPr>
            <w:tcW w:w="2680" w:type="dxa"/>
            <w:vAlign w:val="bottom"/>
          </w:tcPr>
          <w:p>
            <w:pPr>
              <w:jc w:val="center"/>
              <w:spacing w:after="0"/>
              <w:rPr>
                <w:sz w:val="20"/>
                <w:szCs w:val="20"/>
                <w:color w:val="auto"/>
              </w:rPr>
            </w:pPr>
            <w:r>
              <w:rPr>
                <w:rFonts w:ascii="Arial" w:cs="Arial" w:eastAsia="Arial" w:hAnsi="Arial"/>
                <w:sz w:val="17"/>
                <w:szCs w:val="17"/>
                <w:color w:val="auto"/>
                <w:w w:val="91"/>
              </w:rPr>
              <w:t>$16,354.42</w:t>
            </w:r>
          </w:p>
        </w:tc>
      </w:tr>
      <w:tr>
        <w:trPr>
          <w:trHeight w:val="109"/>
        </w:trPr>
        <w:tc>
          <w:tcPr>
            <w:tcW w:w="5460" w:type="dxa"/>
            <w:vAlign w:val="bottom"/>
            <w:tcBorders>
              <w:bottom w:val="single" w:sz="8" w:color="808080"/>
            </w:tcBorders>
          </w:tcPr>
          <w:p>
            <w:pPr>
              <w:spacing w:after="0"/>
              <w:rPr>
                <w:sz w:val="9"/>
                <w:szCs w:val="9"/>
                <w:color w:val="auto"/>
              </w:rPr>
            </w:pPr>
          </w:p>
        </w:tc>
        <w:tc>
          <w:tcPr>
            <w:tcW w:w="3280" w:type="dxa"/>
            <w:vAlign w:val="bottom"/>
            <w:tcBorders>
              <w:bottom w:val="single" w:sz="8" w:color="808080"/>
            </w:tcBorders>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r>
      <w:tr>
        <w:trPr>
          <w:trHeight w:val="205"/>
        </w:trPr>
        <w:tc>
          <w:tcPr>
            <w:tcW w:w="5460" w:type="dxa"/>
            <w:vAlign w:val="bottom"/>
            <w:tcBorders>
              <w:bottom w:val="single" w:sz="8" w:color="808080"/>
            </w:tcBorders>
          </w:tcPr>
          <w:p>
            <w:pPr>
              <w:spacing w:after="0"/>
              <w:rPr>
                <w:sz w:val="17"/>
                <w:szCs w:val="17"/>
                <w:color w:val="auto"/>
              </w:rPr>
            </w:pPr>
          </w:p>
        </w:tc>
        <w:tc>
          <w:tcPr>
            <w:tcW w:w="3280" w:type="dxa"/>
            <w:vAlign w:val="bottom"/>
            <w:tcBorders>
              <w:bottom w:val="single" w:sz="8" w:color="808080"/>
            </w:tcBorders>
          </w:tcPr>
          <w:p>
            <w:pPr>
              <w:spacing w:after="0"/>
              <w:rPr>
                <w:sz w:val="17"/>
                <w:szCs w:val="17"/>
                <w:color w:val="auto"/>
              </w:rPr>
            </w:pPr>
          </w:p>
        </w:tc>
        <w:tc>
          <w:tcPr>
            <w:tcW w:w="2680" w:type="dxa"/>
            <w:vAlign w:val="bottom"/>
            <w:tcBorders>
              <w:bottom w:val="single" w:sz="8" w:color="808080"/>
            </w:tcBorders>
          </w:tcPr>
          <w:p>
            <w:pPr>
              <w:spacing w:after="0"/>
              <w:rPr>
                <w:sz w:val="17"/>
                <w:szCs w:val="17"/>
                <w:color w:val="auto"/>
              </w:rPr>
            </w:pPr>
          </w:p>
        </w:tc>
      </w:tr>
    </w:tbl>
    <w:p>
      <w:pPr>
        <w:spacing w:after="0" w:line="309" w:lineRule="exact"/>
        <w:rPr>
          <w:sz w:val="20"/>
          <w:szCs w:val="20"/>
          <w:color w:val="auto"/>
        </w:rPr>
      </w:pPr>
    </w:p>
    <w:p>
      <w:pPr>
        <w:ind w:left="340" w:right="180" w:hanging="334"/>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purposes of calculating the registration fee under Rule 457(c) under the Securities Act, based on the average of the high and low prices of the common stock on the Nasdaq National Market on January 12,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113030</wp:posOffset>
            </wp:positionV>
            <wp:extent cx="19069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94" w:lineRule="exact"/>
        <w:rPr>
          <w:sz w:val="20"/>
          <w:szCs w:val="20"/>
          <w:color w:val="auto"/>
        </w:rPr>
      </w:pPr>
    </w:p>
    <w:p>
      <w:pPr>
        <w:ind w:right="200" w:firstLine="265"/>
        <w:spacing w:after="0" w:line="27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6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196215</wp:posOffset>
            </wp:positionV>
            <wp:extent cx="7266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336550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57" w:right="239" w:bottom="1440" w:gutter="0" w:footer="0" w:header="0"/>
        </w:sectPr>
      </w:pPr>
    </w:p>
    <w:bookmarkStart w:id="3" w:name="page4"/>
    <w:bookmarkEnd w:id="3"/>
    <w:p>
      <w:pPr>
        <w:ind w:left="120" w:right="300"/>
        <w:spacing w:after="0" w:line="276" w:lineRule="auto"/>
        <w:rPr>
          <w:sz w:val="20"/>
          <w:szCs w:val="20"/>
          <w:color w:val="auto"/>
        </w:rPr>
      </w:pPr>
      <w:r>
        <w:rPr>
          <w:rFonts w:ascii="Arial" w:cs="Arial" w:eastAsia="Arial" w:hAnsi="Arial"/>
          <w:sz w:val="17"/>
          <w:szCs w:val="17"/>
          <w:b w:val="1"/>
          <w:bCs w:val="1"/>
          <w:color w:val="A32638"/>
        </w:rPr>
        <w:drawing>
          <wp:anchor simplePos="0" relativeHeight="251657728" behindDoc="1" locked="0" layoutInCell="0" allowOverlap="1">
            <wp:simplePos x="0" y="0"/>
            <wp:positionH relativeFrom="page">
              <wp:posOffset>143510</wp:posOffset>
            </wp:positionH>
            <wp:positionV relativeFrom="page">
              <wp:posOffset>580390</wp:posOffset>
            </wp:positionV>
            <wp:extent cx="7274560" cy="579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579755"/>
                    </a:xfrm>
                    <a:prstGeom prst="rect">
                      <a:avLst/>
                    </a:prstGeom>
                    <a:noFill/>
                  </pic:spPr>
                </pic:pic>
              </a:graphicData>
            </a:graphic>
          </wp:anchor>
        </w:drawing>
        <w:t>The information in this prospectus is not complete and may be changed. We may not sell these securities until the registration statement filed with the SEC is effective. This prospectus is not an offer to sell these securities, and we are not soliciting an offer to buy these securities in any state where the offer or sale is not permitted.</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32638"/>
        </w:rPr>
        <w:t>Subject to completion, dated January 18, 2005</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Prospectus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10,000,000 shares</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BLACKBAUD, INC.</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Common stock</w:t>
      </w:r>
    </w:p>
    <w:p>
      <w:pPr>
        <w:spacing w:after="0" w:line="23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prospectus relates to the offer and sale from time to time of up to an aggregate of 10,000,000 shares of our common stock for the account of the selling stockholders named in this prospectus. The selling stockholders may sell the common stock from time to time in public transactions or in privately negotiated transactions, without limitation, through any means described in the section hereof entitled “Plan of Distribution”, at market prices prevailing at the time of sale or at negotiated prices. The timing and amount of any sale are within the sole discretion of the selling stockholders.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common stock is listed on the Nasdaq National Market under the symbol “BLKB”. On January 14, 2005, the last reported sale price of our common stock on the Nasdaq National Market was $13.75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You should read this prospectus and any prospectus supplement carefully before you invest. See “Where You Can Find More Information” for more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See “Risk factors” beginning on page 6 to read about factors you should consider before buying shares of our common stock.</w:t>
      </w:r>
    </w:p>
    <w:p>
      <w:pPr>
        <w:spacing w:after="0" w:line="228" w:lineRule="exact"/>
        <w:rPr>
          <w:sz w:val="20"/>
          <w:szCs w:val="20"/>
          <w:color w:val="auto"/>
        </w:rPr>
      </w:pPr>
    </w:p>
    <w:p>
      <w:pPr>
        <w:ind w:right="660"/>
        <w:spacing w:after="0" w:line="293" w:lineRule="auto"/>
        <w:rPr>
          <w:sz w:val="20"/>
          <w:szCs w:val="20"/>
          <w:color w:val="auto"/>
        </w:rPr>
      </w:pPr>
      <w:r>
        <w:rPr>
          <w:rFonts w:ascii="Arial" w:cs="Arial" w:eastAsia="Arial" w:hAnsi="Arial"/>
          <w:sz w:val="17"/>
          <w:szCs w:val="17"/>
          <w:b w:val="1"/>
          <w:bCs w:val="1"/>
          <w:color w:val="auto"/>
        </w:rPr>
        <w:t>Neither the SEC nor any state securities commission has approved or disapproved of these securities or passed on the adequacy or accuracy of this prospectus. Any representation to the contrary is a criminal offense.</w:t>
      </w:r>
    </w:p>
    <w:p>
      <w:pPr>
        <w:spacing w:after="0" w:line="151"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038" w:right="279" w:bottom="1440" w:gutter="0" w:footer="0" w:header="0"/>
        </w:sectPr>
      </w:pPr>
    </w:p>
    <w:bookmarkStart w:id="4" w:name="page5"/>
    <w:bookmarkEnd w:id="4"/>
    <w:tbl>
      <w:tblPr>
        <w:tblLayout w:type="fixed"/>
        <w:tblInd w:w="1100" w:type="dxa"/>
        <w:tblCellMar>
          <w:top w:w="0" w:type="dxa"/>
          <w:left w:w="0" w:type="dxa"/>
          <w:bottom w:w="0" w:type="dxa"/>
          <w:right w:w="0" w:type="dxa"/>
        </w:tblCellMar>
      </w:tblPr>
      <w:tr>
        <w:trPr>
          <w:trHeight w:val="308"/>
        </w:trPr>
        <w:tc>
          <w:tcPr>
            <w:tcW w:w="6180" w:type="dxa"/>
            <w:vAlign w:val="bottom"/>
          </w:tcPr>
          <w:p>
            <w:pPr>
              <w:ind w:left="2560"/>
              <w:spacing w:after="0"/>
              <w:rPr>
                <w:sz w:val="20"/>
                <w:szCs w:val="20"/>
                <w:color w:val="auto"/>
              </w:rPr>
            </w:pPr>
            <w:r>
              <w:rPr>
                <w:rFonts w:ascii="Arial" w:cs="Arial" w:eastAsia="Arial" w:hAnsi="Arial"/>
                <w:sz w:val="24"/>
                <w:szCs w:val="24"/>
                <w:b w:val="1"/>
                <w:bCs w:val="1"/>
                <w:color w:val="auto"/>
              </w:rPr>
              <w:t>Table of contents</w:t>
            </w:r>
          </w:p>
        </w:tc>
        <w:tc>
          <w:tcPr>
            <w:tcW w:w="660" w:type="dxa"/>
            <w:vAlign w:val="bottom"/>
          </w:tcPr>
          <w:p>
            <w:pPr>
              <w:spacing w:after="0"/>
              <w:rPr>
                <w:sz w:val="24"/>
                <w:szCs w:val="24"/>
                <w:color w:val="auto"/>
              </w:rPr>
            </w:pPr>
          </w:p>
        </w:tc>
      </w:tr>
      <w:tr>
        <w:trPr>
          <w:trHeight w:val="565"/>
        </w:trPr>
        <w:tc>
          <w:tcPr>
            <w:tcW w:w="6180" w:type="dxa"/>
            <w:vAlign w:val="bottom"/>
          </w:tcPr>
          <w:p>
            <w:pPr>
              <w:spacing w:after="0"/>
              <w:rPr>
                <w:sz w:val="24"/>
                <w:szCs w:val="24"/>
                <w:color w:val="auto"/>
              </w:rPr>
            </w:pPr>
          </w:p>
        </w:tc>
        <w:tc>
          <w:tcPr>
            <w:tcW w:w="660" w:type="dxa"/>
            <w:vAlign w:val="bottom"/>
          </w:tcPr>
          <w:p>
            <w:pPr>
              <w:jc w:val="right"/>
              <w:ind w:right="35"/>
              <w:spacing w:after="0"/>
              <w:rPr>
                <w:sz w:val="20"/>
                <w:szCs w:val="20"/>
                <w:color w:val="auto"/>
              </w:rPr>
            </w:pPr>
            <w:r>
              <w:rPr>
                <w:rFonts w:ascii="Arial" w:cs="Arial" w:eastAsia="Arial" w:hAnsi="Arial"/>
                <w:sz w:val="13"/>
                <w:szCs w:val="13"/>
                <w:b w:val="1"/>
                <w:bCs w:val="1"/>
                <w:color w:val="auto"/>
              </w:rPr>
              <w:t>Page</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Prospectus summary</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1</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Risk factors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6</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Forward-looking statements</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22</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Use of proceeds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23</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Dividend policy</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23</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Capitalization</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24</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Dilution</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24</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Selected consolidated financial data</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25</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w w:val="95"/>
              </w:rPr>
              <w:t>Management’s discussion and analysis of financial condition and results of operations</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27</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Business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49</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Management</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66</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Principal and selling stockholders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75</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Certain relationships and related transactions</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79</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Description of capital stock</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80</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U.S. federal tax considerations for non-U.S. holders of common stock</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84</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Plan of distribution</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87</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Legal matters</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89</w:t>
            </w:r>
          </w:p>
        </w:tc>
      </w:tr>
      <w:tr>
        <w:trPr>
          <w:trHeight w:val="212"/>
        </w:trPr>
        <w:tc>
          <w:tcPr>
            <w:tcW w:w="6180" w:type="dxa"/>
            <w:vAlign w:val="bottom"/>
          </w:tcPr>
          <w:p>
            <w:pPr>
              <w:spacing w:after="0"/>
              <w:rPr>
                <w:sz w:val="20"/>
                <w:szCs w:val="20"/>
                <w:color w:val="auto"/>
              </w:rPr>
            </w:pPr>
            <w:r>
              <w:rPr>
                <w:rFonts w:ascii="Arial" w:cs="Arial" w:eastAsia="Arial" w:hAnsi="Arial"/>
                <w:sz w:val="17"/>
                <w:szCs w:val="17"/>
                <w:color w:val="auto"/>
              </w:rPr>
              <w:t>Experts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89</w:t>
            </w:r>
          </w:p>
        </w:tc>
      </w:tr>
      <w:tr>
        <w:trPr>
          <w:trHeight w:val="212"/>
        </w:trPr>
        <w:tc>
          <w:tcPr>
            <w:tcW w:w="6180" w:type="dxa"/>
            <w:vAlign w:val="bottom"/>
            <w:shd w:val="clear" w:color="auto" w:fill="EEEEEE"/>
          </w:tcPr>
          <w:p>
            <w:pPr>
              <w:spacing w:after="0"/>
              <w:rPr>
                <w:sz w:val="20"/>
                <w:szCs w:val="20"/>
                <w:color w:val="auto"/>
              </w:rPr>
            </w:pPr>
            <w:r>
              <w:rPr>
                <w:rFonts w:ascii="Arial" w:cs="Arial" w:eastAsia="Arial" w:hAnsi="Arial"/>
                <w:sz w:val="17"/>
                <w:szCs w:val="17"/>
                <w:color w:val="auto"/>
              </w:rPr>
              <w:t>Where you can find more information</w:t>
            </w:r>
          </w:p>
        </w:tc>
        <w:tc>
          <w:tcPr>
            <w:tcW w:w="66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89</w:t>
            </w:r>
          </w:p>
        </w:tc>
      </w:tr>
      <w:tr>
        <w:trPr>
          <w:trHeight w:val="217"/>
        </w:trPr>
        <w:tc>
          <w:tcPr>
            <w:tcW w:w="6180" w:type="dxa"/>
            <w:vAlign w:val="bottom"/>
          </w:tcPr>
          <w:p>
            <w:pPr>
              <w:spacing w:after="0"/>
              <w:rPr>
                <w:sz w:val="20"/>
                <w:szCs w:val="20"/>
                <w:color w:val="auto"/>
              </w:rPr>
            </w:pPr>
            <w:r>
              <w:rPr>
                <w:rFonts w:ascii="Arial" w:cs="Arial" w:eastAsia="Arial" w:hAnsi="Arial"/>
                <w:sz w:val="17"/>
                <w:szCs w:val="17"/>
                <w:color w:val="auto"/>
              </w:rPr>
              <w:t>Index to consolidated financial statements</w:t>
            </w:r>
          </w:p>
        </w:tc>
        <w:tc>
          <w:tcPr>
            <w:tcW w:w="660" w:type="dxa"/>
            <w:vAlign w:val="bottom"/>
          </w:tcPr>
          <w:p>
            <w:pPr>
              <w:jc w:val="right"/>
              <w:ind w:right="55"/>
              <w:spacing w:after="0"/>
              <w:rPr>
                <w:sz w:val="20"/>
                <w:szCs w:val="20"/>
                <w:color w:val="auto"/>
              </w:rPr>
            </w:pPr>
            <w:r>
              <w:rPr>
                <w:rFonts w:ascii="Arial" w:cs="Arial" w:eastAsia="Arial" w:hAnsi="Arial"/>
                <w:sz w:val="17"/>
                <w:szCs w:val="17"/>
                <w:color w:val="auto"/>
              </w:rPr>
              <w:t>F-1</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147955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5" w:name="page6"/>
    <w:bookmarkEnd w:id="5"/>
    <w:p>
      <w:pPr>
        <w:jc w:val="center"/>
        <w:ind w:right="-81"/>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573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3930" cy="5573395"/>
                    </a:xfrm>
                    <a:prstGeom prst="rect">
                      <a:avLst/>
                    </a:prstGeom>
                    <a:noFill/>
                  </pic:spPr>
                </pic:pic>
              </a:graphicData>
            </a:graphic>
          </wp:anchor>
        </w:drawing>
        <w:t>Prospectus summary</w:t>
      </w:r>
    </w:p>
    <w:p>
      <w:pPr>
        <w:spacing w:after="0" w:line="232" w:lineRule="exact"/>
        <w:rPr>
          <w:sz w:val="20"/>
          <w:szCs w:val="20"/>
          <w:color w:val="auto"/>
        </w:rPr>
      </w:pPr>
    </w:p>
    <w:p>
      <w:pPr>
        <w:ind w:left="2" w:right="20"/>
        <w:spacing w:after="0" w:line="273"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the information you should consider before investing in shares of our common stock. You should read this entire prospectus carefully, including “Risk factors” beginning on page 6 and our consolidated financial statements and the related notes thereto, before making an investment decision.</w:t>
      </w:r>
    </w:p>
    <w:p>
      <w:pPr>
        <w:spacing w:after="0" w:line="161"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Blackbaud, Inc.</w:t>
      </w:r>
    </w:p>
    <w:p>
      <w:pPr>
        <w:spacing w:after="0" w:line="227" w:lineRule="exact"/>
        <w:rPr>
          <w:sz w:val="20"/>
          <w:szCs w:val="20"/>
          <w:color w:val="auto"/>
        </w:rPr>
      </w:pPr>
    </w:p>
    <w:p>
      <w:pPr>
        <w:ind w:left="2"/>
        <w:spacing w:after="0" w:line="284" w:lineRule="auto"/>
        <w:rPr>
          <w:sz w:val="20"/>
          <w:szCs w:val="20"/>
          <w:color w:val="auto"/>
        </w:rPr>
      </w:pPr>
      <w:r>
        <w:rPr>
          <w:rFonts w:ascii="Arial" w:cs="Arial" w:eastAsia="Arial" w:hAnsi="Arial"/>
          <w:sz w:val="16"/>
          <w:szCs w:val="16"/>
          <w:color w:val="auto"/>
        </w:rPr>
        <w:t>We are the leading global provider of software and related services designed specifically for nonprofit organizations. Our products and services enable nonprofit organizations to increase donations, reduce fundraising costs, improve communications with constituents, manage their finances and optimize internal operations. W have focused solely on the nonprofit market since our incorporation in 1982 and have developed our suite of products and services based upon our extensive knowledge of the operating challenges facing nonprofit organizations. In 2004, we had over 12,700 customers, over 12,300 of which pay us annual maintenance and support fees. Our customers operate in multiple verticals within the nonprofit market including religion, education, foundations, health and human services, arts and cultural, public and societal benefits, environment and animal welfare, and international and foreign affairs.</w:t>
      </w:r>
    </w:p>
    <w:p>
      <w:pPr>
        <w:spacing w:after="0" w:line="156"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Industry</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7"/>
          <w:szCs w:val="17"/>
          <w:color w:val="auto"/>
        </w:rPr>
        <w:t>Nonprofit organizations are a large part of the U.S. economy, employing one out of every ten Americans. There were greater than 1.5 million registered</w:t>
      </w:r>
    </w:p>
    <w:p>
      <w:pPr>
        <w:spacing w:after="0" w:line="22" w:lineRule="exact"/>
        <w:rPr>
          <w:sz w:val="20"/>
          <w:szCs w:val="20"/>
          <w:color w:val="auto"/>
        </w:rPr>
      </w:pPr>
    </w:p>
    <w:p>
      <w:pPr>
        <w:ind w:left="2"/>
        <w:spacing w:after="0" w:line="266" w:lineRule="auto"/>
        <w:rPr>
          <w:sz w:val="20"/>
          <w:szCs w:val="20"/>
          <w:color w:val="auto"/>
        </w:rPr>
      </w:pPr>
      <w:r>
        <w:rPr>
          <w:rFonts w:ascii="Arial" w:cs="Arial" w:eastAsia="Arial" w:hAnsi="Arial"/>
          <w:sz w:val="17"/>
          <w:szCs w:val="17"/>
          <w:color w:val="auto"/>
        </w:rPr>
        <w:t>U.S. nonprofit organizations in 2003 according to data from the Internal Revenue Service. In addition, there are greater than 1.5 million nonprofit organizations outside the United States. Donations to nonprofit organizations in the United States were $241 billion in 2003, having increased almost every year since 1962, with a compound annual growth rate over that period of 7.8%, according to Giving USA. In addition, these organizations received fees of approximately $600 billion in the twelve months prior to December 2003 for services they provided.</w:t>
      </w:r>
    </w:p>
    <w:p>
      <w:pPr>
        <w:spacing w:after="0" w:line="186" w:lineRule="exact"/>
        <w:rPr>
          <w:sz w:val="20"/>
          <w:szCs w:val="20"/>
          <w:color w:val="auto"/>
        </w:rPr>
      </w:pPr>
    </w:p>
    <w:p>
      <w:pPr>
        <w:ind w:left="2" w:right="20"/>
        <w:spacing w:after="0" w:line="286" w:lineRule="auto"/>
        <w:rPr>
          <w:sz w:val="20"/>
          <w:szCs w:val="20"/>
          <w:color w:val="auto"/>
        </w:rPr>
      </w:pPr>
      <w:r>
        <w:rPr>
          <w:rFonts w:ascii="Arial" w:cs="Arial" w:eastAsia="Arial" w:hAnsi="Arial"/>
          <w:sz w:val="16"/>
          <w:szCs w:val="16"/>
          <w:color w:val="auto"/>
        </w:rPr>
        <w:t>Nonprofit organizations often utilize methods of fundraising that are costly and inefficient, largely because of the difficulties in effectively collecting, sharing and using information. Fundraising and administration costs are significant, with the fundraising component alone amounting to more than $0.24 for each dollar donated based on our market research. Furthermore, nonprofit organizations face distinct operational challenges, such as soliciting contributions from numerous contributors and complying with unique accounting, tax and reporting issues. Because of these fundraising costs and operational challenges, we believe nonprofit organizations can benefit from software applications and services specifically designed to serve their particular needs.</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Our products and services</w:t>
      </w:r>
    </w:p>
    <w:p>
      <w:pPr>
        <w:spacing w:after="0" w:line="227" w:lineRule="exact"/>
        <w:rPr>
          <w:sz w:val="20"/>
          <w:szCs w:val="20"/>
          <w:color w:val="auto"/>
        </w:rPr>
      </w:pPr>
    </w:p>
    <w:p>
      <w:pPr>
        <w:ind w:left="2"/>
        <w:spacing w:after="0"/>
        <w:rPr>
          <w:sz w:val="20"/>
          <w:szCs w:val="20"/>
          <w:color w:val="auto"/>
        </w:rPr>
      </w:pPr>
      <w:r>
        <w:rPr>
          <w:rFonts w:ascii="Arial" w:cs="Arial" w:eastAsia="Arial" w:hAnsi="Arial"/>
          <w:sz w:val="17"/>
          <w:szCs w:val="17"/>
          <w:color w:val="auto"/>
        </w:rPr>
        <w:t>Our suite of products and services includes:</w:t>
      </w:r>
    </w:p>
    <w:p>
      <w:pPr>
        <w:spacing w:after="0" w:line="222" w:lineRule="exact"/>
        <w:rPr>
          <w:sz w:val="20"/>
          <w:szCs w:val="20"/>
          <w:color w:val="auto"/>
        </w:rPr>
      </w:pPr>
    </w:p>
    <w:p>
      <w:pPr>
        <w:ind w:left="242" w:right="300" w:hanging="242"/>
        <w:spacing w:after="0" w:line="293" w:lineRule="auto"/>
        <w:tabs>
          <w:tab w:leader="none" w:pos="242"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The Raiser’s Edge</w:t>
      </w:r>
      <w:r>
        <w:rPr>
          <w:rFonts w:ascii="Arial" w:cs="Arial" w:eastAsia="Arial" w:hAnsi="Arial"/>
          <w:sz w:val="17"/>
          <w:szCs w:val="17"/>
          <w:color w:val="auto"/>
        </w:rPr>
        <w:t>®, a complete fundraising software solution that helps nonprofit organizations improve relationships with their donors and constituents to</w:t>
      </w:r>
      <w:r>
        <w:rPr>
          <w:rFonts w:ascii="Arial" w:cs="Arial" w:eastAsia="Arial" w:hAnsi="Arial"/>
          <w:sz w:val="17"/>
          <w:szCs w:val="17"/>
          <w:b w:val="1"/>
          <w:bCs w:val="1"/>
          <w:color w:val="auto"/>
        </w:rPr>
        <w:t xml:space="preserve"> </w:t>
      </w:r>
      <w:r>
        <w:rPr>
          <w:rFonts w:ascii="Arial" w:cs="Arial" w:eastAsia="Arial" w:hAnsi="Arial"/>
          <w:sz w:val="17"/>
          <w:szCs w:val="17"/>
          <w:color w:val="auto"/>
        </w:rPr>
        <w:t>more effectively raise money;</w:t>
      </w:r>
    </w:p>
    <w:p>
      <w:pPr>
        <w:spacing w:after="0" w:line="184" w:lineRule="exact"/>
        <w:rPr>
          <w:rFonts w:ascii="Arial" w:cs="Arial" w:eastAsia="Arial" w:hAnsi="Arial"/>
          <w:sz w:val="17"/>
          <w:szCs w:val="17"/>
          <w:color w:val="auto"/>
        </w:rPr>
      </w:pPr>
    </w:p>
    <w:p>
      <w:pPr>
        <w:ind w:left="242" w:hanging="242"/>
        <w:spacing w:after="0"/>
        <w:tabs>
          <w:tab w:leader="none" w:pos="242"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The Financial Edge™</w:t>
      </w:r>
      <w:r>
        <w:rPr>
          <w:rFonts w:ascii="Arial" w:cs="Arial" w:eastAsia="Arial" w:hAnsi="Arial"/>
          <w:sz w:val="17"/>
          <w:szCs w:val="17"/>
          <w:color w:val="auto"/>
        </w:rPr>
        <w:t>, a complete financial management solution that addresses the specific fund accounting needs of nonprofit organizations;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58"/>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147955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290" w:right="139" w:bottom="1440" w:gutter="0" w:footer="0" w:header="0"/>
        </w:sectPr>
      </w:pPr>
    </w:p>
    <w:bookmarkStart w:id="6" w:name="page7"/>
    <w:bookmarkEnd w:id="6"/>
    <w:p>
      <w:pPr>
        <w:ind w:left="242" w:hanging="242"/>
        <w:spacing w:after="0"/>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5651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930" cy="5565140"/>
                    </a:xfrm>
                    <a:prstGeom prst="rect">
                      <a:avLst/>
                    </a:prstGeom>
                    <a:noFill/>
                  </pic:spPr>
                </pic:pic>
              </a:graphicData>
            </a:graphic>
          </wp:anchor>
        </w:drawing>
        <w:t>The Education Edge™</w:t>
      </w:r>
      <w:r>
        <w:rPr>
          <w:rFonts w:ascii="Arial" w:cs="Arial" w:eastAsia="Arial" w:hAnsi="Arial"/>
          <w:sz w:val="17"/>
          <w:szCs w:val="17"/>
          <w:color w:val="auto"/>
        </w:rPr>
        <w:t>, a student information management software suite designed primarily for K-12 independent schools;</w:t>
      </w:r>
    </w:p>
    <w:p>
      <w:pPr>
        <w:spacing w:after="0" w:line="254" w:lineRule="exact"/>
        <w:rPr>
          <w:rFonts w:ascii="Arial" w:cs="Arial" w:eastAsia="Arial" w:hAnsi="Arial"/>
          <w:sz w:val="17"/>
          <w:szCs w:val="17"/>
          <w:color w:val="auto"/>
        </w:rPr>
      </w:pPr>
    </w:p>
    <w:p>
      <w:pPr>
        <w:ind w:left="242" w:hanging="242"/>
        <w:spacing w:after="0"/>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The Patron Edge™</w:t>
      </w:r>
      <w:r>
        <w:rPr>
          <w:rFonts w:ascii="Arial" w:cs="Arial" w:eastAsia="Arial" w:hAnsi="Arial"/>
          <w:sz w:val="17"/>
          <w:szCs w:val="17"/>
          <w:color w:val="auto"/>
        </w:rPr>
        <w:t>, a comprehensive ticketing management solution that streamlines ticketing, marketing, staffing and other administrative tasks;</w:t>
      </w:r>
    </w:p>
    <w:p>
      <w:pPr>
        <w:spacing w:after="0" w:line="254" w:lineRule="exact"/>
        <w:rPr>
          <w:rFonts w:ascii="Arial" w:cs="Arial" w:eastAsia="Arial" w:hAnsi="Arial"/>
          <w:sz w:val="17"/>
          <w:szCs w:val="17"/>
          <w:color w:val="auto"/>
        </w:rPr>
      </w:pPr>
    </w:p>
    <w:p>
      <w:pPr>
        <w:ind w:left="242" w:hanging="242"/>
        <w:spacing w:after="0"/>
        <w:tabs>
          <w:tab w:leader="none" w:pos="242"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The Information Edge™</w:t>
      </w:r>
      <w:r>
        <w:rPr>
          <w:rFonts w:ascii="Arial" w:cs="Arial" w:eastAsia="Arial" w:hAnsi="Arial"/>
          <w:sz w:val="15"/>
          <w:szCs w:val="15"/>
          <w:color w:val="auto"/>
        </w:rPr>
        <w:t>, a comprehensive business intelligence application that extracts, aggregates and analyzes data to improve strategic decision making;</w:t>
      </w:r>
    </w:p>
    <w:p>
      <w:pPr>
        <w:spacing w:after="0" w:line="277" w:lineRule="exact"/>
        <w:rPr>
          <w:rFonts w:ascii="Arial" w:cs="Arial" w:eastAsia="Arial" w:hAnsi="Arial"/>
          <w:sz w:val="15"/>
          <w:szCs w:val="15"/>
          <w:color w:val="auto"/>
        </w:rPr>
      </w:pPr>
    </w:p>
    <w:p>
      <w:pPr>
        <w:ind w:left="242" w:hanging="242"/>
        <w:spacing w:after="0" w:line="293" w:lineRule="auto"/>
        <w:tabs>
          <w:tab w:leader="none" w:pos="242"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ProspectPoint™ </w:t>
      </w:r>
      <w:r>
        <w:rPr>
          <w:rFonts w:ascii="Arial" w:cs="Arial" w:eastAsia="Arial" w:hAnsi="Arial"/>
          <w:sz w:val="17"/>
          <w:szCs w:val="17"/>
          <w:color w:val="auto"/>
        </w:rPr>
        <w:t>and</w:t>
      </w:r>
      <w:r>
        <w:rPr>
          <w:rFonts w:ascii="Arial" w:cs="Arial" w:eastAsia="Arial" w:hAnsi="Arial"/>
          <w:sz w:val="17"/>
          <w:szCs w:val="17"/>
          <w:b w:val="1"/>
          <w:bCs w:val="1"/>
          <w:color w:val="auto"/>
        </w:rPr>
        <w:t xml:space="preserve"> WealthPoint™</w:t>
      </w:r>
      <w:r>
        <w:rPr>
          <w:rFonts w:ascii="Arial" w:cs="Arial" w:eastAsia="Arial" w:hAnsi="Arial"/>
          <w:sz w:val="17"/>
          <w:szCs w:val="17"/>
          <w:color w:val="auto"/>
        </w:rPr>
        <w:t>, services that use custom statistical models developed by us to more effectively analyze customer databases to better target</w:t>
      </w:r>
      <w:r>
        <w:rPr>
          <w:rFonts w:ascii="Arial" w:cs="Arial" w:eastAsia="Arial" w:hAnsi="Arial"/>
          <w:sz w:val="17"/>
          <w:szCs w:val="17"/>
          <w:b w:val="1"/>
          <w:bCs w:val="1"/>
          <w:color w:val="auto"/>
        </w:rPr>
        <w:t xml:space="preserve"> </w:t>
      </w:r>
      <w:r>
        <w:rPr>
          <w:rFonts w:ascii="Arial" w:cs="Arial" w:eastAsia="Arial" w:hAnsi="Arial"/>
          <w:sz w:val="17"/>
          <w:szCs w:val="17"/>
          <w:color w:val="auto"/>
        </w:rPr>
        <w:t>and build more productive relationships with their key constituents; and</w:t>
      </w:r>
    </w:p>
    <w:p>
      <w:pPr>
        <w:spacing w:after="0" w:line="184" w:lineRule="exact"/>
        <w:rPr>
          <w:rFonts w:ascii="Arial" w:cs="Arial" w:eastAsia="Arial" w:hAnsi="Arial"/>
          <w:sz w:val="17"/>
          <w:szCs w:val="17"/>
          <w:color w:val="auto"/>
        </w:rPr>
      </w:pPr>
    </w:p>
    <w:p>
      <w:pPr>
        <w:ind w:left="242" w:hanging="242"/>
        <w:spacing w:after="0"/>
        <w:tabs>
          <w:tab w:leader="none" w:pos="24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NetCommunity™ and NetSolutions™</w:t>
      </w:r>
      <w:r>
        <w:rPr>
          <w:rFonts w:ascii="Arial" w:cs="Arial" w:eastAsia="Arial" w:hAnsi="Arial"/>
          <w:sz w:val="16"/>
          <w:szCs w:val="16"/>
          <w:color w:val="auto"/>
        </w:rPr>
        <w:t>, internet applications that enable our customers to establish online communities and conduct online fundraising.</w:t>
      </w:r>
    </w:p>
    <w:p>
      <w:pPr>
        <w:spacing w:after="0" w:line="245" w:lineRule="exact"/>
        <w:rPr>
          <w:sz w:val="20"/>
          <w:szCs w:val="20"/>
          <w:color w:val="auto"/>
        </w:rPr>
      </w:pPr>
    </w:p>
    <w:p>
      <w:pPr>
        <w:ind w:left="2" w:right="40"/>
        <w:spacing w:after="0" w:line="268" w:lineRule="auto"/>
        <w:rPr>
          <w:sz w:val="20"/>
          <w:szCs w:val="20"/>
          <w:color w:val="auto"/>
        </w:rPr>
      </w:pPr>
      <w:r>
        <w:rPr>
          <w:rFonts w:ascii="Arial" w:cs="Arial" w:eastAsia="Arial" w:hAnsi="Arial"/>
          <w:sz w:val="17"/>
          <w:szCs w:val="17"/>
          <w:color w:val="auto"/>
        </w:rPr>
        <w:t>We have web-enabled most of our applications to allow our customers to access them over the Internet. We also offer a variety of Internet applications and consultin services that allow nonprofit organizations to leverage the Internet for online fundraising and other important operations. In addition, we provide a broad range of services, including implementation, business process improvement, training and education services, and maintenance and technical support to enable our customers to more effectively run their organizations.</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Our strategy</w:t>
      </w:r>
    </w:p>
    <w:p>
      <w:pPr>
        <w:spacing w:after="0" w:line="227" w:lineRule="exact"/>
        <w:rPr>
          <w:sz w:val="20"/>
          <w:szCs w:val="20"/>
          <w:color w:val="auto"/>
        </w:rPr>
      </w:pPr>
    </w:p>
    <w:p>
      <w:pPr>
        <w:ind w:left="2" w:right="40"/>
        <w:spacing w:after="0" w:line="286" w:lineRule="auto"/>
        <w:rPr>
          <w:sz w:val="20"/>
          <w:szCs w:val="20"/>
          <w:color w:val="auto"/>
        </w:rPr>
      </w:pPr>
      <w:r>
        <w:rPr>
          <w:rFonts w:ascii="Arial" w:cs="Arial" w:eastAsia="Arial" w:hAnsi="Arial"/>
          <w:sz w:val="17"/>
          <w:szCs w:val="17"/>
          <w:color w:val="auto"/>
        </w:rPr>
        <w:t>Our objective is to maintain and leverage our position as the leading provider of software and related services designed specifically for nonprofit organizations. Key elements of our strategy to achieve this objective are to:</w:t>
      </w:r>
    </w:p>
    <w:p>
      <w:pPr>
        <w:spacing w:after="0" w:line="169" w:lineRule="exact"/>
        <w:rPr>
          <w:sz w:val="20"/>
          <w:szCs w:val="20"/>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grow our customer base;</w:t>
      </w:r>
    </w:p>
    <w:p>
      <w:pPr>
        <w:spacing w:after="0" w:line="21" w:lineRule="exact"/>
        <w:rPr>
          <w:rFonts w:ascii="Arial" w:cs="Arial" w:eastAsia="Arial" w:hAnsi="Arial"/>
          <w:sz w:val="17"/>
          <w:szCs w:val="17"/>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maintain and expand existing customer relationships;</w:t>
      </w:r>
    </w:p>
    <w:p>
      <w:pPr>
        <w:spacing w:after="0" w:line="16" w:lineRule="exact"/>
        <w:rPr>
          <w:rFonts w:ascii="Arial" w:cs="Arial" w:eastAsia="Arial" w:hAnsi="Arial"/>
          <w:sz w:val="17"/>
          <w:szCs w:val="17"/>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introduce additional products and services;</w:t>
      </w:r>
    </w:p>
    <w:p>
      <w:pPr>
        <w:spacing w:after="0" w:line="16" w:lineRule="exact"/>
        <w:rPr>
          <w:rFonts w:ascii="Arial" w:cs="Arial" w:eastAsia="Arial" w:hAnsi="Arial"/>
          <w:sz w:val="17"/>
          <w:szCs w:val="17"/>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leverage the Internet as a means of additional growth;</w:t>
      </w:r>
    </w:p>
    <w:p>
      <w:pPr>
        <w:spacing w:after="0" w:line="16" w:lineRule="exact"/>
        <w:rPr>
          <w:rFonts w:ascii="Arial" w:cs="Arial" w:eastAsia="Arial" w:hAnsi="Arial"/>
          <w:sz w:val="17"/>
          <w:szCs w:val="17"/>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expand international presence; and</w:t>
      </w:r>
    </w:p>
    <w:p>
      <w:pPr>
        <w:spacing w:after="0" w:line="16" w:lineRule="exact"/>
        <w:rPr>
          <w:rFonts w:ascii="Arial" w:cs="Arial" w:eastAsia="Arial" w:hAnsi="Arial"/>
          <w:sz w:val="17"/>
          <w:szCs w:val="17"/>
          <w:color w:val="auto"/>
        </w:rPr>
      </w:pPr>
    </w:p>
    <w:p>
      <w:pPr>
        <w:ind w:left="242" w:hanging="242"/>
        <w:spacing w:after="0"/>
        <w:tabs>
          <w:tab w:leader="none" w:pos="242"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pursue strategic acquisitions and alliances.</w:t>
      </w:r>
    </w:p>
    <w:p>
      <w:pPr>
        <w:spacing w:after="0" w:line="203"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Sales and marketing</w:t>
      </w:r>
    </w:p>
    <w:p>
      <w:pPr>
        <w:spacing w:after="0" w:line="227" w:lineRule="exact"/>
        <w:rPr>
          <w:sz w:val="20"/>
          <w:szCs w:val="20"/>
          <w:color w:val="auto"/>
        </w:rPr>
      </w:pPr>
    </w:p>
    <w:p>
      <w:pPr>
        <w:ind w:left="2" w:right="180"/>
        <w:spacing w:after="0" w:line="325" w:lineRule="auto"/>
        <w:rPr>
          <w:sz w:val="20"/>
          <w:szCs w:val="20"/>
          <w:color w:val="auto"/>
        </w:rPr>
      </w:pPr>
      <w:r>
        <w:rPr>
          <w:rFonts w:ascii="Arial" w:cs="Arial" w:eastAsia="Arial" w:hAnsi="Arial"/>
          <w:sz w:val="15"/>
          <w:szCs w:val="15"/>
          <w:color w:val="auto"/>
        </w:rPr>
        <w:t>We primarily sell our products and services to nonprofit organizations through our direct sales force. Our customers enter into license agreements and pay us an upfront license fee and annual maintenance and support fees for our software. We also receive fees, on a subscription and fixed price basis, for our hosted services and access to our data enrichment and analytical services. We sell the majority of our consulting and technical services on a time and materials basis.</w:t>
      </w:r>
    </w:p>
    <w:p>
      <w:pPr>
        <w:spacing w:after="0" w:line="146" w:lineRule="exact"/>
        <w:rPr>
          <w:sz w:val="20"/>
          <w:szCs w:val="20"/>
          <w:color w:val="auto"/>
        </w:rPr>
      </w:pPr>
    </w:p>
    <w:p>
      <w:pPr>
        <w:ind w:left="2" w:right="320"/>
        <w:spacing w:after="0" w:line="273" w:lineRule="auto"/>
        <w:rPr>
          <w:sz w:val="20"/>
          <w:szCs w:val="20"/>
          <w:color w:val="auto"/>
        </w:rPr>
      </w:pPr>
      <w:r>
        <w:rPr>
          <w:rFonts w:ascii="Arial" w:cs="Arial" w:eastAsia="Arial" w:hAnsi="Arial"/>
          <w:sz w:val="17"/>
          <w:szCs w:val="17"/>
          <w:color w:val="auto"/>
        </w:rPr>
        <w:t>Over the past three years we have added an average of 1,400 new customers per year. Our customers are located in 47 countries, primarily the United States, the United Kingdom and Canada. Ongoing customer relationships that illustrate our broad customer base include the American Red Cross, the Chesapeake Bay Foundation, the Crohn’s &amp; Colitis Foundation of</w:t>
      </w:r>
    </w:p>
    <w:p>
      <w:pPr>
        <w:spacing w:after="0" w:line="200" w:lineRule="exact"/>
        <w:rPr>
          <w:sz w:val="20"/>
          <w:szCs w:val="20"/>
          <w:color w:val="auto"/>
        </w:rPr>
      </w:pPr>
    </w:p>
    <w:p>
      <w:pPr>
        <w:spacing w:after="0" w:line="363" w:lineRule="exact"/>
        <w:rPr>
          <w:sz w:val="20"/>
          <w:szCs w:val="20"/>
          <w:color w:val="auto"/>
        </w:rPr>
      </w:pPr>
    </w:p>
    <w:p>
      <w:pPr>
        <w:jc w:val="center"/>
        <w:ind w:right="258"/>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302" w:right="139" w:bottom="1440" w:gutter="0" w:footer="0" w:header="0"/>
        </w:sectPr>
      </w:pPr>
    </w:p>
    <w:bookmarkStart w:id="7" w:name="page8"/>
    <w:bookmarkEnd w:id="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1449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1449070"/>
                    </a:xfrm>
                    <a:prstGeom prst="rect">
                      <a:avLst/>
                    </a:prstGeom>
                    <a:noFill/>
                  </pic:spPr>
                </pic:pic>
              </a:graphicData>
            </a:graphic>
          </wp:anchor>
        </w:drawing>
        <w:t>America, the Detroit Zoological Society, the Mayo Foundation, the New York Philharmonic, Seton Hall University and the United Way of America.</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Company information</w:t>
      </w:r>
    </w:p>
    <w:p>
      <w:pPr>
        <w:spacing w:after="0" w:line="227"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 xml:space="preserve">We originally incorporated in New York in 1982 and moved our operations to Charleston, South Carolina in 1989. We reincorporated in South Carolina in December 1991, engaged in a recapitalization in October 1999 and reincorporated under the laws of the State of Delaware on July 16, 2004. Our principal executive offices are located at 2000 Daniel Island Drive, Charleston, South Carolina 29492, and our telephone number at that location is (843) 216-6200. Our web site address is </w:t>
      </w:r>
      <w:r>
        <w:rPr>
          <w:rFonts w:ascii="Arial" w:cs="Arial" w:eastAsia="Arial" w:hAnsi="Arial"/>
          <w:sz w:val="15"/>
          <w:szCs w:val="15"/>
          <w:i w:val="1"/>
          <w:iCs w:val="1"/>
          <w:color w:val="auto"/>
        </w:rPr>
        <w:t>www.blackbaud.com</w:t>
      </w:r>
      <w:r>
        <w:rPr>
          <w:rFonts w:ascii="Arial" w:cs="Arial" w:eastAsia="Arial" w:hAnsi="Arial"/>
          <w:sz w:val="15"/>
          <w:szCs w:val="15"/>
          <w:color w:val="auto"/>
        </w:rPr>
        <w:t>. The information contained on our web site is not a part of, and should not be construed as being incorporated by reference into, this prospectus</w:t>
      </w:r>
    </w:p>
    <w:p>
      <w:pPr>
        <w:spacing w:after="0" w:line="200" w:lineRule="exact"/>
        <w:rPr>
          <w:sz w:val="20"/>
          <w:szCs w:val="20"/>
          <w:color w:val="auto"/>
        </w:rPr>
      </w:pPr>
    </w:p>
    <w:p>
      <w:pPr>
        <w:spacing w:after="0" w:line="336"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20" w:top="1097" w:right="139" w:bottom="1440" w:gutter="0" w:footer="0" w:header="0"/>
        </w:sectPr>
      </w:pPr>
    </w:p>
    <w:bookmarkStart w:id="8" w:name="page9"/>
    <w:bookmarkEnd w:id="8"/>
    <w:p>
      <w:pPr>
        <w:jc w:val="center"/>
        <w:ind w:right="-81"/>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93624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3930" cy="9362440"/>
                    </a:xfrm>
                    <a:prstGeom prst="rect">
                      <a:avLst/>
                    </a:prstGeom>
                    <a:noFill/>
                  </pic:spPr>
                </pic:pic>
              </a:graphicData>
            </a:graphic>
          </wp:anchor>
        </w:drawing>
        <w:t>Summary consolidated financial data</w:t>
      </w:r>
    </w:p>
    <w:p>
      <w:pPr>
        <w:spacing w:after="0" w:line="232" w:lineRule="exact"/>
        <w:rPr>
          <w:sz w:val="20"/>
          <w:szCs w:val="20"/>
          <w:color w:val="auto"/>
        </w:rPr>
      </w:pPr>
    </w:p>
    <w:p>
      <w:pPr>
        <w:ind w:left="2"/>
        <w:spacing w:after="0" w:line="263" w:lineRule="auto"/>
        <w:rPr>
          <w:sz w:val="20"/>
          <w:szCs w:val="20"/>
          <w:color w:val="auto"/>
        </w:rPr>
      </w:pPr>
      <w:r>
        <w:rPr>
          <w:rFonts w:ascii="Arial" w:cs="Arial" w:eastAsia="Arial" w:hAnsi="Arial"/>
          <w:sz w:val="17"/>
          <w:szCs w:val="17"/>
          <w:color w:val="auto"/>
        </w:rPr>
        <w:t>The following data, insofar as it relates to each of the years 1998 -2003, has been derived from annual financial statements, including the consolidated balance sheets at December 31, 2003 and 2002 and the related consolidated statements of operations, cash flows and shareholders’ equity (deficit) and comprehensive income for the three years ended December 31, 2003 and notes thereto appearing elsewhere herein. The consolidated financial statements for the year ended December 31, 1998 were audited by other auditors. The consolidated financial statements for the year ended December 31, 1999 were audited by Arthur Andersen LLP, which has cease operations. The data for the nine months ended September 30, 2004 and 2003 has been derived from unaudited financial statements also appearing herein and which, in the opinion of management, include all adjustments, consisting only of normal recurring adjustments, necessary for a fair statement of the results for the unaudited interim periods. This summary consolidated financial data should be read together with “Selected consolidated financial data”, “Management’s discussion and analysis of financial condition and results of operations” and our consolidated financial statements and related notes contained elsewhere in this prospectus. See “Capitalization”.</w:t>
      </w:r>
    </w:p>
    <w:p>
      <w:pPr>
        <w:spacing w:after="0" w:line="200" w:lineRule="exact"/>
        <w:rPr>
          <w:sz w:val="20"/>
          <w:szCs w:val="20"/>
          <w:color w:val="auto"/>
        </w:rPr>
      </w:pPr>
    </w:p>
    <w:p>
      <w:pPr>
        <w:spacing w:after="0" w:line="351"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1"/>
              </w:rPr>
              <w:t>Nine months</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Year ended December 31,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274"/>
              <w:spacing w:after="0"/>
              <w:rPr>
                <w:sz w:val="20"/>
                <w:szCs w:val="20"/>
                <w:color w:val="auto"/>
              </w:rPr>
            </w:pPr>
            <w:r>
              <w:rPr>
                <w:rFonts w:ascii="Arial" w:cs="Arial" w:eastAsia="Arial" w:hAnsi="Arial"/>
                <w:sz w:val="13"/>
                <w:szCs w:val="13"/>
                <w:b w:val="1"/>
                <w:bCs w:val="1"/>
                <w:color w:val="auto"/>
              </w:rPr>
              <w:t>ended 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360" w:type="dxa"/>
            <w:vAlign w:val="bottom"/>
            <w:tcBorders>
              <w:bottom w:val="single" w:sz="8" w:color="808080"/>
            </w:tcBorders>
          </w:tcPr>
          <w:p>
            <w:pPr>
              <w:ind w:left="520"/>
              <w:spacing w:after="0"/>
              <w:rPr>
                <w:sz w:val="20"/>
                <w:szCs w:val="20"/>
                <w:color w:val="auto"/>
              </w:rPr>
            </w:pPr>
            <w:r>
              <w:rPr>
                <w:rFonts w:ascii="Arial" w:cs="Arial" w:eastAsia="Arial" w:hAnsi="Arial"/>
                <w:sz w:val="13"/>
                <w:szCs w:val="13"/>
                <w:b w:val="1"/>
                <w:bCs w:val="1"/>
                <w:color w:val="auto"/>
              </w:rPr>
              <w:t>(in thousands, except per share data)</w:t>
            </w:r>
          </w:p>
        </w:tc>
        <w:tc>
          <w:tcPr>
            <w:tcW w:w="1160" w:type="dxa"/>
            <w:vAlign w:val="bottom"/>
            <w:tcBorders>
              <w:bottom w:val="single" w:sz="8" w:color="808080"/>
            </w:tcBorders>
          </w:tcPr>
          <w:p>
            <w:pPr>
              <w:jc w:val="right"/>
              <w:ind w:right="314"/>
              <w:spacing w:after="0"/>
              <w:rPr>
                <w:sz w:val="20"/>
                <w:szCs w:val="20"/>
                <w:color w:val="auto"/>
              </w:rPr>
            </w:pPr>
            <w:r>
              <w:rPr>
                <w:rFonts w:ascii="Arial" w:cs="Arial" w:eastAsia="Arial" w:hAnsi="Arial"/>
                <w:sz w:val="26"/>
                <w:szCs w:val="26"/>
                <w:b w:val="1"/>
                <w:bCs w:val="1"/>
                <w:color w:val="auto"/>
                <w:vertAlign w:val="subscript"/>
              </w:rPr>
              <w:t>1998</w:t>
            </w:r>
            <w:r>
              <w:rPr>
                <w:rFonts w:ascii="Arial" w:cs="Arial" w:eastAsia="Arial" w:hAnsi="Arial"/>
                <w:sz w:val="11"/>
                <w:szCs w:val="11"/>
                <w:b w:val="1"/>
                <w:bCs w:val="1"/>
                <w:color w:val="auto"/>
              </w:rPr>
              <w:t>(2)(3)</w:t>
            </w:r>
          </w:p>
        </w:tc>
        <w:tc>
          <w:tcPr>
            <w:tcW w:w="960" w:type="dxa"/>
            <w:vAlign w:val="bottom"/>
            <w:tcBorders>
              <w:bottom w:val="single" w:sz="8" w:color="808080"/>
            </w:tcBorders>
          </w:tcPr>
          <w:p>
            <w:pPr>
              <w:jc w:val="right"/>
              <w:ind w:right="14"/>
              <w:spacing w:after="0"/>
              <w:rPr>
                <w:sz w:val="20"/>
                <w:szCs w:val="20"/>
                <w:color w:val="auto"/>
              </w:rPr>
            </w:pPr>
            <w:r>
              <w:rPr>
                <w:rFonts w:ascii="Arial" w:cs="Arial" w:eastAsia="Arial" w:hAnsi="Arial"/>
                <w:sz w:val="26"/>
                <w:szCs w:val="26"/>
                <w:b w:val="1"/>
                <w:bCs w:val="1"/>
                <w:color w:val="auto"/>
                <w:vertAlign w:val="subscript"/>
              </w:rPr>
              <w:t>1999</w:t>
            </w:r>
            <w:r>
              <w:rPr>
                <w:rFonts w:ascii="Arial" w:cs="Arial" w:eastAsia="Arial" w:hAnsi="Arial"/>
                <w:sz w:val="11"/>
                <w:szCs w:val="11"/>
                <w:b w:val="1"/>
                <w:bCs w:val="1"/>
                <w:color w:val="auto"/>
              </w:rPr>
              <w:t>(2)(3)</w:t>
            </w:r>
          </w:p>
        </w:tc>
        <w:tc>
          <w:tcPr>
            <w:tcW w:w="1280" w:type="dxa"/>
            <w:vAlign w:val="bottom"/>
            <w:tcBorders>
              <w:bottom w:val="single" w:sz="8" w:color="808080"/>
            </w:tcBorders>
            <w:gridSpan w:val="2"/>
          </w:tcPr>
          <w:p>
            <w:pPr>
              <w:jc w:val="right"/>
              <w:ind w:right="194"/>
              <w:spacing w:after="0"/>
              <w:rPr>
                <w:sz w:val="20"/>
                <w:szCs w:val="20"/>
                <w:color w:val="auto"/>
              </w:rPr>
            </w:pPr>
            <w:r>
              <w:rPr>
                <w:rFonts w:ascii="Arial" w:cs="Arial" w:eastAsia="Arial" w:hAnsi="Arial"/>
                <w:sz w:val="13"/>
                <w:szCs w:val="13"/>
                <w:b w:val="1"/>
                <w:bCs w:val="1"/>
                <w:color w:val="auto"/>
              </w:rPr>
              <w:t>2000</w:t>
            </w:r>
            <w:r>
              <w:rPr>
                <w:rFonts w:ascii="Arial" w:cs="Arial" w:eastAsia="Arial" w:hAnsi="Arial"/>
                <w:sz w:val="22"/>
                <w:szCs w:val="22"/>
                <w:b w:val="1"/>
                <w:bCs w:val="1"/>
                <w:color w:val="auto"/>
                <w:vertAlign w:val="superscript"/>
              </w:rPr>
              <w:t>(3)</w:t>
            </w:r>
          </w:p>
        </w:tc>
        <w:tc>
          <w:tcPr>
            <w:tcW w:w="26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jc w:val="right"/>
              <w:ind w:right="174"/>
              <w:spacing w:after="0"/>
              <w:rPr>
                <w:sz w:val="20"/>
                <w:szCs w:val="20"/>
                <w:color w:val="auto"/>
              </w:rPr>
            </w:pPr>
            <w:r>
              <w:rPr>
                <w:rFonts w:ascii="Arial" w:cs="Arial" w:eastAsia="Arial" w:hAnsi="Arial"/>
                <w:sz w:val="13"/>
                <w:szCs w:val="13"/>
                <w:b w:val="1"/>
                <w:bCs w:val="1"/>
                <w:color w:val="auto"/>
              </w:rPr>
              <w:t>2001</w:t>
            </w:r>
          </w:p>
        </w:tc>
        <w:tc>
          <w:tcPr>
            <w:tcW w:w="22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jc w:val="right"/>
              <w:ind w:right="214"/>
              <w:spacing w:after="0"/>
              <w:rPr>
                <w:sz w:val="20"/>
                <w:szCs w:val="20"/>
                <w:color w:val="auto"/>
              </w:rPr>
            </w:pPr>
            <w:r>
              <w:rPr>
                <w:rFonts w:ascii="Arial" w:cs="Arial" w:eastAsia="Arial" w:hAnsi="Arial"/>
                <w:sz w:val="13"/>
                <w:szCs w:val="13"/>
                <w:b w:val="1"/>
                <w:bCs w:val="1"/>
                <w:color w:val="auto"/>
              </w:rPr>
              <w:t>2002</w:t>
            </w:r>
          </w:p>
        </w:tc>
        <w:tc>
          <w:tcPr>
            <w:tcW w:w="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jc w:val="right"/>
              <w:ind w:right="114"/>
              <w:spacing w:after="0"/>
              <w:rPr>
                <w:sz w:val="20"/>
                <w:szCs w:val="20"/>
                <w:color w:val="auto"/>
              </w:rPr>
            </w:pPr>
            <w:r>
              <w:rPr>
                <w:rFonts w:ascii="Arial" w:cs="Arial" w:eastAsia="Arial" w:hAnsi="Arial"/>
                <w:sz w:val="13"/>
                <w:szCs w:val="13"/>
                <w:b w:val="1"/>
                <w:bCs w:val="1"/>
                <w:color w:val="auto"/>
              </w:rPr>
              <w:t>2003</w:t>
            </w: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jc w:val="right"/>
              <w:ind w:right="34"/>
              <w:spacing w:after="0"/>
              <w:rPr>
                <w:sz w:val="20"/>
                <w:szCs w:val="20"/>
                <w:color w:val="auto"/>
              </w:rPr>
            </w:pPr>
            <w:r>
              <w:rPr>
                <w:rFonts w:ascii="Arial" w:cs="Arial" w:eastAsia="Arial" w:hAnsi="Arial"/>
                <w:sz w:val="13"/>
                <w:szCs w:val="13"/>
                <w:b w:val="1"/>
                <w:bCs w:val="1"/>
                <w:color w:val="auto"/>
                <w:w w:val="96"/>
              </w:rPr>
              <w:t>2003</w:t>
            </w:r>
          </w:p>
        </w:tc>
        <w:tc>
          <w:tcPr>
            <w:tcW w:w="78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jc w:val="right"/>
              <w:ind w:right="174"/>
              <w:spacing w:after="0"/>
              <w:rPr>
                <w:sz w:val="20"/>
                <w:szCs w:val="20"/>
                <w:color w:val="auto"/>
              </w:rPr>
            </w:pPr>
            <w:r>
              <w:rPr>
                <w:rFonts w:ascii="Arial" w:cs="Arial" w:eastAsia="Arial" w:hAnsi="Arial"/>
                <w:sz w:val="13"/>
                <w:szCs w:val="13"/>
                <w:b w:val="1"/>
                <w:bCs w:val="1"/>
                <w:color w:val="auto"/>
                <w:w w:val="89"/>
              </w:rPr>
              <w:t>2004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Consolidated statements of operations data:</w:t>
            </w:r>
          </w:p>
        </w:tc>
        <w:tc>
          <w:tcPr>
            <w:tcW w:w="11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3"/>
                <w:szCs w:val="13"/>
                <w:b w:val="1"/>
                <w:bCs w:val="1"/>
                <w:color w:val="auto"/>
              </w:rPr>
              <w:t>Revenue</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License fees</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$29,408</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$37,938</w:t>
            </w:r>
          </w:p>
        </w:tc>
        <w:tc>
          <w:tcPr>
            <w:tcW w:w="6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5"/>
              </w:rPr>
              <w:t>24,471</w:t>
            </w:r>
          </w:p>
        </w:tc>
        <w:tc>
          <w:tcPr>
            <w:tcW w:w="2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5"/>
              </w:rPr>
              <w:t>19,300</w:t>
            </w:r>
          </w:p>
        </w:tc>
        <w:tc>
          <w:tcPr>
            <w:tcW w:w="2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20,572</w:t>
            </w:r>
          </w:p>
        </w:tc>
        <w:tc>
          <w:tcPr>
            <w:tcW w:w="2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21,339</w:t>
            </w:r>
          </w:p>
        </w:tc>
        <w:tc>
          <w:tcPr>
            <w:tcW w:w="440" w:type="dxa"/>
            <w:vAlign w:val="bottom"/>
            <w:gridSpan w:val="2"/>
            <w:shd w:val="clear" w:color="auto" w:fill="EEEEEE"/>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w w:val="85"/>
              </w:rPr>
              <w:t>15,427</w:t>
            </w:r>
          </w:p>
        </w:tc>
        <w:tc>
          <w:tcPr>
            <w:tcW w:w="78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18,614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Services</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10,716</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17,309</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14,266</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18,797</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26,739</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34,042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25,888</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32,678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Maintenance and subscriptions</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22,446</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29,680</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5"/>
              </w:rPr>
              <w:t>39,042</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5"/>
              </w:rPr>
              <w:t>47,022</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52,788</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58,360</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w w:val="85"/>
              </w:rPr>
              <w:t>43,271</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48,886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Other revenue</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3,062</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7,550</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5,838</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4,915</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5,130</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4,352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2,906</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500"/>
              <w:spacing w:after="0" w:line="146" w:lineRule="exact"/>
              <w:rPr>
                <w:sz w:val="20"/>
                <w:szCs w:val="20"/>
                <w:color w:val="auto"/>
              </w:rPr>
            </w:pPr>
            <w:r>
              <w:rPr>
                <w:rFonts w:ascii="Arial" w:cs="Arial" w:eastAsia="Arial" w:hAnsi="Arial"/>
                <w:sz w:val="13"/>
                <w:szCs w:val="13"/>
                <w:color w:val="auto"/>
              </w:rPr>
              <w:t>Total revenue</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65,632</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92,477</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83,617</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90,034</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w w:val="89"/>
              </w:rPr>
              <w:t>105,229</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w w:val="89"/>
              </w:rPr>
              <w:t>118,093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87,492</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w w:val="89"/>
              </w:rPr>
              <w:t>103,027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3"/>
                <w:szCs w:val="13"/>
                <w:b w:val="1"/>
                <w:bCs w:val="1"/>
                <w:color w:val="auto"/>
              </w:rPr>
              <w:t>Cost of revenue</w:t>
            </w: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Cost of license fees</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709</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989</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1,284</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1,726</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2,547</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2,819</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2,110</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2,733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tcPr>
          <w:p>
            <w:pPr>
              <w:ind w:left="240"/>
              <w:spacing w:after="0" w:line="172" w:lineRule="exact"/>
              <w:rPr>
                <w:sz w:val="20"/>
                <w:szCs w:val="20"/>
                <w:color w:val="auto"/>
              </w:rPr>
            </w:pPr>
            <w:r>
              <w:rPr>
                <w:rFonts w:ascii="Arial" w:cs="Arial" w:eastAsia="Arial" w:hAnsi="Arial"/>
                <w:sz w:val="12"/>
                <w:szCs w:val="12"/>
                <w:color w:val="auto"/>
              </w:rPr>
              <w:t>Cost of services</w:t>
            </w:r>
            <w:r>
              <w:rPr>
                <w:rFonts w:ascii="Arial" w:cs="Arial" w:eastAsia="Arial" w:hAnsi="Arial"/>
                <w:sz w:val="19"/>
                <w:szCs w:val="19"/>
                <w:color w:val="auto"/>
                <w:vertAlign w:val="superscript"/>
              </w:rPr>
              <w:t>(1)</w:t>
            </w:r>
          </w:p>
        </w:tc>
        <w:tc>
          <w:tcPr>
            <w:tcW w:w="1160" w:type="dxa"/>
            <w:vAlign w:val="bottom"/>
          </w:tcPr>
          <w:p>
            <w:pPr>
              <w:jc w:val="right"/>
              <w:ind w:right="334"/>
              <w:spacing w:after="0"/>
              <w:rPr>
                <w:sz w:val="20"/>
                <w:szCs w:val="20"/>
                <w:color w:val="auto"/>
              </w:rPr>
            </w:pPr>
            <w:r>
              <w:rPr>
                <w:rFonts w:ascii="Arial" w:cs="Arial" w:eastAsia="Arial" w:hAnsi="Arial"/>
                <w:sz w:val="13"/>
                <w:szCs w:val="13"/>
                <w:color w:val="auto"/>
              </w:rPr>
              <w:t>4,339</w:t>
            </w:r>
          </w:p>
        </w:tc>
        <w:tc>
          <w:tcPr>
            <w:tcW w:w="960" w:type="dxa"/>
            <w:vAlign w:val="bottom"/>
          </w:tcPr>
          <w:p>
            <w:pPr>
              <w:jc w:val="right"/>
              <w:ind w:right="34"/>
              <w:spacing w:after="0"/>
              <w:rPr>
                <w:sz w:val="20"/>
                <w:szCs w:val="20"/>
                <w:color w:val="auto"/>
              </w:rPr>
            </w:pPr>
            <w:r>
              <w:rPr>
                <w:rFonts w:ascii="Arial" w:cs="Arial" w:eastAsia="Arial" w:hAnsi="Arial"/>
                <w:sz w:val="13"/>
                <w:szCs w:val="13"/>
                <w:color w:val="auto"/>
              </w:rPr>
              <w:t>5,534</w:t>
            </w:r>
          </w:p>
        </w:tc>
        <w:tc>
          <w:tcPr>
            <w:tcW w:w="6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3"/>
                <w:szCs w:val="13"/>
                <w:color w:val="auto"/>
              </w:rPr>
              <w:t>7,028</w:t>
            </w:r>
          </w:p>
        </w:tc>
        <w:tc>
          <w:tcPr>
            <w:tcW w:w="26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w w:val="85"/>
              </w:rPr>
              <w:t>10,253</w:t>
            </w:r>
          </w:p>
        </w:tc>
        <w:tc>
          <w:tcPr>
            <w:tcW w:w="22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Arial" w:cs="Arial" w:eastAsia="Arial" w:hAnsi="Arial"/>
                <w:sz w:val="13"/>
                <w:szCs w:val="13"/>
                <w:color w:val="auto"/>
              </w:rPr>
              <w:t>14,234</w:t>
            </w:r>
          </w:p>
        </w:tc>
        <w:tc>
          <w:tcPr>
            <w:tcW w:w="22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3"/>
                <w:szCs w:val="13"/>
                <w:color w:val="auto"/>
              </w:rPr>
              <w:t>21,006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w w:val="85"/>
              </w:rPr>
              <w:t>15,347</w:t>
            </w:r>
          </w:p>
        </w:tc>
        <w:tc>
          <w:tcPr>
            <w:tcW w:w="780" w:type="dxa"/>
            <w:vAlign w:val="bottom"/>
          </w:tcPr>
          <w:p>
            <w:pPr>
              <w:spacing w:after="0"/>
              <w:rPr>
                <w:sz w:val="14"/>
                <w:szCs w:val="14"/>
                <w:color w:val="auto"/>
              </w:rPr>
            </w:pPr>
          </w:p>
        </w:tc>
        <w:tc>
          <w:tcPr>
            <w:tcW w:w="520" w:type="dxa"/>
            <w:vAlign w:val="bottom"/>
          </w:tcPr>
          <w:p>
            <w:pPr>
              <w:jc w:val="right"/>
              <w:ind w:right="14"/>
              <w:spacing w:after="0"/>
              <w:rPr>
                <w:sz w:val="20"/>
                <w:szCs w:val="20"/>
                <w:color w:val="auto"/>
              </w:rPr>
            </w:pPr>
            <w:r>
              <w:rPr>
                <w:rFonts w:ascii="Arial" w:cs="Arial" w:eastAsia="Arial" w:hAnsi="Arial"/>
                <w:sz w:val="13"/>
                <w:szCs w:val="13"/>
                <w:color w:val="auto"/>
              </w:rPr>
              <w:t>15,988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60" w:type="dxa"/>
            <w:vAlign w:val="bottom"/>
            <w:shd w:val="clear" w:color="auto" w:fill="EEEEEE"/>
          </w:tcPr>
          <w:p>
            <w:pPr>
              <w:ind w:left="240"/>
              <w:spacing w:after="0" w:line="172" w:lineRule="exact"/>
              <w:rPr>
                <w:sz w:val="20"/>
                <w:szCs w:val="20"/>
                <w:color w:val="auto"/>
              </w:rPr>
            </w:pPr>
            <w:r>
              <w:rPr>
                <w:rFonts w:ascii="Arial" w:cs="Arial" w:eastAsia="Arial" w:hAnsi="Arial"/>
                <w:sz w:val="12"/>
                <w:szCs w:val="12"/>
                <w:color w:val="auto"/>
              </w:rPr>
              <w:t>Cost of maintenance and subscriptions</w:t>
            </w:r>
            <w:r>
              <w:rPr>
                <w:rFonts w:ascii="Arial" w:cs="Arial" w:eastAsia="Arial" w:hAnsi="Arial"/>
                <w:sz w:val="19"/>
                <w:szCs w:val="19"/>
                <w:color w:val="auto"/>
                <w:vertAlign w:val="superscript"/>
              </w:rPr>
              <w:t>(1)</w:t>
            </w:r>
          </w:p>
        </w:tc>
        <w:tc>
          <w:tcPr>
            <w:tcW w:w="1160" w:type="dxa"/>
            <w:vAlign w:val="bottom"/>
            <w:shd w:val="clear" w:color="auto" w:fill="EEEEEE"/>
          </w:tcPr>
          <w:p>
            <w:pPr>
              <w:jc w:val="right"/>
              <w:ind w:right="334"/>
              <w:spacing w:after="0"/>
              <w:rPr>
                <w:sz w:val="20"/>
                <w:szCs w:val="20"/>
                <w:color w:val="auto"/>
              </w:rPr>
            </w:pPr>
            <w:r>
              <w:rPr>
                <w:rFonts w:ascii="Arial" w:cs="Arial" w:eastAsia="Arial" w:hAnsi="Arial"/>
                <w:sz w:val="13"/>
                <w:szCs w:val="13"/>
                <w:color w:val="auto"/>
              </w:rPr>
              <w:t>11,443</w:t>
            </w:r>
          </w:p>
        </w:tc>
        <w:tc>
          <w:tcPr>
            <w:tcW w:w="96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15,246</w:t>
            </w:r>
          </w:p>
        </w:tc>
        <w:tc>
          <w:tcPr>
            <w:tcW w:w="66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w w:val="95"/>
              </w:rPr>
              <w:t>15,120</w:t>
            </w:r>
          </w:p>
        </w:tc>
        <w:tc>
          <w:tcPr>
            <w:tcW w:w="26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w w:val="85"/>
              </w:rPr>
              <w:t>11,733</w:t>
            </w:r>
          </w:p>
        </w:tc>
        <w:tc>
          <w:tcPr>
            <w:tcW w:w="22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10,588</w:t>
            </w:r>
          </w:p>
        </w:tc>
        <w:tc>
          <w:tcPr>
            <w:tcW w:w="220" w:type="dxa"/>
            <w:vAlign w:val="bottom"/>
            <w:shd w:val="clear" w:color="auto" w:fill="EEEEEE"/>
          </w:tcPr>
          <w:p>
            <w:pPr>
              <w:spacing w:after="0"/>
              <w:rPr>
                <w:sz w:val="14"/>
                <w:szCs w:val="14"/>
                <w:color w:val="auto"/>
              </w:rPr>
            </w:pPr>
          </w:p>
        </w:tc>
        <w:tc>
          <w:tcPr>
            <w:tcW w:w="54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11,837</w:t>
            </w:r>
          </w:p>
        </w:tc>
        <w:tc>
          <w:tcPr>
            <w:tcW w:w="22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3"/>
                <w:szCs w:val="13"/>
                <w:color w:val="auto"/>
              </w:rPr>
              <w:t>9,031</w:t>
            </w:r>
          </w:p>
        </w:tc>
        <w:tc>
          <w:tcPr>
            <w:tcW w:w="780" w:type="dxa"/>
            <w:vAlign w:val="bottom"/>
            <w:shd w:val="clear" w:color="auto" w:fill="EEEEEE"/>
          </w:tcPr>
          <w:p>
            <w:pPr>
              <w:spacing w:after="0"/>
              <w:rPr>
                <w:sz w:val="14"/>
                <w:szCs w:val="14"/>
                <w:color w:val="auto"/>
              </w:rPr>
            </w:pPr>
          </w:p>
        </w:tc>
        <w:tc>
          <w:tcPr>
            <w:tcW w:w="52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7,864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Cost of other revenue</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1,559</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2,160</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1,972</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2,750</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3,611</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3,712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2,556</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2,577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500"/>
              <w:spacing w:after="0" w:line="146" w:lineRule="exact"/>
              <w:rPr>
                <w:sz w:val="20"/>
                <w:szCs w:val="20"/>
                <w:color w:val="auto"/>
              </w:rPr>
            </w:pPr>
            <w:r>
              <w:rPr>
                <w:rFonts w:ascii="Arial" w:cs="Arial" w:eastAsia="Arial" w:hAnsi="Arial"/>
                <w:sz w:val="13"/>
                <w:szCs w:val="13"/>
                <w:color w:val="auto"/>
              </w:rPr>
              <w:t>Total cost of revenue</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18,050</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23,929</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25,404</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26,462</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30,980</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39,374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29,044</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29,162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3"/>
                <w:szCs w:val="13"/>
                <w:b w:val="1"/>
                <w:bCs w:val="1"/>
                <w:color w:val="auto"/>
              </w:rPr>
              <w:t>Gross profit</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47,582</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68,548</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58,213</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63,572</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74,249</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78,719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58,448</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73,865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Sales and marketing</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11,337</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13,719</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5"/>
              </w:rPr>
              <w:t>12,326</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5"/>
              </w:rPr>
              <w:t>15,173</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19,173</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21,883</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w w:val="85"/>
              </w:rPr>
              <w:t>15,991</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20,646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Research and development</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9,604</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13,923</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13,912</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14,755</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14,385</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15,516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11,506</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13,245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General and administrative</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8,938</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12,833</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w w:val="95"/>
              </w:rPr>
              <w:t>10,390</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9,031</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10,631</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11,085</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8,042</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9,093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Amortization</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2,574</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2,510</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2,200</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2,239</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1,045</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848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800</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Cost of initial public offering</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Stock option compensation</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23,691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17,326</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500"/>
              <w:spacing w:after="0" w:line="146" w:lineRule="exact"/>
              <w:rPr>
                <w:sz w:val="20"/>
                <w:szCs w:val="20"/>
                <w:color w:val="auto"/>
              </w:rPr>
            </w:pPr>
            <w:r>
              <w:rPr>
                <w:rFonts w:ascii="Arial" w:cs="Arial" w:eastAsia="Arial" w:hAnsi="Arial"/>
                <w:sz w:val="13"/>
                <w:szCs w:val="13"/>
                <w:color w:val="auto"/>
              </w:rPr>
              <w:t>Total operating expenses</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32,453</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42,985</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38,828</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41,198</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45,234</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73,023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85"/>
              </w:rPr>
              <w:t>53,665</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45,526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3"/>
                <w:szCs w:val="13"/>
                <w:b w:val="1"/>
                <w:bCs w:val="1"/>
                <w:color w:val="auto"/>
              </w:rPr>
              <w:t>Income from operations</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15,129</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25,563</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w w:val="95"/>
              </w:rPr>
              <w:t>19,385</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22,374</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29,015</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5,696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4,783</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28,339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Interest income</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1,032</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716</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241</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96</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138</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97</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70</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Interest expense</w:t>
            </w:r>
          </w:p>
        </w:tc>
        <w:tc>
          <w:tcPr>
            <w:tcW w:w="1160" w:type="dxa"/>
            <w:vAlign w:val="bottom"/>
          </w:tcPr>
          <w:p>
            <w:pPr>
              <w:jc w:val="right"/>
              <w:ind w:right="294"/>
              <w:spacing w:after="0" w:line="146" w:lineRule="exact"/>
              <w:rPr>
                <w:sz w:val="20"/>
                <w:szCs w:val="20"/>
                <w:color w:val="auto"/>
              </w:rPr>
            </w:pPr>
            <w:r>
              <w:rPr>
                <w:rFonts w:ascii="Arial" w:cs="Arial" w:eastAsia="Arial" w:hAnsi="Arial"/>
                <w:sz w:val="13"/>
                <w:szCs w:val="13"/>
                <w:color w:val="auto"/>
              </w:rPr>
              <w:t>(638)</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(2,752)</w:t>
            </w:r>
          </w:p>
        </w:tc>
        <w:tc>
          <w:tcPr>
            <w:tcW w:w="66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w w:val="86"/>
              </w:rPr>
              <w:t>(11,265)</w:t>
            </w:r>
          </w:p>
        </w:tc>
        <w:tc>
          <w:tcPr>
            <w:tcW w:w="260" w:type="dxa"/>
            <w:vAlign w:val="bottom"/>
          </w:tcPr>
          <w:p>
            <w:pPr>
              <w:spacing w:after="0"/>
              <w:rPr>
                <w:sz w:val="12"/>
                <w:szCs w:val="12"/>
                <w:color w:val="auto"/>
              </w:rPr>
            </w:pPr>
          </w:p>
        </w:tc>
        <w:tc>
          <w:tcPr>
            <w:tcW w:w="560" w:type="dxa"/>
            <w:vAlign w:val="bottom"/>
          </w:tcPr>
          <w:p>
            <w:pPr>
              <w:jc w:val="right"/>
              <w:ind w:right="74"/>
              <w:spacing w:after="0" w:line="146" w:lineRule="exact"/>
              <w:rPr>
                <w:sz w:val="20"/>
                <w:szCs w:val="20"/>
                <w:color w:val="auto"/>
              </w:rPr>
            </w:pPr>
            <w:r>
              <w:rPr>
                <w:rFonts w:ascii="Arial" w:cs="Arial" w:eastAsia="Arial" w:hAnsi="Arial"/>
                <w:sz w:val="13"/>
                <w:szCs w:val="13"/>
                <w:color w:val="auto"/>
                <w:w w:val="97"/>
              </w:rPr>
              <w:t>(7,963)</w:t>
            </w:r>
          </w:p>
        </w:tc>
        <w:tc>
          <w:tcPr>
            <w:tcW w:w="220" w:type="dxa"/>
            <w:vAlign w:val="bottom"/>
          </w:tcPr>
          <w:p>
            <w:pPr>
              <w:spacing w:after="0"/>
              <w:rPr>
                <w:sz w:val="12"/>
                <w:szCs w:val="12"/>
                <w:color w:val="auto"/>
              </w:rPr>
            </w:pPr>
          </w:p>
        </w:tc>
        <w:tc>
          <w:tcPr>
            <w:tcW w:w="620" w:type="dxa"/>
            <w:vAlign w:val="bottom"/>
          </w:tcPr>
          <w:p>
            <w:pPr>
              <w:jc w:val="right"/>
              <w:ind w:right="74"/>
              <w:spacing w:after="0" w:line="146" w:lineRule="exact"/>
              <w:rPr>
                <w:sz w:val="20"/>
                <w:szCs w:val="20"/>
                <w:color w:val="auto"/>
              </w:rPr>
            </w:pPr>
            <w:r>
              <w:rPr>
                <w:rFonts w:ascii="Arial" w:cs="Arial" w:eastAsia="Arial" w:hAnsi="Arial"/>
                <w:sz w:val="13"/>
                <w:szCs w:val="13"/>
                <w:color w:val="auto"/>
              </w:rPr>
              <w:t>(4,410)</w:t>
            </w:r>
          </w:p>
        </w:tc>
        <w:tc>
          <w:tcPr>
            <w:tcW w:w="22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(2,559)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w w:val="92"/>
              </w:rPr>
              <w:t>(2,216)</w:t>
            </w:r>
          </w:p>
        </w:tc>
        <w:tc>
          <w:tcPr>
            <w:tcW w:w="78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rPr>
              <w:t>Other income (expense), net</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6,310</w:t>
            </w:r>
          </w:p>
        </w:tc>
        <w:tc>
          <w:tcPr>
            <w:tcW w:w="9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(79)</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(185)</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74"/>
              <w:spacing w:after="0" w:line="146" w:lineRule="exact"/>
              <w:rPr>
                <w:sz w:val="20"/>
                <w:szCs w:val="20"/>
                <w:color w:val="auto"/>
              </w:rPr>
            </w:pPr>
            <w:r>
              <w:rPr>
                <w:rFonts w:ascii="Arial" w:cs="Arial" w:eastAsia="Arial" w:hAnsi="Arial"/>
                <w:sz w:val="13"/>
                <w:szCs w:val="13"/>
                <w:color w:val="auto"/>
              </w:rPr>
              <w:t>(113)</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63</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235</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(100)</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Income before provision for income taxes</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21,833</w:t>
            </w:r>
          </w:p>
        </w:tc>
        <w:tc>
          <w:tcPr>
            <w:tcW w:w="96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23,448</w:t>
            </w:r>
          </w:p>
        </w:tc>
        <w:tc>
          <w:tcPr>
            <w:tcW w:w="66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8,176</w:t>
            </w:r>
          </w:p>
        </w:tc>
        <w:tc>
          <w:tcPr>
            <w:tcW w:w="26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5"/>
              </w:rPr>
              <w:t>14,394</w:t>
            </w:r>
          </w:p>
        </w:tc>
        <w:tc>
          <w:tcPr>
            <w:tcW w:w="2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24,806</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3,469</w:t>
            </w:r>
          </w:p>
        </w:tc>
        <w:tc>
          <w:tcPr>
            <w:tcW w:w="2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4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2,537</w:t>
            </w:r>
          </w:p>
        </w:tc>
        <w:tc>
          <w:tcPr>
            <w:tcW w:w="780" w:type="dxa"/>
            <w:vAlign w:val="bottom"/>
            <w:shd w:val="clear" w:color="auto" w:fill="EEEEEE"/>
          </w:tcPr>
          <w:p>
            <w:pPr>
              <w:spacing w:after="0"/>
              <w:rPr>
                <w:sz w:val="12"/>
                <w:szCs w:val="12"/>
                <w:color w:val="auto"/>
              </w:rPr>
            </w:pPr>
          </w:p>
        </w:tc>
        <w:tc>
          <w:tcPr>
            <w:tcW w:w="5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28,546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60" w:type="dxa"/>
            <w:vAlign w:val="bottom"/>
          </w:tcPr>
          <w:p>
            <w:pPr>
              <w:ind w:left="240"/>
              <w:spacing w:after="0" w:line="146" w:lineRule="exact"/>
              <w:rPr>
                <w:sz w:val="20"/>
                <w:szCs w:val="20"/>
                <w:color w:val="auto"/>
              </w:rPr>
            </w:pPr>
            <w:r>
              <w:rPr>
                <w:rFonts w:ascii="Arial" w:cs="Arial" w:eastAsia="Arial" w:hAnsi="Arial"/>
                <w:sz w:val="13"/>
                <w:szCs w:val="13"/>
                <w:color w:val="auto"/>
              </w:rPr>
              <w:t>Income tax provision (benefit)</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158</w:t>
            </w:r>
          </w:p>
        </w:tc>
        <w:tc>
          <w:tcPr>
            <w:tcW w:w="960" w:type="dxa"/>
            <w:vAlign w:val="bottom"/>
          </w:tcPr>
          <w:p>
            <w:pPr>
              <w:jc w:val="right"/>
              <w:spacing w:after="0" w:line="146" w:lineRule="exact"/>
              <w:rPr>
                <w:sz w:val="20"/>
                <w:szCs w:val="20"/>
                <w:color w:val="auto"/>
              </w:rPr>
            </w:pPr>
            <w:r>
              <w:rPr>
                <w:rFonts w:ascii="Arial" w:cs="Arial" w:eastAsia="Arial" w:hAnsi="Arial"/>
                <w:sz w:val="13"/>
                <w:szCs w:val="13"/>
                <w:color w:val="auto"/>
              </w:rPr>
              <w:t>(1,456)</w:t>
            </w:r>
          </w:p>
        </w:tc>
        <w:tc>
          <w:tcPr>
            <w:tcW w:w="660" w:type="dxa"/>
            <w:vAlign w:val="bottom"/>
          </w:tcPr>
          <w:p>
            <w:pPr>
              <w:spacing w:after="0"/>
              <w:rPr>
                <w:sz w:val="12"/>
                <w:szCs w:val="12"/>
                <w:color w:val="auto"/>
              </w:rPr>
            </w:pP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3,080</w:t>
            </w:r>
          </w:p>
        </w:tc>
        <w:tc>
          <w:tcPr>
            <w:tcW w:w="26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5,488</w:t>
            </w:r>
          </w:p>
        </w:tc>
        <w:tc>
          <w:tcPr>
            <w:tcW w:w="220" w:type="dxa"/>
            <w:vAlign w:val="bottom"/>
          </w:tcPr>
          <w:p>
            <w:pPr>
              <w:spacing w:after="0"/>
              <w:rPr>
                <w:sz w:val="12"/>
                <w:szCs w:val="12"/>
                <w:color w:val="auto"/>
              </w:rPr>
            </w:pP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9,166</w:t>
            </w:r>
          </w:p>
        </w:tc>
        <w:tc>
          <w:tcPr>
            <w:tcW w:w="220" w:type="dxa"/>
            <w:vAlign w:val="bottom"/>
          </w:tcPr>
          <w:p>
            <w:pPr>
              <w:spacing w:after="0"/>
              <w:rPr>
                <w:sz w:val="12"/>
                <w:szCs w:val="12"/>
                <w:color w:val="auto"/>
              </w:rPr>
            </w:pPr>
          </w:p>
        </w:tc>
        <w:tc>
          <w:tcPr>
            <w:tcW w:w="54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3,947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2,886</w:t>
            </w:r>
          </w:p>
        </w:tc>
        <w:tc>
          <w:tcPr>
            <w:tcW w:w="780" w:type="dxa"/>
            <w:vAlign w:val="bottom"/>
          </w:tcPr>
          <w:p>
            <w:pPr>
              <w:spacing w:after="0"/>
              <w:rPr>
                <w:sz w:val="12"/>
                <w:szCs w:val="12"/>
                <w:color w:val="auto"/>
              </w:rPr>
            </w:pP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11,619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60" w:type="dxa"/>
            <w:vAlign w:val="bottom"/>
          </w:tcPr>
          <w:p>
            <w:pPr>
              <w:spacing w:after="0" w:line="146" w:lineRule="exact"/>
              <w:rPr>
                <w:sz w:val="20"/>
                <w:szCs w:val="20"/>
                <w:color w:val="auto"/>
              </w:rPr>
            </w:pPr>
            <w:r>
              <w:rPr>
                <w:rFonts w:ascii="Arial" w:cs="Arial" w:eastAsia="Arial" w:hAnsi="Arial"/>
                <w:sz w:val="13"/>
                <w:szCs w:val="13"/>
                <w:b w:val="1"/>
                <w:bCs w:val="1"/>
                <w:color w:val="auto"/>
              </w:rPr>
              <w:t>Net income (loss)</w:t>
            </w:r>
          </w:p>
        </w:tc>
        <w:tc>
          <w:tcPr>
            <w:tcW w:w="11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$21,675</w:t>
            </w:r>
          </w:p>
        </w:tc>
        <w:tc>
          <w:tcPr>
            <w:tcW w:w="96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$24,904</w:t>
            </w:r>
          </w:p>
        </w:tc>
        <w:tc>
          <w:tcPr>
            <w:tcW w:w="6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5,096</w:t>
            </w:r>
          </w:p>
        </w:tc>
        <w:tc>
          <w:tcPr>
            <w:tcW w:w="26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8,906</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15,640</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(478)</w:t>
            </w:r>
          </w:p>
        </w:tc>
        <w:tc>
          <w:tcPr>
            <w:tcW w:w="440" w:type="dxa"/>
            <w:vAlign w:val="bottom"/>
            <w:gridSpan w:val="2"/>
          </w:tcPr>
          <w:p>
            <w:pPr>
              <w:jc w:val="right"/>
              <w:ind w:right="20"/>
              <w:spacing w:after="0" w:line="146" w:lineRule="exact"/>
              <w:rPr>
                <w:sz w:val="20"/>
                <w:szCs w:val="20"/>
                <w:color w:val="auto"/>
              </w:rPr>
            </w:pPr>
            <w:r>
              <w:rPr>
                <w:rFonts w:ascii="Arial" w:cs="Arial" w:eastAsia="Arial" w:hAnsi="Arial"/>
                <w:sz w:val="13"/>
                <w:szCs w:val="13"/>
                <w:color w:val="auto"/>
              </w:rPr>
              <w:t>$</w:t>
            </w:r>
          </w:p>
        </w:tc>
        <w:tc>
          <w:tcPr>
            <w:tcW w:w="400" w:type="dxa"/>
            <w:vAlign w:val="bottom"/>
          </w:tcPr>
          <w:p>
            <w:pPr>
              <w:jc w:val="right"/>
              <w:spacing w:after="0" w:line="146" w:lineRule="exact"/>
              <w:rPr>
                <w:sz w:val="20"/>
                <w:szCs w:val="20"/>
                <w:color w:val="auto"/>
              </w:rPr>
            </w:pPr>
            <w:r>
              <w:rPr>
                <w:rFonts w:ascii="Arial" w:cs="Arial" w:eastAsia="Arial" w:hAnsi="Arial"/>
                <w:sz w:val="13"/>
                <w:szCs w:val="13"/>
                <w:color w:val="auto"/>
              </w:rPr>
              <w:t>(349)</w:t>
            </w:r>
          </w:p>
        </w:tc>
        <w:tc>
          <w:tcPr>
            <w:tcW w:w="7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16,927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60" w:type="dxa"/>
            <w:vAlign w:val="bottom"/>
            <w:tcBorders>
              <w:bottom w:val="single" w:sz="8" w:color="EEEEEE"/>
            </w:tcBorders>
            <w:shd w:val="clear" w:color="auto" w:fill="EEEEEE"/>
          </w:tcPr>
          <w:p>
            <w:pPr>
              <w:spacing w:after="0"/>
              <w:rPr>
                <w:sz w:val="9"/>
                <w:szCs w:val="9"/>
                <w:color w:val="auto"/>
              </w:rPr>
            </w:pPr>
          </w:p>
        </w:tc>
        <w:tc>
          <w:tcPr>
            <w:tcW w:w="1160" w:type="dxa"/>
            <w:vAlign w:val="bottom"/>
            <w:tcBorders>
              <w:bottom w:val="single" w:sz="8" w:color="808080"/>
            </w:tcBorders>
            <w:shd w:val="clear" w:color="auto" w:fill="EEEEEE"/>
          </w:tcPr>
          <w:p>
            <w:pPr>
              <w:spacing w:after="0"/>
              <w:rPr>
                <w:sz w:val="9"/>
                <w:szCs w:val="9"/>
                <w:color w:val="auto"/>
              </w:rPr>
            </w:pPr>
          </w:p>
        </w:tc>
        <w:tc>
          <w:tcPr>
            <w:tcW w:w="960" w:type="dxa"/>
            <w:vAlign w:val="bottom"/>
            <w:tcBorders>
              <w:bottom w:val="single" w:sz="8" w:color="808080"/>
            </w:tcBorders>
            <w:shd w:val="clear" w:color="auto" w:fill="EEEEEE"/>
          </w:tcPr>
          <w:p>
            <w:pPr>
              <w:spacing w:after="0"/>
              <w:rPr>
                <w:sz w:val="9"/>
                <w:szCs w:val="9"/>
                <w:color w:val="auto"/>
              </w:rPr>
            </w:pPr>
          </w:p>
        </w:tc>
        <w:tc>
          <w:tcPr>
            <w:tcW w:w="66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56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6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54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220" w:type="dxa"/>
            <w:vAlign w:val="bottom"/>
            <w:tcBorders>
              <w:bottom w:val="single" w:sz="8" w:color="808080"/>
            </w:tcBorders>
            <w:shd w:val="clear" w:color="auto" w:fill="EEEEEE"/>
          </w:tcPr>
          <w:p>
            <w:pPr>
              <w:spacing w:after="0"/>
              <w:rPr>
                <w:sz w:val="9"/>
                <w:szCs w:val="9"/>
                <w:color w:val="auto"/>
              </w:rPr>
            </w:pPr>
          </w:p>
        </w:tc>
        <w:tc>
          <w:tcPr>
            <w:tcW w:w="4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5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60" w:type="dxa"/>
            <w:vAlign w:val="bottom"/>
            <w:shd w:val="clear" w:color="auto" w:fill="EEEEEE"/>
          </w:tcPr>
          <w:p>
            <w:pPr>
              <w:spacing w:after="0"/>
              <w:rPr>
                <w:sz w:val="8"/>
                <w:szCs w:val="8"/>
                <w:color w:val="auto"/>
              </w:rPr>
            </w:pPr>
          </w:p>
        </w:tc>
        <w:tc>
          <w:tcPr>
            <w:tcW w:w="116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66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6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54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4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5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42"/>
          </w:cols>
          <w:pgMar w:left="418" w:top="1290" w:right="139" w:bottom="205" w:gutter="0" w:footer="0" w:header="0"/>
        </w:sectPr>
      </w:pPr>
    </w:p>
    <w:p>
      <w:pPr>
        <w:ind w:left="2"/>
        <w:spacing w:after="0" w:line="235" w:lineRule="auto"/>
        <w:rPr>
          <w:sz w:val="20"/>
          <w:szCs w:val="20"/>
          <w:color w:val="auto"/>
        </w:rPr>
      </w:pPr>
      <w:r>
        <w:rPr>
          <w:rFonts w:ascii="Arial" w:cs="Arial" w:eastAsia="Arial" w:hAnsi="Arial"/>
          <w:sz w:val="13"/>
          <w:szCs w:val="13"/>
          <w:color w:val="auto"/>
        </w:rPr>
        <w:t>Earnings (loss) per share</w:t>
      </w:r>
    </w:p>
    <w:p>
      <w:pPr>
        <w:ind w:left="262"/>
        <w:spacing w:after="0" w:line="234" w:lineRule="auto"/>
        <w:rPr>
          <w:sz w:val="20"/>
          <w:szCs w:val="20"/>
          <w:color w:val="auto"/>
        </w:rPr>
      </w:pPr>
      <w:r>
        <w:rPr>
          <w:rFonts w:ascii="Arial" w:cs="Arial" w:eastAsia="Arial" w:hAnsi="Arial"/>
          <w:sz w:val="13"/>
          <w:szCs w:val="13"/>
          <w:color w:val="auto"/>
        </w:rPr>
        <w:t>Basic</w:t>
      </w:r>
    </w:p>
    <w:p>
      <w:pPr>
        <w:ind w:left="262"/>
        <w:spacing w:after="0" w:line="233" w:lineRule="auto"/>
        <w:rPr>
          <w:sz w:val="20"/>
          <w:szCs w:val="20"/>
          <w:color w:val="auto"/>
        </w:rPr>
      </w:pPr>
      <w:r>
        <w:rPr>
          <w:rFonts w:ascii="Arial" w:cs="Arial" w:eastAsia="Arial" w:hAnsi="Arial"/>
          <w:sz w:val="13"/>
          <w:szCs w:val="13"/>
          <w:color w:val="auto"/>
        </w:rPr>
        <w:t>Diluted</w:t>
      </w:r>
    </w:p>
    <w:p>
      <w:pPr>
        <w:ind w:left="2"/>
        <w:spacing w:after="0"/>
        <w:rPr>
          <w:sz w:val="20"/>
          <w:szCs w:val="20"/>
          <w:color w:val="auto"/>
        </w:rPr>
      </w:pPr>
      <w:r>
        <w:rPr>
          <w:rFonts w:ascii="Arial" w:cs="Arial" w:eastAsia="Arial" w:hAnsi="Arial"/>
          <w:sz w:val="11"/>
          <w:szCs w:val="11"/>
          <w:color w:val="auto"/>
        </w:rPr>
        <w:t>Common shares and equivalents outstanding</w:t>
      </w:r>
    </w:p>
    <w:p>
      <w:pPr>
        <w:spacing w:after="0" w:line="15" w:lineRule="exact"/>
        <w:rPr>
          <w:sz w:val="20"/>
          <w:szCs w:val="20"/>
          <w:color w:val="auto"/>
        </w:rPr>
      </w:pPr>
    </w:p>
    <w:p>
      <w:pPr>
        <w:ind w:left="262"/>
        <w:spacing w:after="0"/>
        <w:rPr>
          <w:sz w:val="20"/>
          <w:szCs w:val="20"/>
          <w:color w:val="auto"/>
        </w:rPr>
      </w:pPr>
      <w:r>
        <w:rPr>
          <w:rFonts w:ascii="Arial" w:cs="Arial" w:eastAsia="Arial" w:hAnsi="Arial"/>
          <w:sz w:val="13"/>
          <w:szCs w:val="13"/>
          <w:color w:val="auto"/>
        </w:rPr>
        <w:t>Basic weighted average shares</w:t>
      </w:r>
    </w:p>
    <w:p>
      <w:pPr>
        <w:ind w:left="262"/>
        <w:spacing w:after="0" w:line="233" w:lineRule="auto"/>
        <w:rPr>
          <w:sz w:val="20"/>
          <w:szCs w:val="20"/>
          <w:color w:val="auto"/>
        </w:rPr>
      </w:pPr>
      <w:r>
        <w:rPr>
          <w:rFonts w:ascii="Arial" w:cs="Arial" w:eastAsia="Arial" w:hAnsi="Arial"/>
          <w:sz w:val="13"/>
          <w:szCs w:val="13"/>
          <w:color w:val="auto"/>
        </w:rPr>
        <w:t>Diluted weighted average shares</w:t>
      </w:r>
    </w:p>
    <w:p>
      <w:pPr>
        <w:ind w:left="2"/>
        <w:spacing w:after="0"/>
        <w:rPr>
          <w:sz w:val="20"/>
          <w:szCs w:val="20"/>
          <w:color w:val="auto"/>
        </w:rPr>
      </w:pPr>
      <w:r>
        <w:rPr>
          <w:rFonts w:ascii="Arial" w:cs="Arial" w:eastAsia="Arial" w:hAnsi="Arial"/>
          <w:sz w:val="12"/>
          <w:szCs w:val="12"/>
          <w:b w:val="1"/>
          <w:bCs w:val="1"/>
          <w:color w:val="auto"/>
        </w:rPr>
        <w:t>Summary of stock option compensation:</w:t>
      </w:r>
    </w:p>
    <w:p>
      <w:pPr>
        <w:spacing w:after="0" w:line="4" w:lineRule="exact"/>
        <w:rPr>
          <w:sz w:val="20"/>
          <w:szCs w:val="20"/>
          <w:color w:val="auto"/>
        </w:rPr>
      </w:pPr>
    </w:p>
    <w:p>
      <w:pPr>
        <w:ind w:left="262"/>
        <w:spacing w:after="0"/>
        <w:rPr>
          <w:sz w:val="20"/>
          <w:szCs w:val="20"/>
          <w:color w:val="auto"/>
        </w:rPr>
      </w:pPr>
      <w:r>
        <w:rPr>
          <w:rFonts w:ascii="Arial" w:cs="Arial" w:eastAsia="Arial" w:hAnsi="Arial"/>
          <w:sz w:val="13"/>
          <w:szCs w:val="13"/>
          <w:color w:val="auto"/>
        </w:rPr>
        <w:t>Cost of services</w:t>
      </w:r>
    </w:p>
    <w:p>
      <w:pPr>
        <w:ind w:left="262"/>
        <w:spacing w:after="0"/>
        <w:rPr>
          <w:sz w:val="20"/>
          <w:szCs w:val="20"/>
          <w:color w:val="auto"/>
        </w:rPr>
      </w:pPr>
      <w:r>
        <w:rPr>
          <w:rFonts w:ascii="Arial" w:cs="Arial" w:eastAsia="Arial" w:hAnsi="Arial"/>
          <w:sz w:val="12"/>
          <w:szCs w:val="12"/>
          <w:color w:val="auto"/>
        </w:rPr>
        <w:t>Cost of maintenance and subscriptions</w:t>
      </w:r>
    </w:p>
    <w:p>
      <w:pPr>
        <w:spacing w:after="0" w:line="222" w:lineRule="exact"/>
        <w:rPr>
          <w:sz w:val="20"/>
          <w:szCs w:val="20"/>
          <w:color w:val="auto"/>
        </w:rPr>
      </w:pPr>
    </w:p>
    <w:p>
      <w:pPr>
        <w:ind w:left="522"/>
        <w:spacing w:after="0"/>
        <w:rPr>
          <w:sz w:val="20"/>
          <w:szCs w:val="20"/>
          <w:color w:val="auto"/>
        </w:rPr>
      </w:pPr>
      <w:r>
        <w:rPr>
          <w:rFonts w:ascii="Arial" w:cs="Arial" w:eastAsia="Arial" w:hAnsi="Arial"/>
          <w:sz w:val="13"/>
          <w:szCs w:val="13"/>
          <w:color w:val="auto"/>
        </w:rPr>
        <w:t>Total cost of revenue</w:t>
      </w:r>
    </w:p>
    <w:p>
      <w:pPr>
        <w:spacing w:after="0" w:line="2" w:lineRule="exact"/>
        <w:rPr>
          <w:sz w:val="20"/>
          <w:szCs w:val="20"/>
          <w:color w:val="auto"/>
        </w:rPr>
      </w:pPr>
    </w:p>
    <w:p>
      <w:pPr>
        <w:ind w:left="262"/>
        <w:spacing w:after="0"/>
        <w:rPr>
          <w:sz w:val="20"/>
          <w:szCs w:val="20"/>
          <w:color w:val="auto"/>
        </w:rPr>
      </w:pPr>
      <w:r>
        <w:rPr>
          <w:rFonts w:ascii="Arial" w:cs="Arial" w:eastAsia="Arial" w:hAnsi="Arial"/>
          <w:sz w:val="13"/>
          <w:szCs w:val="13"/>
          <w:color w:val="auto"/>
        </w:rPr>
        <w:t>Sales and marketing</w:t>
      </w:r>
    </w:p>
    <w:p>
      <w:pPr>
        <w:ind w:left="262"/>
        <w:spacing w:after="0" w:line="233" w:lineRule="auto"/>
        <w:rPr>
          <w:sz w:val="20"/>
          <w:szCs w:val="20"/>
          <w:color w:val="auto"/>
        </w:rPr>
      </w:pPr>
      <w:r>
        <w:rPr>
          <w:rFonts w:ascii="Arial" w:cs="Arial" w:eastAsia="Arial" w:hAnsi="Arial"/>
          <w:sz w:val="13"/>
          <w:szCs w:val="13"/>
          <w:color w:val="auto"/>
        </w:rPr>
        <w:t>Research and development</w:t>
      </w:r>
    </w:p>
    <w:p>
      <w:pPr>
        <w:ind w:left="262"/>
        <w:spacing w:after="0"/>
        <w:rPr>
          <w:sz w:val="20"/>
          <w:szCs w:val="20"/>
          <w:color w:val="auto"/>
        </w:rPr>
      </w:pPr>
      <w:r>
        <w:rPr>
          <w:rFonts w:ascii="Arial" w:cs="Arial" w:eastAsia="Arial" w:hAnsi="Arial"/>
          <w:sz w:val="13"/>
          <w:szCs w:val="13"/>
          <w:color w:val="auto"/>
        </w:rPr>
        <w:t>General and administrative</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0.13</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0.21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0.37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(0.01)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94"/>
              <w:spacing w:after="0"/>
              <w:rPr>
                <w:sz w:val="20"/>
                <w:szCs w:val="20"/>
                <w:color w:val="auto"/>
              </w:rPr>
            </w:pPr>
            <w:r>
              <w:rPr>
                <w:rFonts w:ascii="Arial" w:cs="Arial" w:eastAsia="Arial" w:hAnsi="Arial"/>
                <w:sz w:val="13"/>
                <w:szCs w:val="13"/>
                <w:color w:val="auto"/>
              </w:rPr>
              <w:t>(0.01)</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0.40</w:t>
            </w:r>
          </w:p>
        </w:tc>
      </w:tr>
      <w:tr>
        <w:trPr>
          <w:trHeight w:val="166"/>
        </w:trPr>
        <w:tc>
          <w:tcPr>
            <w:tcW w:w="4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0.13</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0.21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0.37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54"/>
              <w:spacing w:after="0"/>
              <w:rPr>
                <w:sz w:val="20"/>
                <w:szCs w:val="20"/>
                <w:color w:val="auto"/>
              </w:rPr>
            </w:pPr>
            <w:r>
              <w:rPr>
                <w:rFonts w:ascii="Arial" w:cs="Arial" w:eastAsia="Arial" w:hAnsi="Arial"/>
                <w:sz w:val="13"/>
                <w:szCs w:val="13"/>
                <w:color w:val="auto"/>
              </w:rPr>
              <w:t>(0.01)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294"/>
              <w:spacing w:after="0"/>
              <w:rPr>
                <w:sz w:val="20"/>
                <w:szCs w:val="20"/>
                <w:color w:val="auto"/>
              </w:rPr>
            </w:pPr>
            <w:r>
              <w:rPr>
                <w:rFonts w:ascii="Arial" w:cs="Arial" w:eastAsia="Arial" w:hAnsi="Arial"/>
                <w:sz w:val="13"/>
                <w:szCs w:val="13"/>
                <w:color w:val="auto"/>
              </w:rPr>
              <w:t>(0.01)</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0.36</w:t>
            </w:r>
          </w:p>
        </w:tc>
      </w:tr>
      <w:tr>
        <w:trPr>
          <w:trHeight w:val="271"/>
        </w:trPr>
        <w:tc>
          <w:tcPr>
            <w:tcW w:w="460" w:type="dxa"/>
            <w:vAlign w:val="bottom"/>
          </w:tcPr>
          <w:p>
            <w:pPr>
              <w:spacing w:after="0"/>
              <w:rPr>
                <w:sz w:val="23"/>
                <w:szCs w:val="23"/>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N/A</w:t>
            </w:r>
          </w:p>
        </w:tc>
        <w:tc>
          <w:tcPr>
            <w:tcW w:w="560" w:type="dxa"/>
            <w:vAlign w:val="bottom"/>
          </w:tcPr>
          <w:p>
            <w:pPr>
              <w:spacing w:after="0"/>
              <w:rPr>
                <w:sz w:val="23"/>
                <w:szCs w:val="23"/>
                <w:color w:val="auto"/>
              </w:rPr>
            </w:pP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N/A</w:t>
            </w:r>
          </w:p>
        </w:tc>
        <w:tc>
          <w:tcPr>
            <w:tcW w:w="440" w:type="dxa"/>
            <w:vAlign w:val="bottom"/>
          </w:tcPr>
          <w:p>
            <w:pPr>
              <w:spacing w:after="0"/>
              <w:rPr>
                <w:sz w:val="23"/>
                <w:szCs w:val="23"/>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w w:val="90"/>
              </w:rPr>
              <w:t>40,277</w:t>
            </w:r>
          </w:p>
        </w:tc>
        <w:tc>
          <w:tcPr>
            <w:tcW w:w="280" w:type="dxa"/>
            <w:vAlign w:val="bottom"/>
          </w:tcPr>
          <w:p>
            <w:pPr>
              <w:spacing w:after="0"/>
              <w:rPr>
                <w:sz w:val="23"/>
                <w:szCs w:val="23"/>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41,492</w:t>
            </w:r>
          </w:p>
        </w:tc>
        <w:tc>
          <w:tcPr>
            <w:tcW w:w="280" w:type="dxa"/>
            <w:vAlign w:val="bottom"/>
          </w:tcPr>
          <w:p>
            <w:pPr>
              <w:spacing w:after="0"/>
              <w:rPr>
                <w:sz w:val="23"/>
                <w:szCs w:val="2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42,360</w:t>
            </w:r>
          </w:p>
        </w:tc>
        <w:tc>
          <w:tcPr>
            <w:tcW w:w="280" w:type="dxa"/>
            <w:vAlign w:val="bottom"/>
          </w:tcPr>
          <w:p>
            <w:pPr>
              <w:spacing w:after="0"/>
              <w:rPr>
                <w:sz w:val="23"/>
                <w:szCs w:val="23"/>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42,396</w:t>
            </w:r>
          </w:p>
        </w:tc>
        <w:tc>
          <w:tcPr>
            <w:tcW w:w="280" w:type="dxa"/>
            <w:vAlign w:val="bottom"/>
          </w:tcPr>
          <w:p>
            <w:pPr>
              <w:spacing w:after="0"/>
              <w:rPr>
                <w:sz w:val="23"/>
                <w:szCs w:val="23"/>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color w:val="auto"/>
                <w:w w:val="85"/>
              </w:rPr>
              <w:t>42,391</w:t>
            </w:r>
          </w:p>
        </w:tc>
        <w:tc>
          <w:tcPr>
            <w:tcW w:w="460" w:type="dxa"/>
            <w:vAlign w:val="bottom"/>
          </w:tcPr>
          <w:p>
            <w:pPr>
              <w:spacing w:after="0"/>
              <w:rPr>
                <w:sz w:val="23"/>
                <w:szCs w:val="23"/>
                <w:color w:val="auto"/>
              </w:rPr>
            </w:pPr>
          </w:p>
        </w:tc>
        <w:tc>
          <w:tcPr>
            <w:tcW w:w="480" w:type="dxa"/>
            <w:vAlign w:val="bottom"/>
          </w:tcPr>
          <w:p>
            <w:pPr>
              <w:jc w:val="right"/>
              <w:ind w:right="14"/>
              <w:spacing w:after="0"/>
              <w:rPr>
                <w:sz w:val="20"/>
                <w:szCs w:val="20"/>
                <w:color w:val="auto"/>
              </w:rPr>
            </w:pPr>
            <w:r>
              <w:rPr>
                <w:rFonts w:ascii="Arial" w:cs="Arial" w:eastAsia="Arial" w:hAnsi="Arial"/>
                <w:sz w:val="13"/>
                <w:szCs w:val="13"/>
                <w:color w:val="auto"/>
                <w:w w:val="95"/>
              </w:rPr>
              <w:t>42,480</w:t>
            </w:r>
          </w:p>
        </w:tc>
      </w:tr>
      <w:tr>
        <w:trPr>
          <w:trHeight w:val="166"/>
        </w:trPr>
        <w:tc>
          <w:tcPr>
            <w:tcW w:w="460" w:type="dxa"/>
            <w:vAlign w:val="bottom"/>
          </w:tcPr>
          <w:p>
            <w:pPr>
              <w:spacing w:after="0"/>
              <w:rPr>
                <w:sz w:val="14"/>
                <w:szCs w:val="14"/>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N/A</w:t>
            </w:r>
          </w:p>
        </w:tc>
        <w:tc>
          <w:tcPr>
            <w:tcW w:w="5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N/A</w:t>
            </w:r>
          </w:p>
        </w:tc>
        <w:tc>
          <w:tcPr>
            <w:tcW w:w="4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w w:val="90"/>
              </w:rPr>
              <w:t>40,277</w:t>
            </w:r>
          </w:p>
        </w:tc>
        <w:tc>
          <w:tcPr>
            <w:tcW w:w="2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41,492</w:t>
            </w:r>
          </w:p>
        </w:tc>
        <w:tc>
          <w:tcPr>
            <w:tcW w:w="28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42,360</w:t>
            </w:r>
          </w:p>
        </w:tc>
        <w:tc>
          <w:tcPr>
            <w:tcW w:w="2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42,396</w:t>
            </w:r>
          </w:p>
        </w:tc>
        <w:tc>
          <w:tcPr>
            <w:tcW w:w="280" w:type="dxa"/>
            <w:vAlign w:val="bottom"/>
          </w:tcPr>
          <w:p>
            <w:pPr>
              <w:spacing w:after="0"/>
              <w:rPr>
                <w:sz w:val="14"/>
                <w:szCs w:val="14"/>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color w:val="auto"/>
                <w:w w:val="85"/>
              </w:rPr>
              <w:t>42,391</w:t>
            </w:r>
          </w:p>
        </w:tc>
        <w:tc>
          <w:tcPr>
            <w:tcW w:w="4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3"/>
                <w:szCs w:val="13"/>
                <w:color w:val="auto"/>
                <w:w w:val="95"/>
              </w:rPr>
              <w:t>46,467</w:t>
            </w:r>
          </w:p>
        </w:tc>
      </w:tr>
      <w:tr>
        <w:trPr>
          <w:trHeight w:val="271"/>
        </w:trPr>
        <w:tc>
          <w:tcPr>
            <w:tcW w:w="4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3,342</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34"/>
              <w:spacing w:after="0"/>
              <w:rPr>
                <w:sz w:val="20"/>
                <w:szCs w:val="20"/>
                <w:color w:val="auto"/>
              </w:rPr>
            </w:pPr>
            <w:r>
              <w:rPr>
                <w:rFonts w:ascii="Arial" w:cs="Arial" w:eastAsia="Arial" w:hAnsi="Arial"/>
                <w:sz w:val="13"/>
                <w:szCs w:val="13"/>
                <w:color w:val="auto"/>
              </w:rPr>
              <w:t>2,291</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(644)</w:t>
            </w:r>
          </w:p>
        </w:tc>
      </w:tr>
      <w:tr>
        <w:trPr>
          <w:trHeight w:val="166"/>
        </w:trPr>
        <w:tc>
          <w:tcPr>
            <w:tcW w:w="460" w:type="dxa"/>
            <w:vAlign w:val="bottom"/>
          </w:tcPr>
          <w:p>
            <w:pPr>
              <w:spacing w:after="0"/>
              <w:rPr>
                <w:sz w:val="14"/>
                <w:szCs w:val="14"/>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505</w:t>
            </w:r>
          </w:p>
        </w:tc>
        <w:tc>
          <w:tcPr>
            <w:tcW w:w="280" w:type="dxa"/>
            <w:vAlign w:val="bottom"/>
          </w:tcPr>
          <w:p>
            <w:pPr>
              <w:spacing w:after="0"/>
              <w:rPr>
                <w:sz w:val="14"/>
                <w:szCs w:val="14"/>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color w:val="auto"/>
              </w:rPr>
              <w:t>344</w:t>
            </w:r>
          </w:p>
        </w:tc>
        <w:tc>
          <w:tcPr>
            <w:tcW w:w="4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94"/>
        </w:trPr>
        <w:tc>
          <w:tcPr>
            <w:tcW w:w="4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r>
      <w:tr>
        <w:trPr>
          <w:trHeight w:val="236"/>
        </w:trPr>
        <w:tc>
          <w:tcPr>
            <w:tcW w:w="460" w:type="dxa"/>
            <w:vAlign w:val="bottom"/>
          </w:tcPr>
          <w:p>
            <w:pPr>
              <w:spacing w:after="0"/>
              <w:rPr>
                <w:sz w:val="20"/>
                <w:szCs w:val="20"/>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0"/>
                <w:szCs w:val="20"/>
                <w:color w:val="auto"/>
              </w:rPr>
            </w:pP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0"/>
                <w:szCs w:val="20"/>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rPr>
              <w:t>3,847</w:t>
            </w:r>
          </w:p>
        </w:tc>
        <w:tc>
          <w:tcPr>
            <w:tcW w:w="280" w:type="dxa"/>
            <w:vAlign w:val="bottom"/>
          </w:tcPr>
          <w:p>
            <w:pPr>
              <w:spacing w:after="0"/>
              <w:rPr>
                <w:sz w:val="20"/>
                <w:szCs w:val="20"/>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color w:val="auto"/>
              </w:rPr>
              <w:t>2,635</w:t>
            </w:r>
          </w:p>
        </w:tc>
        <w:tc>
          <w:tcPr>
            <w:tcW w:w="4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46"/>
        </w:trPr>
        <w:tc>
          <w:tcPr>
            <w:tcW w:w="460" w:type="dxa"/>
            <w:vAlign w:val="bottom"/>
          </w:tcPr>
          <w:p>
            <w:pPr>
              <w:spacing w:after="0"/>
              <w:rPr>
                <w:sz w:val="12"/>
                <w:szCs w:val="12"/>
                <w:color w:val="auto"/>
              </w:rPr>
            </w:pPr>
          </w:p>
        </w:tc>
        <w:tc>
          <w:tcPr>
            <w:tcW w:w="70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6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1,817</w:t>
            </w:r>
          </w:p>
        </w:tc>
        <w:tc>
          <w:tcPr>
            <w:tcW w:w="280" w:type="dxa"/>
            <w:vAlign w:val="bottom"/>
          </w:tcPr>
          <w:p>
            <w:pPr>
              <w:spacing w:after="0"/>
              <w:rPr>
                <w:sz w:val="12"/>
                <w:szCs w:val="12"/>
                <w:color w:val="auto"/>
              </w:rPr>
            </w:pPr>
          </w:p>
        </w:tc>
        <w:tc>
          <w:tcPr>
            <w:tcW w:w="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1,201</w:t>
            </w:r>
          </w:p>
        </w:tc>
        <w:tc>
          <w:tcPr>
            <w:tcW w:w="46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(194)</w:t>
            </w:r>
          </w:p>
        </w:tc>
      </w:tr>
      <w:tr>
        <w:trPr>
          <w:trHeight w:val="146"/>
        </w:trPr>
        <w:tc>
          <w:tcPr>
            <w:tcW w:w="460" w:type="dxa"/>
            <w:vAlign w:val="bottom"/>
          </w:tcPr>
          <w:p>
            <w:pPr>
              <w:spacing w:after="0"/>
              <w:rPr>
                <w:sz w:val="12"/>
                <w:szCs w:val="12"/>
                <w:color w:val="auto"/>
              </w:rPr>
            </w:pPr>
          </w:p>
        </w:tc>
        <w:tc>
          <w:tcPr>
            <w:tcW w:w="70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640" w:type="dxa"/>
            <w:vAlign w:val="bottom"/>
          </w:tcPr>
          <w:p>
            <w:pPr>
              <w:jc w:val="right"/>
              <w:ind w:right="274"/>
              <w:spacing w:after="0" w:line="146"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2,341</w:t>
            </w:r>
          </w:p>
        </w:tc>
        <w:tc>
          <w:tcPr>
            <w:tcW w:w="280" w:type="dxa"/>
            <w:vAlign w:val="bottom"/>
          </w:tcPr>
          <w:p>
            <w:pPr>
              <w:spacing w:after="0"/>
              <w:rPr>
                <w:sz w:val="12"/>
                <w:szCs w:val="12"/>
                <w:color w:val="auto"/>
              </w:rPr>
            </w:pPr>
          </w:p>
        </w:tc>
        <w:tc>
          <w:tcPr>
            <w:tcW w:w="76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1,639</w:t>
            </w:r>
          </w:p>
        </w:tc>
        <w:tc>
          <w:tcPr>
            <w:tcW w:w="46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Arial" w:cs="Arial" w:eastAsia="Arial" w:hAnsi="Arial"/>
                <w:sz w:val="13"/>
                <w:szCs w:val="13"/>
                <w:color w:val="auto"/>
              </w:rPr>
              <w:t>(517)</w:t>
            </w:r>
          </w:p>
        </w:tc>
      </w:tr>
      <w:tr>
        <w:trPr>
          <w:trHeight w:val="166"/>
        </w:trPr>
        <w:tc>
          <w:tcPr>
            <w:tcW w:w="460" w:type="dxa"/>
            <w:vAlign w:val="bottom"/>
          </w:tcPr>
          <w:p>
            <w:pPr>
              <w:spacing w:after="0"/>
              <w:rPr>
                <w:sz w:val="14"/>
                <w:szCs w:val="14"/>
                <w:color w:val="auto"/>
              </w:rPr>
            </w:pPr>
          </w:p>
        </w:tc>
        <w:tc>
          <w:tcPr>
            <w:tcW w:w="700" w:type="dxa"/>
            <w:vAlign w:val="bottom"/>
          </w:tcPr>
          <w:p>
            <w:pPr>
              <w:jc w:val="right"/>
              <w:ind w:right="33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3"/>
                <w:szCs w:val="13"/>
                <w:color w:val="auto"/>
                <w:w w:val="95"/>
              </w:rPr>
              <w:t>19,533</w:t>
            </w:r>
          </w:p>
        </w:tc>
        <w:tc>
          <w:tcPr>
            <w:tcW w:w="280" w:type="dxa"/>
            <w:vAlign w:val="bottom"/>
          </w:tcPr>
          <w:p>
            <w:pPr>
              <w:spacing w:after="0"/>
              <w:rPr>
                <w:sz w:val="14"/>
                <w:szCs w:val="14"/>
                <w:color w:val="auto"/>
              </w:rPr>
            </w:pPr>
          </w:p>
        </w:tc>
        <w:tc>
          <w:tcPr>
            <w:tcW w:w="760" w:type="dxa"/>
            <w:vAlign w:val="bottom"/>
          </w:tcPr>
          <w:p>
            <w:pPr>
              <w:jc w:val="right"/>
              <w:ind w:right="334"/>
              <w:spacing w:after="0"/>
              <w:rPr>
                <w:sz w:val="20"/>
                <w:szCs w:val="20"/>
                <w:color w:val="auto"/>
              </w:rPr>
            </w:pPr>
            <w:r>
              <w:rPr>
                <w:rFonts w:ascii="Arial" w:cs="Arial" w:eastAsia="Arial" w:hAnsi="Arial"/>
                <w:sz w:val="13"/>
                <w:szCs w:val="13"/>
                <w:color w:val="auto"/>
                <w:w w:val="85"/>
              </w:rPr>
              <w:t>14,486</w:t>
            </w:r>
          </w:p>
        </w:tc>
        <w:tc>
          <w:tcPr>
            <w:tcW w:w="4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3"/>
                <w:szCs w:val="13"/>
                <w:color w:val="auto"/>
              </w:rPr>
              <w:t>766</w:t>
            </w:r>
          </w:p>
        </w:tc>
      </w:tr>
    </w:tbl>
    <w:p>
      <w:pPr>
        <w:spacing w:after="0" w:line="200" w:lineRule="exact"/>
        <w:rPr>
          <w:sz w:val="20"/>
          <w:szCs w:val="20"/>
          <w:color w:val="auto"/>
        </w:rPr>
      </w:pPr>
    </w:p>
    <w:p>
      <w:pPr>
        <w:sectPr>
          <w:pgSz w:w="11900" w:h="16838" w:orient="portrait"/>
          <w:cols w:equalWidth="0" w:num="2">
            <w:col w:w="2662" w:space="720"/>
            <w:col w:w="7960"/>
          </w:cols>
          <w:pgMar w:left="418" w:top="1290" w:right="139" w:bottom="205" w:gutter="0" w:footer="0" w:header="0"/>
          <w:type w:val="continuous"/>
        </w:sectPr>
      </w:pPr>
    </w:p>
    <w:p>
      <w:pPr>
        <w:spacing w:after="0" w:line="9"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380" w:type="dxa"/>
            <w:vAlign w:val="bottom"/>
            <w:gridSpan w:val="2"/>
            <w:shd w:val="clear" w:color="auto" w:fill="EEEEEE"/>
          </w:tcPr>
          <w:p>
            <w:pPr>
              <w:ind w:left="520"/>
              <w:spacing w:after="0"/>
              <w:rPr>
                <w:sz w:val="20"/>
                <w:szCs w:val="20"/>
                <w:color w:val="auto"/>
              </w:rPr>
            </w:pPr>
            <w:r>
              <w:rPr>
                <w:rFonts w:ascii="Arial" w:cs="Arial" w:eastAsia="Arial" w:hAnsi="Arial"/>
                <w:sz w:val="13"/>
                <w:szCs w:val="13"/>
                <w:color w:val="auto"/>
              </w:rPr>
              <w:t>Total operating expenses</w:t>
            </w:r>
          </w:p>
        </w:tc>
        <w:tc>
          <w:tcPr>
            <w:tcW w:w="1160" w:type="dxa"/>
            <w:vAlign w:val="bottom"/>
            <w:shd w:val="clear" w:color="auto" w:fill="EEEEEE"/>
          </w:tcPr>
          <w:p>
            <w:pPr>
              <w:jc w:val="right"/>
              <w:ind w:right="334"/>
              <w:spacing w:after="0"/>
              <w:rPr>
                <w:sz w:val="20"/>
                <w:szCs w:val="20"/>
                <w:color w:val="auto"/>
              </w:rPr>
            </w:pPr>
            <w:r>
              <w:rPr>
                <w:rFonts w:ascii="Arial" w:cs="Arial" w:eastAsia="Arial" w:hAnsi="Arial"/>
                <w:sz w:val="13"/>
                <w:szCs w:val="13"/>
                <w:color w:val="auto"/>
              </w:rPr>
              <w:t>—</w:t>
            </w:r>
          </w:p>
        </w:tc>
        <w:tc>
          <w:tcPr>
            <w:tcW w:w="1200" w:type="dxa"/>
            <w:vAlign w:val="bottom"/>
            <w:shd w:val="clear" w:color="auto" w:fill="EEEEEE"/>
          </w:tcPr>
          <w:p>
            <w:pPr>
              <w:jc w:val="right"/>
              <w:ind w:right="274"/>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0"/>
              <w:spacing w:after="0"/>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shd w:val="clear" w:color="auto" w:fill="EEEEEE"/>
          </w:tcPr>
          <w:p>
            <w:pPr>
              <w:jc w:val="right"/>
              <w:ind w:right="110"/>
              <w:spacing w:after="0"/>
              <w:rPr>
                <w:sz w:val="20"/>
                <w:szCs w:val="20"/>
                <w:color w:val="auto"/>
              </w:rPr>
            </w:pPr>
            <w:r>
              <w:rPr>
                <w:rFonts w:ascii="Arial" w:cs="Arial" w:eastAsia="Arial" w:hAnsi="Arial"/>
                <w:sz w:val="13"/>
                <w:szCs w:val="13"/>
                <w:color w:val="auto"/>
              </w:rPr>
              <w:t>—</w:t>
            </w:r>
          </w:p>
        </w:tc>
        <w:tc>
          <w:tcPr>
            <w:tcW w:w="92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23,691</w:t>
            </w:r>
          </w:p>
        </w:tc>
        <w:tc>
          <w:tcPr>
            <w:tcW w:w="104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17,326</w:t>
            </w:r>
          </w:p>
        </w:tc>
        <w:tc>
          <w:tcPr>
            <w:tcW w:w="96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55</w:t>
            </w:r>
          </w:p>
        </w:tc>
      </w:tr>
      <w:tr>
        <w:trPr>
          <w:trHeight w:val="106"/>
        </w:trPr>
        <w:tc>
          <w:tcPr>
            <w:tcW w:w="20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r>
        <w:trPr>
          <w:trHeight w:val="99"/>
        </w:trPr>
        <w:tc>
          <w:tcPr>
            <w:tcW w:w="20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146"/>
        </w:trPr>
        <w:tc>
          <w:tcPr>
            <w:tcW w:w="3380" w:type="dxa"/>
            <w:vAlign w:val="bottom"/>
            <w:gridSpan w:val="2"/>
            <w:shd w:val="clear" w:color="auto" w:fill="EEEEEE"/>
          </w:tcPr>
          <w:p>
            <w:pPr>
              <w:ind w:left="520"/>
              <w:spacing w:after="0" w:line="146" w:lineRule="exact"/>
              <w:rPr>
                <w:sz w:val="20"/>
                <w:szCs w:val="20"/>
                <w:color w:val="auto"/>
              </w:rPr>
            </w:pPr>
            <w:r>
              <w:rPr>
                <w:rFonts w:ascii="Arial" w:cs="Arial" w:eastAsia="Arial" w:hAnsi="Arial"/>
                <w:sz w:val="13"/>
                <w:szCs w:val="13"/>
                <w:color w:val="auto"/>
              </w:rPr>
              <w:t>Total stock option compensation</w:t>
            </w:r>
          </w:p>
        </w:tc>
        <w:tc>
          <w:tcPr>
            <w:tcW w:w="116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    —</w:t>
            </w:r>
          </w:p>
        </w:tc>
        <w:tc>
          <w:tcPr>
            <w:tcW w:w="120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    —</w:t>
            </w:r>
          </w:p>
        </w:tc>
        <w:tc>
          <w:tcPr>
            <w:tcW w:w="1020" w:type="dxa"/>
            <w:vAlign w:val="bottom"/>
            <w:shd w:val="clear" w:color="auto" w:fill="EEEEEE"/>
          </w:tcPr>
          <w:p>
            <w:pPr>
              <w:jc w:val="right"/>
              <w:ind w:right="15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    —</w:t>
            </w:r>
          </w:p>
        </w:tc>
        <w:tc>
          <w:tcPr>
            <w:tcW w:w="840" w:type="dxa"/>
            <w:vAlign w:val="bottom"/>
            <w:shd w:val="clear" w:color="auto" w:fill="EEEEEE"/>
          </w:tcPr>
          <w:p>
            <w:pPr>
              <w:jc w:val="right"/>
              <w:ind w:right="110"/>
              <w:spacing w:after="0" w:line="146" w:lineRule="exact"/>
              <w:rPr>
                <w:sz w:val="20"/>
                <w:szCs w:val="20"/>
                <w:color w:val="auto"/>
              </w:rPr>
            </w:pPr>
            <w:r>
              <w:rPr>
                <w:rFonts w:ascii="Arial" w:cs="Arial" w:eastAsia="Arial" w:hAnsi="Arial"/>
                <w:sz w:val="13"/>
                <w:szCs w:val="13"/>
                <w:color w:val="auto"/>
              </w:rPr>
              <w:t>$—</w:t>
            </w:r>
          </w:p>
        </w:tc>
        <w:tc>
          <w:tcPr>
            <w:tcW w:w="9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$ 27,538</w:t>
            </w:r>
          </w:p>
        </w:tc>
        <w:tc>
          <w:tcPr>
            <w:tcW w:w="104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$19,961</w:t>
            </w:r>
          </w:p>
        </w:tc>
        <w:tc>
          <w:tcPr>
            <w:tcW w:w="9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   (695)</w:t>
            </w:r>
          </w:p>
        </w:tc>
      </w:tr>
      <w:tr>
        <w:trPr>
          <w:trHeight w:val="106"/>
        </w:trPr>
        <w:tc>
          <w:tcPr>
            <w:tcW w:w="2080" w:type="dxa"/>
            <w:vAlign w:val="bottom"/>
            <w:tcBorders>
              <w:bottom w:val="single" w:sz="8" w:color="808080"/>
            </w:tcBorders>
          </w:tcPr>
          <w:p>
            <w:pPr>
              <w:spacing w:after="0"/>
              <w:rPr>
                <w:sz w:val="9"/>
                <w:szCs w:val="9"/>
                <w:color w:val="auto"/>
              </w:rPr>
            </w:pPr>
          </w:p>
        </w:tc>
        <w:tc>
          <w:tcPr>
            <w:tcW w:w="13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97" w:lineRule="exact"/>
        <w:rPr>
          <w:sz w:val="20"/>
          <w:szCs w:val="20"/>
          <w:color w:val="auto"/>
        </w:rPr>
      </w:pPr>
    </w:p>
    <w:p>
      <w:pPr>
        <w:ind w:left="242" w:hanging="242"/>
        <w:spacing w:after="0"/>
        <w:tabs>
          <w:tab w:leader="none" w:pos="242" w:val="left"/>
        </w:tabs>
        <w:numPr>
          <w:ilvl w:val="0"/>
          <w:numId w:val="5"/>
        </w:numPr>
        <w:rPr>
          <w:rFonts w:ascii="Arial" w:cs="Arial" w:eastAsia="Arial" w:hAnsi="Arial"/>
          <w:sz w:val="17"/>
          <w:szCs w:val="17"/>
          <w:color w:val="auto"/>
        </w:rPr>
      </w:pPr>
      <w:r>
        <w:rPr>
          <w:rFonts w:ascii="Arial" w:cs="Arial" w:eastAsia="Arial" w:hAnsi="Arial"/>
          <w:sz w:val="17"/>
          <w:szCs w:val="17"/>
          <w:color w:val="auto"/>
        </w:rPr>
        <w:t>Includes stock option compensation as set forth in Summary of stock option compensation.</w:t>
      </w:r>
    </w:p>
    <w:p>
      <w:pPr>
        <w:spacing w:after="0" w:line="21" w:lineRule="exact"/>
        <w:rPr>
          <w:rFonts w:ascii="Arial" w:cs="Arial" w:eastAsia="Arial" w:hAnsi="Arial"/>
          <w:sz w:val="17"/>
          <w:szCs w:val="17"/>
          <w:color w:val="auto"/>
        </w:rPr>
      </w:pPr>
    </w:p>
    <w:p>
      <w:pPr>
        <w:ind w:left="242" w:right="140" w:hanging="242"/>
        <w:spacing w:after="0" w:line="259" w:lineRule="auto"/>
        <w:tabs>
          <w:tab w:leader="none" w:pos="242" w:val="left"/>
        </w:tabs>
        <w:numPr>
          <w:ilvl w:val="0"/>
          <w:numId w:val="5"/>
        </w:numPr>
        <w:rPr>
          <w:rFonts w:ascii="Arial" w:cs="Arial" w:eastAsia="Arial" w:hAnsi="Arial"/>
          <w:sz w:val="17"/>
          <w:szCs w:val="17"/>
          <w:color w:val="auto"/>
        </w:rPr>
      </w:pPr>
      <w:r>
        <w:rPr>
          <w:rFonts w:ascii="Arial" w:cs="Arial" w:eastAsia="Arial" w:hAnsi="Arial"/>
          <w:sz w:val="17"/>
          <w:szCs w:val="17"/>
          <w:color w:val="auto"/>
        </w:rPr>
        <w:t>Earnings per share not computed for this year because we were an S corporation until our recapitalization in October 1999 and therefore the information would not be meaningful.</w:t>
      </w:r>
    </w:p>
    <w:p>
      <w:pPr>
        <w:spacing w:after="0" w:line="1" w:lineRule="exact"/>
        <w:rPr>
          <w:rFonts w:ascii="Arial" w:cs="Arial" w:eastAsia="Arial" w:hAnsi="Arial"/>
          <w:sz w:val="17"/>
          <w:szCs w:val="17"/>
          <w:color w:val="auto"/>
        </w:rPr>
      </w:pPr>
    </w:p>
    <w:p>
      <w:pPr>
        <w:ind w:left="242" w:right="720" w:hanging="242"/>
        <w:spacing w:after="0" w:line="312" w:lineRule="auto"/>
        <w:tabs>
          <w:tab w:leader="none" w:pos="242" w:val="left"/>
        </w:tabs>
        <w:numPr>
          <w:ilvl w:val="0"/>
          <w:numId w:val="5"/>
        </w:numPr>
        <w:rPr>
          <w:rFonts w:ascii="Arial" w:cs="Arial" w:eastAsia="Arial" w:hAnsi="Arial"/>
          <w:sz w:val="16"/>
          <w:szCs w:val="16"/>
          <w:color w:val="auto"/>
        </w:rPr>
      </w:pPr>
      <w:r>
        <w:rPr>
          <w:rFonts w:ascii="Arial" w:cs="Arial" w:eastAsia="Arial" w:hAnsi="Arial"/>
          <w:sz w:val="16"/>
          <w:szCs w:val="16"/>
          <w:color w:val="auto"/>
        </w:rPr>
        <w:t>Certain amounts in the 1998, 1999 and 2000 financial statements have been reclassified to conform to the 2003 financial statement presentation. These reclassifications have no effect on previously reported net income (loss), shareholders’ equity or net income (loss) per share.</w:t>
      </w:r>
    </w:p>
    <w:p>
      <w:pPr>
        <w:spacing w:after="0" w:line="323" w:lineRule="exact"/>
        <w:rPr>
          <w:sz w:val="20"/>
          <w:szCs w:val="20"/>
          <w:color w:val="auto"/>
        </w:rPr>
      </w:pPr>
    </w:p>
    <w:p>
      <w:pPr>
        <w:jc w:val="center"/>
        <w:ind w:right="258"/>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290" w:right="139" w:bottom="205" w:gutter="0" w:footer="0" w:header="0"/>
          <w:type w:val="continuous"/>
        </w:sectPr>
      </w:pPr>
    </w:p>
    <w:bookmarkStart w:id="9" w:name="page10"/>
    <w:bookmarkEnd w:id="9"/>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2448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930" cy="2448560"/>
                    </a:xfrm>
                    <a:prstGeom prst="rect">
                      <a:avLst/>
                    </a:prstGeom>
                    <a:noFill/>
                  </pic:spPr>
                </pic:pic>
              </a:graphicData>
            </a:graphic>
          </wp:anchor>
        </w:drawing>
      </w:r>
    </w:p>
    <w:p>
      <w:pPr>
        <w:jc w:val="center"/>
        <w:ind w:right="1180"/>
        <w:spacing w:after="0"/>
        <w:rPr>
          <w:sz w:val="20"/>
          <w:szCs w:val="20"/>
          <w:color w:val="auto"/>
        </w:rPr>
      </w:pPr>
      <w:r>
        <w:rPr>
          <w:rFonts w:ascii="Arial" w:cs="Arial" w:eastAsia="Arial" w:hAnsi="Arial"/>
          <w:sz w:val="13"/>
          <w:szCs w:val="13"/>
          <w:b w:val="1"/>
          <w:bCs w:val="1"/>
          <w:color w:val="auto"/>
        </w:rPr>
        <w:t>September 30, 2004 (unaudited)</w:t>
      </w:r>
    </w:p>
    <w:p>
      <w:pPr>
        <w:spacing w:after="0" w:line="10" w:lineRule="exact"/>
        <w:rPr>
          <w:sz w:val="20"/>
          <w:szCs w:val="20"/>
          <w:color w:val="auto"/>
        </w:rPr>
      </w:pPr>
    </w:p>
    <w:p>
      <w:pPr>
        <w:jc w:val="center"/>
        <w:ind w:right="1180"/>
        <w:spacing w:after="0"/>
        <w:rPr>
          <w:sz w:val="20"/>
          <w:szCs w:val="20"/>
          <w:color w:val="auto"/>
        </w:rPr>
      </w:pPr>
      <w:r>
        <w:rPr>
          <w:rFonts w:ascii="Arial" w:cs="Arial" w:eastAsia="Arial" w:hAnsi="Arial"/>
          <w:sz w:val="13"/>
          <w:szCs w:val="13"/>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Consolidated balance sheet data:</w:t>
            </w:r>
          </w:p>
        </w:tc>
        <w:tc>
          <w:tcPr>
            <w:tcW w:w="58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33,382</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color w:val="auto"/>
              </w:rPr>
              <w:t>Deferred tax asset, including current portion</w:t>
            </w:r>
          </w:p>
        </w:tc>
        <w:tc>
          <w:tcPr>
            <w:tcW w:w="5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81,210</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Working capital</w:t>
            </w:r>
          </w:p>
        </w:tc>
        <w:tc>
          <w:tcPr>
            <w:tcW w:w="580" w:type="dxa"/>
            <w:vAlign w:val="bottom"/>
          </w:tcPr>
          <w:p>
            <w:pPr>
              <w:spacing w:after="0"/>
              <w:rPr>
                <w:sz w:val="18"/>
                <w:szCs w:val="18"/>
                <w:color w:val="auto"/>
              </w:rPr>
            </w:pPr>
          </w:p>
        </w:tc>
        <w:tc>
          <w:tcPr>
            <w:tcW w:w="860" w:type="dxa"/>
            <w:vAlign w:val="bottom"/>
          </w:tcPr>
          <w:p>
            <w:pPr>
              <w:jc w:val="right"/>
              <w:ind w:right="154"/>
              <w:spacing w:after="0"/>
              <w:rPr>
                <w:sz w:val="20"/>
                <w:szCs w:val="20"/>
                <w:color w:val="auto"/>
              </w:rPr>
            </w:pPr>
            <w:r>
              <w:rPr>
                <w:rFonts w:ascii="Arial" w:cs="Arial" w:eastAsia="Arial" w:hAnsi="Arial"/>
                <w:sz w:val="17"/>
                <w:szCs w:val="17"/>
                <w:color w:val="auto"/>
                <w:w w:val="94"/>
              </w:rPr>
              <w:t>(11,879)</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color w:val="auto"/>
              </w:rPr>
              <w:t>Total assets</w:t>
            </w:r>
          </w:p>
        </w:tc>
        <w:tc>
          <w:tcPr>
            <w:tcW w:w="5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w w:val="87"/>
              </w:rPr>
              <w:t>142,585</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Deferred revenue</w:t>
            </w:r>
          </w:p>
        </w:tc>
        <w:tc>
          <w:tcPr>
            <w:tcW w:w="58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51,727</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color w:val="auto"/>
              </w:rPr>
              <w:t>Long-term debt and capital lease obligations, excluding current portion</w:t>
            </w:r>
          </w:p>
        </w:tc>
        <w:tc>
          <w:tcPr>
            <w:tcW w:w="5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Total liabilities</w:t>
            </w:r>
          </w:p>
        </w:tc>
        <w:tc>
          <w:tcPr>
            <w:tcW w:w="58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66,266</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color w:val="auto"/>
              </w:rPr>
              <w:t>Common stock</w:t>
            </w:r>
          </w:p>
        </w:tc>
        <w:tc>
          <w:tcPr>
            <w:tcW w:w="58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43</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580" w:type="dxa"/>
            <w:vAlign w:val="bottom"/>
          </w:tcPr>
          <w:p>
            <w:pPr>
              <w:spacing w:after="0"/>
              <w:rPr>
                <w:sz w:val="18"/>
                <w:szCs w:val="18"/>
                <w:color w:val="auto"/>
              </w:rPr>
            </w:pP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38,056</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2460" w:type="dxa"/>
            <w:vAlign w:val="bottom"/>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7"/>
                <w:szCs w:val="17"/>
                <w:color w:val="auto"/>
              </w:rPr>
              <w:t>Total stockholders’ equity</w:t>
            </w: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76,319</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06"/>
        </w:trPr>
        <w:tc>
          <w:tcPr>
            <w:tcW w:w="246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1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54"/>
        </w:trPr>
        <w:tc>
          <w:tcPr>
            <w:tcW w:w="2460" w:type="dxa"/>
            <w:vAlign w:val="bottom"/>
            <w:tcBorders>
              <w:bottom w:val="single" w:sz="8" w:color="auto"/>
            </w:tcBorders>
          </w:tcPr>
          <w:p>
            <w:pPr>
              <w:spacing w:after="0"/>
              <w:rPr>
                <w:sz w:val="22"/>
                <w:szCs w:val="22"/>
                <w:color w:val="auto"/>
              </w:rPr>
            </w:pPr>
          </w:p>
        </w:tc>
        <w:tc>
          <w:tcPr>
            <w:tcW w:w="54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417"/>
        </w:trPr>
        <w:tc>
          <w:tcPr>
            <w:tcW w:w="7860" w:type="dxa"/>
            <w:vAlign w:val="bottom"/>
            <w:gridSpan w:val="2"/>
          </w:tcPr>
          <w:p>
            <w:pPr>
              <w:jc w:val="right"/>
              <w:ind w:right="2014"/>
              <w:spacing w:after="0"/>
              <w:rPr>
                <w:sz w:val="20"/>
                <w:szCs w:val="20"/>
                <w:color w:val="auto"/>
              </w:rPr>
            </w:pPr>
            <w:r>
              <w:rPr>
                <w:rFonts w:ascii="Arial" w:cs="Arial" w:eastAsia="Arial" w:hAnsi="Arial"/>
                <w:sz w:val="17"/>
                <w:szCs w:val="17"/>
                <w:color w:val="auto"/>
              </w:rPr>
              <w:t>5</w:t>
            </w: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4"/>
        </w:trPr>
        <w:tc>
          <w:tcPr>
            <w:tcW w:w="2460" w:type="dxa"/>
            <w:vAlign w:val="bottom"/>
            <w:tcBorders>
              <w:bottom w:val="single" w:sz="8" w:color="808080"/>
            </w:tcBorders>
          </w:tcPr>
          <w:p>
            <w:pPr>
              <w:spacing w:after="0"/>
              <w:rPr>
                <w:sz w:val="19"/>
                <w:szCs w:val="19"/>
                <w:color w:val="auto"/>
              </w:rPr>
            </w:pPr>
          </w:p>
        </w:tc>
        <w:tc>
          <w:tcPr>
            <w:tcW w:w="54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40" w:right="139" w:bottom="1440" w:gutter="0" w:footer="0" w:header="0"/>
        </w:sectPr>
      </w:pPr>
    </w:p>
    <w:bookmarkStart w:id="10" w:name="page11"/>
    <w:bookmarkEnd w:id="10"/>
    <w:p>
      <w:pPr>
        <w:jc w:val="center"/>
        <w:spacing w:after="0"/>
        <w:rPr>
          <w:sz w:val="20"/>
          <w:szCs w:val="20"/>
          <w:color w:val="auto"/>
        </w:rPr>
      </w:pPr>
      <w:r>
        <w:rPr>
          <w:rFonts w:ascii="Arial" w:cs="Arial" w:eastAsia="Arial" w:hAnsi="Arial"/>
          <w:sz w:val="24"/>
          <w:szCs w:val="24"/>
          <w:b w:val="1"/>
          <w:bCs w:val="1"/>
          <w:color w:val="auto"/>
        </w:rPr>
        <w:t>Risk factors</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following risk factors and the other information in this prospectus, including our consolidated financial statements and the related notes thereto, before investing in our common stock. Our business, operating results and financial condition could be seriously harmed by any of the following risks. The trading price of our common stock could decline due to any of these risks, in which case you could lose all or part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our business</w:t>
      </w:r>
    </w:p>
    <w:p>
      <w:pPr>
        <w:spacing w:after="0" w:line="22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The market for software and services for nonprofit organizations might not grow, and nonprofit organizations might not continue to adopt our products and services.</w:t>
      </w:r>
    </w:p>
    <w:p>
      <w:pPr>
        <w:spacing w:after="0" w:line="169"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Many nonprofit organizations have not traditionally used integrated and comprehensive software and services for their nonprofit-specific needs. We cannot be certain that the market for such products and services will continue to develop and grow or that nonprofit organizations will elect to adopt our products and services rather than continue to use traditional, less automated methods, attempt to develop software internally, rely upon legacy software systems, or use generalized software solutions not specifically designed for the nonprofit market. Nonprofit organizations that have already invested substantial resources in other fundraising methods or other non-integrated software solutions might be reluctant to adopt our products and services to supplement or replace their existing systems or methods. In addition, the implementation of one or more of our core software products can involve significant time and capital commitments by our customers, which they may be unwilling or unable to make. If demand for and market acceptance of our products and services does not increase, we might not grow our business as we expect.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generate increased business from our current customers, which could limit our revenue in the future.</w:t>
      </w:r>
    </w:p>
    <w:p>
      <w:pPr>
        <w:spacing w:after="0" w:line="22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Our business model is highly dependent on the success of our efforts to increase sales to our existing customers. Many of our customers initially make a purchase of only one or a limited number of our products or only for a single department within their organization. These customers might choose not to expand their use of or make additional purchases of our products and services. If we fail to generate additional business from our current customers, our revenue could grow at a slower rate or even decrease. In addition, as we deploy new applications and features for our existing products or introduce new products and services, our current customers could choose not to purchase these new offerings.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our customers do not renew their annual maintenance and support agreements for our products or if they do not renew them on terms that are favorable to us, our business might suffer.</w:t>
      </w:r>
    </w:p>
    <w:p>
      <w:pPr>
        <w:spacing w:after="0" w:line="169" w:lineRule="exact"/>
        <w:rPr>
          <w:sz w:val="20"/>
          <w:szCs w:val="20"/>
          <w:color w:val="auto"/>
        </w:rPr>
      </w:pPr>
    </w:p>
    <w:p>
      <w:pPr>
        <w:ind w:right="180"/>
        <w:spacing w:after="0" w:line="315" w:lineRule="auto"/>
        <w:rPr>
          <w:sz w:val="20"/>
          <w:szCs w:val="20"/>
          <w:color w:val="auto"/>
        </w:rPr>
      </w:pPr>
      <w:r>
        <w:rPr>
          <w:rFonts w:ascii="Arial" w:cs="Arial" w:eastAsia="Arial" w:hAnsi="Arial"/>
          <w:sz w:val="15"/>
          <w:szCs w:val="15"/>
          <w:color w:val="auto"/>
        </w:rPr>
        <w:t>Most of our maintenance agreements are for a term of one year. As the end of the annual period approaches, we pursue the renewal of the agreement with the customer. Historically, maintenance renewals have represented a significant portion of our total revenue, including approximately 49% of our total revenue in 2003 and 47% of our total revenue for the fiscal nine months ended September 30, 2004. Because of this characteristic of our business, if our customers choose not to renew their maintenance and support agreements with us on beneficial terms, our business, operating results and financial condition could be harmed.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1" w:name="page12"/>
    <w:bookmarkEnd w:id="11"/>
    <w:p>
      <w:pPr>
        <w:ind w:right="160"/>
        <w:spacing w:after="0" w:line="286" w:lineRule="auto"/>
        <w:rPr>
          <w:sz w:val="20"/>
          <w:szCs w:val="20"/>
          <w:color w:val="auto"/>
        </w:rPr>
      </w:pPr>
      <w:r>
        <w:rPr>
          <w:rFonts w:ascii="Arial" w:cs="Arial" w:eastAsia="Arial" w:hAnsi="Arial"/>
          <w:sz w:val="17"/>
          <w:szCs w:val="17"/>
          <w:b w:val="1"/>
          <w:bCs w:val="1"/>
          <w:i w:val="1"/>
          <w:iCs w:val="1"/>
          <w:color w:val="auto"/>
        </w:rPr>
        <w:t>A substantial majority of our revenue is derived from The Raiser’s Edge and a decline in sales or renewals of this product and related services could harm our business.</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derive a substantial majority of our revenue from the sale of The Raiser’s Edge and related services, and revenue from this product and related services is expected to continue to account for a substantial majority of our total revenue for the foreseeable future. For example, revenue from the sale of The Raiser’s Edge and related services represented approximately 72% of our total revenue in 2003 and 70% of our total revenue for the nine months ended September 30, 2004. Because we generally sell licenses to our products on a perpetual basis and deliver new versions and enhancements to customers who purchase annual maintenance and support, our future license, services and maintenance revenue are substantially dependent on sales to new customers. In addition, we frequently sell The Raiser’s Edge to new customers and then attempt to generate incremental revenue from the sale of additional products and services. If demand for The Raiser’s Edge declines significantly, our business would suffer.</w:t>
      </w:r>
    </w:p>
    <w:p>
      <w:pPr>
        <w:spacing w:after="0" w:line="188"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b w:val="1"/>
          <w:bCs w:val="1"/>
          <w:i w:val="1"/>
          <w:iCs w:val="1"/>
          <w:color w:val="auto"/>
        </w:rPr>
        <w:t>Our quarterly financial results fluctuate and might be difficult to forecast and, if our future results are below either any guidance we might issue or the expectations of public market analysts and investors, the price of our common stock might decline.</w:t>
      </w:r>
    </w:p>
    <w:p>
      <w:pPr>
        <w:spacing w:after="0" w:line="169" w:lineRule="exact"/>
        <w:rPr>
          <w:sz w:val="20"/>
          <w:szCs w:val="20"/>
          <w:color w:val="auto"/>
        </w:rPr>
      </w:pPr>
    </w:p>
    <w:p>
      <w:pPr>
        <w:ind w:right="380"/>
        <w:spacing w:after="0" w:line="325" w:lineRule="auto"/>
        <w:rPr>
          <w:sz w:val="20"/>
          <w:szCs w:val="20"/>
          <w:color w:val="auto"/>
        </w:rPr>
      </w:pPr>
      <w:r>
        <w:rPr>
          <w:rFonts w:ascii="Arial" w:cs="Arial" w:eastAsia="Arial" w:hAnsi="Arial"/>
          <w:sz w:val="15"/>
          <w:szCs w:val="15"/>
          <w:color w:val="auto"/>
        </w:rPr>
        <w:t>Our quarterly revenue and results of operations are difficult to forecast. We have experienced, and expect to continue to experience, fluctuations in revenue and operating results from quarter to quarter. As a result, we believe that quarter-to-quarter comparisons of our revenue and operating results are not necessarily meaningful and that such comparisons might not be accurate indicators of future performance. The reasons for these fluctuations include but are not limited to:</w:t>
      </w:r>
    </w:p>
    <w:p>
      <w:pPr>
        <w:spacing w:after="0" w:line="146" w:lineRule="exact"/>
        <w:rPr>
          <w:sz w:val="20"/>
          <w:szCs w:val="20"/>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size and timing of sales of our software, including the relatively long sales cycles associated with many of our large software sales;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budget and spending decisions by our customers;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market acceptance of new products we release, such as our recently-introduced business intelligence tools;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amount and timing of operating costs related to the expansion of our business, operations and infrastructure;</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our pricing policies or our competitors’ pricing policies;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seasonality in our revenue;</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conditions;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costs related to acquisitions of technologies or businesses.</w:t>
      </w:r>
    </w:p>
    <w:p>
      <w:pPr>
        <w:spacing w:after="0" w:line="228"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Our operating expenses, which include sales and marketing, research and development and general and administrative expenses, are based on our expectations of future revenue and are, to a large extent, fixed in the short term. If revenue falls below our expectations in a quarter and we are not able to quickly reduce our operating expenses in response, our operating results for that quarter could be adversely affected. It is possible that in some future quarter our operating results may be below either any guidance we might issue or the expectations of public market analysts and investors and, as a result, the price of our common stock might fall.</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12" w:name="page13"/>
    <w:bookmarkEnd w:id="12"/>
    <w:p>
      <w:pPr>
        <w:ind w:right="740"/>
        <w:spacing w:after="0" w:line="286" w:lineRule="auto"/>
        <w:rPr>
          <w:sz w:val="20"/>
          <w:szCs w:val="20"/>
          <w:color w:val="auto"/>
        </w:rPr>
      </w:pPr>
      <w:r>
        <w:rPr>
          <w:rFonts w:ascii="Arial" w:cs="Arial" w:eastAsia="Arial" w:hAnsi="Arial"/>
          <w:sz w:val="17"/>
          <w:szCs w:val="17"/>
          <w:b w:val="1"/>
          <w:bCs w:val="1"/>
          <w:i w:val="1"/>
          <w:iCs w:val="1"/>
          <w:color w:val="auto"/>
        </w:rPr>
        <w:t>We encounter long sales and implementation cycles, particularly for our largest customers, which could have an adverse effect on the size, timing and predictability of our revenue and sales.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Potential customers, particularly our larger enterprise-wide clients, generally commit significant resources to an evaluation of available software and require us to expend substantial time, effort and money educating them as to the value of our software and services. Sales of our core software products to these larger customers often require an extensive education and marketing effort.</w:t>
      </w:r>
    </w:p>
    <w:p>
      <w:pPr>
        <w:spacing w:after="0" w:line="180"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could expend significant funds and management resources during the sales cycle and ultimately fail to close the sale. Our core software product sales cycle averages approximately two months for sales to existing customers and from six to nine months for sales to new customers and large enterprise-wide sales. Our implementation cycle for large enterprise-wide sales can extend for a year or more, which can negatively impact the timing and predictability of our revenue. Our sales cycle for all of our products and services is subject to significant risks and delays over which we have little or no control, including:</w:t>
      </w:r>
    </w:p>
    <w:p>
      <w:pPr>
        <w:spacing w:after="0" w:line="169" w:lineRule="exact"/>
        <w:rPr>
          <w:sz w:val="20"/>
          <w:szCs w:val="20"/>
          <w:color w:val="auto"/>
        </w:rPr>
      </w:pPr>
    </w:p>
    <w:p>
      <w:pPr>
        <w:ind w:left="240" w:hanging="234"/>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customers’ budgetary constraints;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of our clients’ budget cycles and approval processes;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clients’ willingness to replace their current methods or software solutions;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need to educate potential customers about the uses and benefits of our products and services;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timing and expiration of our clients’ current license agreements or outsourcing agreements for similar services.</w:t>
      </w:r>
    </w:p>
    <w:p>
      <w:pPr>
        <w:spacing w:after="0" w:line="228"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If we are unsuccessful in closing sales after expending significant funds and management resources or if we experience delays as discussed above, it could have a material adverse effect on the size, timing and predictability of our revenue.</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We have recorded a significant deferred tax asset, and we might never realize the full value of our deferred tax asset, which would result in a charge against our earnings.</w:t>
      </w:r>
    </w:p>
    <w:p>
      <w:pPr>
        <w:spacing w:after="0" w:line="169"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In connection with the initial acquisition of our common stock by our current stockholders in 1999, we recorded approximately $107 million as a deferred tax asset. Our deferred tax asset was approximately $81 million as of September 30, 2004, or approximately 57% of our total assets as of that date. Realization of our deferred tax asset is dependent upon our generating sufficient taxable income in future years to realize the tax benefit from that asset. In accordance with Financial Accounting Standards Board Statement of Financial Accounting Standards No. 109, deferred tax assets are reviewed at least annually for impairment. Impairment would result if, based on the available evidence, it is more likely than not that some portion of the deferred tax asset will not be realized. This impairment could be caused by, among other things, deterioration in performance, loss of key contracts, adverse market conditions, adverse changes in applicable laws or regulations, including changes that restrict the activities of or affect the products sold by our business and a variety of other factors. If an impairment were to occur in a future period, it would be recognized as an expense in our results of operations during the period of impairment. Depending on future circumstances, it is possible that we might never realize the full value of our deferred tax asset. Any future determination of impairment of a significant portion of our deferred tax asset would have an</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13" w:name="page14"/>
    <w:bookmarkEnd w:id="13"/>
    <w:p>
      <w:pPr>
        <w:ind w:right="320"/>
        <w:spacing w:after="0" w:line="286" w:lineRule="auto"/>
        <w:rPr>
          <w:sz w:val="20"/>
          <w:szCs w:val="20"/>
          <w:color w:val="auto"/>
        </w:rPr>
      </w:pPr>
      <w:r>
        <w:rPr>
          <w:rFonts w:ascii="Arial" w:cs="Arial" w:eastAsia="Arial" w:hAnsi="Arial"/>
          <w:sz w:val="17"/>
          <w:szCs w:val="17"/>
          <w:color w:val="auto"/>
        </w:rPr>
        <w:t>adverse effect on our financial condition and results of operations. See our discussion of “Deferred taxes” in “Management’s discussion and analysis of financial condition and results of operations — Critical accounting policies and estimates”.</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Nonprofit organizations might not use the Internet to facilitate their fundraising and organizational efforts in a manner sufficient to allow us to make a profit or even recapture our investment in this area. In addition, even if they increasingly use the Internet for these purposes, if we fail to capitalize on this opportunity, we could lose market share.</w:t>
      </w:r>
    </w:p>
    <w:p>
      <w:pPr>
        <w:spacing w:after="0" w:line="18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The market for online fundraising solutions for nonprofit organizations is new and emerging. Nonprofit organizations have not traditionally used the Internet or web-enabled software solutions for fundraising. We cannot be certain that the market will continue to develop and grow or that nonprofit organizations will elect to use any of our web-enabled products rather than continue to use traditional offline methods, attempt to develop software solutions internally or use standardized software solutions not designed for the specific needs of nonprofits. Nonprofit organizations that have already invested substantial resources in other fundraising methods may be reluctant to use the Internet to supplement their existing systems or methods. In addition, increasing concerns about fraud, privacy, reliability and other problems might cause nonprofit organizations not to adopt the Internet as a method for fundraising. If demand for and market acceptance of Internet-based products for nonprofits does not occur, we might not recapture our investment in this area or grow our business as we expect. On the other hand, even if nonprofits increasingly use the Internet for their fundraising and organizational efforts, if we fail to develop and offer products that meet customer needs in this area, we could lose market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 or market share to decline.</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market is fragmented, competitive and rapidly evolving, and there are limited barriers to entry for some aspects of this market. We mainly face competition from four sources:</w:t>
      </w:r>
    </w:p>
    <w:p>
      <w:pPr>
        <w:spacing w:after="0" w:line="169" w:lineRule="exact"/>
        <w:rPr>
          <w:sz w:val="20"/>
          <w:szCs w:val="20"/>
          <w:color w:val="auto"/>
        </w:rPr>
      </w:pPr>
    </w:p>
    <w:p>
      <w:pPr>
        <w:ind w:left="240" w:hanging="234"/>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software developers offering integrated specialized products designed to address specific needs of nonprofit organizations;</w:t>
      </w:r>
    </w:p>
    <w:p>
      <w:pPr>
        <w:spacing w:after="0" w:line="254" w:lineRule="exact"/>
        <w:rPr>
          <w:rFonts w:ascii="Arial" w:cs="Arial" w:eastAsia="Arial" w:hAnsi="Arial"/>
          <w:sz w:val="17"/>
          <w:szCs w:val="17"/>
          <w:color w:val="auto"/>
        </w:rPr>
      </w:pPr>
    </w:p>
    <w:p>
      <w:pPr>
        <w:ind w:left="240" w:right="760" w:hanging="234"/>
        <w:spacing w:after="0" w:line="286" w:lineRule="auto"/>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providers of traditional, less automated fundraising services, such as services that support traditional direct mail campaigns, special events fundraising, telemarketing and personal solicitations;</w:t>
      </w:r>
    </w:p>
    <w:p>
      <w:pPr>
        <w:spacing w:after="0" w:line="195" w:lineRule="exact"/>
        <w:rPr>
          <w:rFonts w:ascii="Arial" w:cs="Arial" w:eastAsia="Arial" w:hAnsi="Arial"/>
          <w:sz w:val="17"/>
          <w:szCs w:val="17"/>
          <w:color w:val="auto"/>
        </w:rPr>
      </w:pPr>
    </w:p>
    <w:p>
      <w:pPr>
        <w:ind w:left="240" w:hanging="234"/>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custom-developed products created either internally or outsourced to custom service providers;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software developers offering general products not designed to address specific needs of nonprofit organizations.</w:t>
      </w:r>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companies we compete with, and other potential competitors, may have greater financial, technical and marketing resources and generate greater revenue and better name recognition than we do. If one or more of our competitors or potential competitors were to merge or partner with one of our competitors, the change in the competitive landscape could adversely affect our ability to compete effectively. For example, a large diversified software enterprise, such as Microsoft, Oracle or PeopleSoft, could decide to enter the market directly, including through acquisitions.</w:t>
      </w:r>
    </w:p>
    <w:p>
      <w:pPr>
        <w:spacing w:after="0" w:line="185"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Additionally, Sage and Intuit have recently made acquisitions and product development efforts in the nonprofit market. Our competitors might also establish or strengthen cooperative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14" w:name="page15"/>
    <w:bookmarkEnd w:id="14"/>
    <w:p>
      <w:pPr>
        <w:ind w:right="100"/>
        <w:spacing w:after="0" w:line="273" w:lineRule="auto"/>
        <w:rPr>
          <w:sz w:val="20"/>
          <w:szCs w:val="20"/>
          <w:color w:val="auto"/>
        </w:rPr>
      </w:pPr>
      <w:r>
        <w:rPr>
          <w:rFonts w:ascii="Arial" w:cs="Arial" w:eastAsia="Arial" w:hAnsi="Arial"/>
          <w:sz w:val="17"/>
          <w:szCs w:val="17"/>
          <w:color w:val="auto"/>
        </w:rPr>
        <w:t>relationships with our current or future resellers and third-party consulting firms or other parties with whom we have relationships, thereby limiting our ability to promote our products and limiting the number of channel partners available to help market our products. These competitive pressures could cause our revenue and market share to decline. For more information on our competitors, see “Business—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manage our future growth efficiently or profitably.</w:t>
      </w:r>
    </w:p>
    <w:p>
      <w:pPr>
        <w:spacing w:after="0" w:line="228" w:lineRule="exact"/>
        <w:rPr>
          <w:sz w:val="20"/>
          <w:szCs w:val="20"/>
          <w:color w:val="auto"/>
        </w:rPr>
      </w:pPr>
    </w:p>
    <w:p>
      <w:pPr>
        <w:ind w:right="100"/>
        <w:spacing w:after="0" w:line="304" w:lineRule="auto"/>
        <w:rPr>
          <w:sz w:val="20"/>
          <w:szCs w:val="20"/>
          <w:color w:val="auto"/>
        </w:rPr>
      </w:pPr>
      <w:r>
        <w:rPr>
          <w:rFonts w:ascii="Arial" w:cs="Arial" w:eastAsia="Arial" w:hAnsi="Arial"/>
          <w:sz w:val="15"/>
          <w:szCs w:val="15"/>
          <w:color w:val="auto"/>
        </w:rPr>
        <w:t>We have experienced significant growth since our inception, and we anticipate that continued expansion will be required to address potential market opportunities. For example, we will need to expand the size of our sales and marketing, product development and general and administrative staff and operations, as well as our financial and accounting controls. There can be no assurance that our infrastructure will be sufficiently scalable to manage our projected growth. For example, our anticipated growth will result in a significant increase in demands on our maintenance and support services professionals to continue to provide the high level of quality service that our customers have come to expect. If we are unable to sufficiently address these additional demands on our resources, our profitability and growth might suffer. Also, if we continue to expand our operations, management might not be effective in expanding our physical facilities and our systems, procedures or controls might not be adequate to support such expansion. Our inability to manage our growth could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competition for highly qualified personnel is intense, we might not be able to attract and retain the employees we need to support our planned growth.</w:t>
      </w:r>
    </w:p>
    <w:p>
      <w:pPr>
        <w:spacing w:after="0" w:line="26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To execute our continuing growth plans, we need to increase the size and maintain the quality of our sales force, software development staff and our professional services organization. To meet our objectives successfully, we must attract and retain highly qualified personnel with specialized skill sets focused on the nonprofit industry. Competition for qualified personnel can be intense, and we might not be successful in attracting and retaining them. The pool of qualified personnel with experience working with or selling to nonprofit organizations is limited overall and specifically in Charleston, South Carolina, where our principal office is located. Our ability to maintain and expand our sales, product development and professional services teams will depend on our ability to recruit, train and retain top quality people with advanced skills who understand sales to, and the specific needs of, nonprofit organizations. For these reasons, we have from time to time in the past experienced, and we expect to continue to experience in the future, difficulty in hiring and retaining highly skilled employees with appropriate qualifications for our business. In addition, it takes time for our new sales and services personnel to become productive, particularly with respect to obtaining and supporting major customer accounts. In particular, we plan to continue to increase the number of services personnel to attempt to meet the needs of our customers and potential new customers. In addition to hiring services personnel to meet our needs, we might also engage additional third-party consultants as contractors, which could have a negative impact on our earnings. If we are unable to hire or retain qualified personnel, or if newly hired personnel fail to develop the necessary skills or reach productivity slower than anticipated, it would be more difficult for us to sell our products and services, and we could experience a shortfall in revenue or earnings, and not achieve our planned growth.</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925" w:right="359" w:bottom="1440" w:gutter="0" w:footer="0" w:header="0"/>
        </w:sectPr>
      </w:pPr>
    </w:p>
    <w:bookmarkStart w:id="15" w:name="page16"/>
    <w:bookmarkEnd w:id="15"/>
    <w:p>
      <w:pPr>
        <w:ind w:right="60"/>
        <w:spacing w:after="0" w:line="286" w:lineRule="auto"/>
        <w:rPr>
          <w:sz w:val="20"/>
          <w:szCs w:val="20"/>
          <w:color w:val="auto"/>
        </w:rPr>
      </w:pPr>
      <w:r>
        <w:rPr>
          <w:rFonts w:ascii="Arial" w:cs="Arial" w:eastAsia="Arial" w:hAnsi="Arial"/>
          <w:sz w:val="17"/>
          <w:szCs w:val="17"/>
          <w:b w:val="1"/>
          <w:bCs w:val="1"/>
          <w:i w:val="1"/>
          <w:iCs w:val="1"/>
          <w:color w:val="auto"/>
        </w:rPr>
        <w:t>Our services revenue produces substantially lower gross margins than our license revenue, and an increase in services revenue relative to license revenue would harm our overall gross margins.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services revenue, which includes fees for consulting, implementation, training, data and technical services and analytics, was approximately 32% of our revenue for the nine months ended September 30, 2004, 29% of our revenue for 2003 and approximately 25% of our revenue for 2002. Our services revenue has substantially lower gross margins than our product license revenue. An increase in the percentage of total revenue represented by services revenue would adversely affect our overall gross margins.</w:t>
      </w:r>
    </w:p>
    <w:p>
      <w:pPr>
        <w:spacing w:after="0" w:line="18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Certain of our services are contracted under fixed fee arrangements, which we base on estimates. If our estimated fees are less than our actual costs, our operating results would be adversely affected.</w:t>
      </w:r>
    </w:p>
    <w:p>
      <w:pPr>
        <w:spacing w:after="0" w:line="16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Services revenue as a percentage of total revenue has varied significantly from quarter to quarter due to fluctuations in licensing revenue, economic changes, changes in the average selling prices for our products and services, our customers’ acceptance of our products and our sales force execution. In addition, the volume and profitability of services can depend in large part upon:</w:t>
      </w:r>
    </w:p>
    <w:p>
      <w:pPr>
        <w:spacing w:after="0" w:line="180" w:lineRule="exact"/>
        <w:rPr>
          <w:sz w:val="20"/>
          <w:szCs w:val="20"/>
          <w:color w:val="auto"/>
        </w:rPr>
      </w:pPr>
    </w:p>
    <w:p>
      <w:pPr>
        <w:ind w:left="240" w:hanging="234"/>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competitive pricing pressure on the rates that we can charge for our services;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complexity of the customers’ information technology environment and the existence of multiple non-integrated legacy databases;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resources directed by customers to their implementation projects;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extent to which outside consulting organizations provide services directly to customers.</w:t>
      </w:r>
    </w:p>
    <w:p>
      <w:pPr>
        <w:spacing w:after="0" w:line="22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Any erosion of our margins for our services revenue or any adverse changes in the mix of our license versus service revenue would adversely affect our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adapt to technological change and to achieve broad adoption and acceptance of our new products and services could adversely affect our earnings.</w:t>
      </w:r>
    </w:p>
    <w:p>
      <w:pPr>
        <w:spacing w:after="0" w:line="251"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If we fail to keep pace with technological change in our industry, such failure would have an adverse effect on our revenue and earnings. We operate in a highly competitive industry characterized by evolving technologies and industry standards, changes in customer requirements and frequent new product introductions and enhancements. During the past several years, many new technological advancements and competing products have entered the marketplace. Our ability to compete effectively and our growth prospects depend upon many factors, including the success of our existing software products and services to address the changing needs of our customers, the timely introduction and success of future software products and services and releases and the ability of our products to perform well with existing and future technologies, including databases, applications, operating systems and other platforms. We have made significant investments in research and development and our growth plans are premised in part on generating substantial revenue from new product introductions. New product introductions involve significant risks. For example, delays in new product introductions, or less-than-anticipated market acceptance of our new products are possible and would have an adverse effect on our revenue and earnings. We cannot be certain that our new products or future enhancements to existing products will meet customer performance needs or expectations when shipped or that they will be free of significant software defects or bugs.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6" w:name="page17"/>
    <w:bookmarkEnd w:id="16"/>
    <w:p>
      <w:pPr>
        <w:ind w:right="40"/>
        <w:spacing w:after="0" w:line="325" w:lineRule="auto"/>
        <w:rPr>
          <w:sz w:val="20"/>
          <w:szCs w:val="20"/>
          <w:color w:val="auto"/>
        </w:rPr>
      </w:pPr>
      <w:r>
        <w:rPr>
          <w:rFonts w:ascii="Arial" w:cs="Arial" w:eastAsia="Arial" w:hAnsi="Arial"/>
          <w:sz w:val="15"/>
          <w:szCs w:val="15"/>
          <w:color w:val="auto"/>
        </w:rPr>
        <w:t>If they do not meet customer needs or expectations, for whatever reason, upgrading or enhancing these products could be costly and time consuming. In addition, the selling price of software products tends to decline significantly over the life of the product. If we are unable to offset any reductions in the selling prices of our products by introducing new products at higher prices or by reducing our costs, our revenue, gross margin and operating results would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products fail to perform properly due to undetected errors or similar problems, our business could suffer.</w:t>
      </w:r>
    </w:p>
    <w:p>
      <w:pPr>
        <w:spacing w:after="0" w:line="2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Complex software such as ours often contains undetected errors or bugs. Such errors are frequently found after introduction of new software or enhancements to existing software. We continually introduce new products and new versions of our products. If we detect any errors before we ship a product, we might have to delay product shipment for an extended period of time while we address the problem. We might not discover software errors that affect our new or current products or enhancements until after they are deployed, and we may need to provide enhancements to correct such errors. Therefore, it is possible that, despite testing by us, errors may occur in our software. These errors could result in:</w:t>
      </w:r>
    </w:p>
    <w:p>
      <w:pPr>
        <w:spacing w:after="0" w:line="187"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harm to our reputation;</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lost sales;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in commercial release;</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product liability claims;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delays in or loss of market acceptance of our products;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license terminations or renegotiations; and</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unexpected expenses and diversion of resources to remedy errors.</w:t>
      </w:r>
    </w:p>
    <w:p>
      <w:pPr>
        <w:spacing w:after="0" w:line="22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Furthermore, our customers may use our software together with products from other companies. As a result, when problems occur, it might be difficult to identify the source of the problem. Even when our software does not cause these problems, the existence of these errors might cause us to incur significant costs, divert the attention of our technical personnel from our product development efforts, impact our reputation and cause significant customer relations problems.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integrate third-party technologies could harm our business.</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intend to continue licensing technologies from third parties, including applications used in our research and development activities and technologies which are integrated into our products. These technologies might not continue to be available to us on commercially reasonable terms or at all. Our inability to obtain any of these licenses could delay product development until equivalent technology can be identified, licensed and integrated. This inability in turn would harm our business and operating results. Our use of third-party technologies exposes us to increased risks, including, but not limited to, risks associated with the integration of new technology into our products, the diversion of our resources from development of our own proprietary technology and our inability to generate revenue from licensed technology sufficient to offset associated acquisition and maintenance costs.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i w:val="1"/>
          <w:iCs w:val="1"/>
          <w:color w:val="auto"/>
        </w:rPr>
        <w:t>If the security of our software, in particular our hosted Internet solutions products, is breached, our business and reputation could suffer.</w:t>
      </w:r>
    </w:p>
    <w:p>
      <w:pPr>
        <w:spacing w:after="0" w:line="22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Fundamental to the use of our products is the secure collection, storage and transmission of confidential donor and end user information. Third parties may attempt to breach our security or that of our customers and their databases. We might be liable to our customers for any breach in such security, and any breach could harm our customers, our business and our reputation. Any imposition of liability, particularly liability that is not covered by insurance or is in excess of insurance coverage, could harm our reputation and our business and operating results. Also, computers, including those that utilize our software, are vulnerable to computer viruses, physical or electronic break-ins and similar disruptions, which could lead to interruptions, delays or loss of data. We might be required to expend significant capital and other resources to protect further against security breaches or to rectify problems caused by any security breach.</w:t>
      </w:r>
    </w:p>
    <w:p>
      <w:pPr>
        <w:spacing w:after="0" w:line="17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If we are unable to detect and prevent unauthorized use of credit cards and bank account numbers and safeguard confidential donor data, we could be subject to financial liability, our reputation could be harmed and customers may be reluctant to use our products and services.</w:t>
      </w:r>
    </w:p>
    <w:p>
      <w:pPr>
        <w:spacing w:after="0" w:line="169"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We rely on third-party and internally-developed encryption and authentication technology to provide secure transmission of confidential information over the Internet, including customer credit card and bank account numbers, and protect confidential donor data. Advances in computer capabilities, new discoveries in the field of cryptography or other events or developments could result in a compromise or breach of the technology we use to protect sensitive transaction data. If any such compromise of our security, or the security of our customers, were to occur, it could result in misappropriation of proprietary information or interruptions in operations and have an adverse impact on our reputation or the reputation of our customers. If we are unable to detect and prevent unauthorized use of credit cards and bank account numbers or protect confidential donor data, our business could suffer.</w:t>
      </w:r>
    </w:p>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currently do not have any issued patents, but we rely upon trademark, copyright, patent and trade secret laws to protect our proprietary rights, which might not provide us with adequate protection.</w:t>
      </w:r>
    </w:p>
    <w:p>
      <w:pPr>
        <w:spacing w:after="0" w:line="16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Our success and ability to compete depend to a significant degree upon the protection of our software and other proprietary technology rights. We might not be successful in protecting our proprietary technology, and our proprietary rights might not provide us with a meaningful competitive advantage. To protect our proprietary technology, we rely on a combination of patent, trademark, copyright and trade secret laws, as well as nondisclosure agreements, each of which affords only limited protection. We currently do not have patents issued for any of our proprietary technology and we only recently filed patent applications relating to a number of our products. Moreover, we have no patent protection for The Raiser’s Edge, which is one of our core products. Any inability to protect our intellectual property rights could seriously harm our business, operating results and financial condition. It is possible that:</w:t>
      </w:r>
    </w:p>
    <w:p>
      <w:pPr>
        <w:spacing w:after="0" w:line="175" w:lineRule="exact"/>
        <w:rPr>
          <w:sz w:val="20"/>
          <w:szCs w:val="20"/>
          <w:color w:val="auto"/>
        </w:rPr>
      </w:pPr>
    </w:p>
    <w:p>
      <w:pPr>
        <w:ind w:left="240" w:hanging="234"/>
        <w:spacing w:after="0"/>
        <w:tabs>
          <w:tab w:leader="none" w:pos="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pending patent applications may not result in the issuance of patents;</w:t>
      </w:r>
    </w:p>
    <w:p>
      <w:pPr>
        <w:spacing w:after="0" w:line="254" w:lineRule="exact"/>
        <w:rPr>
          <w:rFonts w:ascii="Arial" w:cs="Arial" w:eastAsia="Arial" w:hAnsi="Arial"/>
          <w:sz w:val="17"/>
          <w:szCs w:val="17"/>
          <w:color w:val="auto"/>
        </w:rPr>
      </w:pPr>
    </w:p>
    <w:p>
      <w:pPr>
        <w:ind w:left="5620" w:right="4820" w:hanging="5614"/>
        <w:spacing w:after="0" w:line="595" w:lineRule="auto"/>
        <w:tabs>
          <w:tab w:leader="none" w:pos="236"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patents issued to us may not be timely or broad enough to protect our proprietary rights;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8" w:name="page19"/>
    <w:bookmarkEnd w:id="18"/>
    <w:p>
      <w:pPr>
        <w:ind w:left="240" w:right="220" w:hanging="234"/>
        <w:spacing w:after="0" w:line="286" w:lineRule="auto"/>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issued patent could be successfully challenged by one or more third parties, which could result in our loss of the right to prevent others from exploiting the inventions claimed in those patents; and</w:t>
      </w:r>
    </w:p>
    <w:p>
      <w:pPr>
        <w:spacing w:after="0" w:line="195" w:lineRule="exact"/>
        <w:rPr>
          <w:rFonts w:ascii="Arial" w:cs="Arial" w:eastAsia="Arial" w:hAnsi="Arial"/>
          <w:sz w:val="17"/>
          <w:szCs w:val="17"/>
          <w:color w:val="auto"/>
        </w:rPr>
      </w:pPr>
    </w:p>
    <w:p>
      <w:pPr>
        <w:ind w:left="240" w:hanging="234"/>
        <w:spacing w:after="0"/>
        <w:tabs>
          <w:tab w:leader="none" w:pos="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current and future competitors may independently develop similar technologies, duplicate our products or design around any of our patents.</w:t>
      </w:r>
    </w:p>
    <w:p>
      <w:pPr>
        <w:spacing w:after="0" w:line="228"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addition, the laws of some foreign countries do not protect our proprietary rights in our products to the same extent as do the laws of the United States. Despite the measures taken by us, it may be possible for a third party to copy or otherwise obtain and use our proprietary technology and information without authorization. Policing unauthorized use of our products is difficult, and litigation could become necessary in the future to enforce our intellectual property rights. Any litigation could be time consuming and expensive to prosecute or resolve, result in substantial diversion of management attention and resources, and materially harm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successfully address the risks inherent in the expansion of our international operations, our business could suffer.</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We currently have operations in the United Kingdom, Canada and Australia, and we intend to expand further into international markets. We have limited experience in international operations and may not be able to compete effectively in international markets. In 2003, our international offices generated revenues of approximately $10.7 million, an increase of 78% over international revenue of $6.0 million for 2002. In the nine months ended September 30, 2004, our international revenue was $16.0 million. Expansion of our international operations will require a significant amount of attention from our management and substantial financial resources and may require us to add qualified management in these markets. Our direct sales model requires us to attract, retain and manage qualified sales personnel capable of selling into markets outside the United States. In some cases, our costs of sales might increase if our customers require us to sell through local distributors. If we are unable to grow our international operations in a cost effective and timely manner, our business and operating results could be harmed. Doing business internationally involves additional risks that could harm our operating results, including:</w:t>
      </w:r>
    </w:p>
    <w:p>
      <w:pPr>
        <w:spacing w:after="0" w:line="175" w:lineRule="exact"/>
        <w:rPr>
          <w:sz w:val="20"/>
          <w:szCs w:val="20"/>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and costs of staffing and managing international operations;</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differing technology standards;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collecting accounts receivable and longer collection periods;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imposition of currency exchange controls;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potentially adverse tax consequences;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 in certain countries;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dependence on local vendors;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protectionist laws and business practices that favor local competition;</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compliance with multiple conflicting and changing governmental laws and regulations;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seasonal reductions in business activity specific to certain markets;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longer sales cycles;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repatriation of earnings;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differing labor regulations;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restrictive privacy regulations in different countries, particularly in the European Union;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9" w:name="page20"/>
    <w:bookmarkEnd w:id="19"/>
    <w:p>
      <w:pPr>
        <w:ind w:left="240" w:hanging="234"/>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restrictions on the export of technologies such as data security and encryption; and</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import and export restrictions and tariffs.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acquisitions could prove difficult to integrate, disrupt our business, dilute stockholder value and strain our resources.</w:t>
      </w:r>
    </w:p>
    <w:p>
      <w:pPr>
        <w:spacing w:after="0" w:line="228"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intend to acquire companies, services and technologies that we feel could complement or expand our business, augment our market coverage, enhance our technical capabilities, provide us with important customer contacts or otherwise offer growth opportunities. Acquisitions and investments involve numerous risks, including:</w:t>
      </w:r>
    </w:p>
    <w:p>
      <w:pPr>
        <w:spacing w:after="0" w:line="180" w:lineRule="exact"/>
        <w:rPr>
          <w:sz w:val="20"/>
          <w:szCs w:val="20"/>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integrating operations, technologies, services, accounting and personnel;</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difficulties in supporting and transitioning customers of our acquired companies;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diversion of financial and management resources from existing operations;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risks of entering new sectors of the nonprofit industry;</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potential loss of key employees; and</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Acquisitions also frequently result in recording of goodwill and other intangible assets, which are subject to potential impairments in the future that could harm our operating results. In addition, if we finance acquisitions by issuing equity securities or securities convertible into equity securities, our existing stockholders would be diluted, which, in turn, could affect the market price of our stock. Moreover, we could finance any acquisition with debt, resulting in higher leverage and interest costs. As a result, if we fail to evaluate and execute acquisitions or investments properly, we might not achieve the anticipated benefits of any such acquisition, and we may incur costs in excess of what we anticipate.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that we infringe upon third parties’ intellectual property rights could be costly to defend or settle.</w:t>
      </w:r>
    </w:p>
    <w:p>
      <w:pPr>
        <w:spacing w:after="0" w:line="228"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Litigation regarding intellectual property rights is common in the software industry. We expect that software products and services may be increasingly subject to third-party infringement claims as the number of competitors in our industry segment grows and the functionality of products in different industry segments overlaps. We may from time to time encounter disputes over rights and obligations concerning intellectual property. Although we believe that our intellectual property rights are sufficient to allow us to market our software without incurring liability to third parties, third parties may bring claims of infringement against us. Such claims may be with or without merit. Any litigation to defend against claims of infringement or invalidity could result in substantial costs and diversion of resources. Furthermore, a party making such a claim could secure a judgment that requires us to pay substantial damages. A judgment could also include an injunction or other court order that could prevent us from selling our software. Our business, operating results and financial condition could be harmed if any of these events occurred.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we have agreed, and will likely agree in the future, to indemnify certain of our customers against certain claims that our software infringes upon the intellectual property rights of others. We could incur substantial costs in defending ourselves and our customers against infringement claims. In the event of a claim of infringement, we and our customers might be required to obtain one or more licenses from third parties. We, or our customers, might be unable to obtain necessary licenses from third parties at a reasonable cost, if at all.</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Defense of any lawsuit or failure to obtain any such required licenses could harm our business,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become subject to product or general liability or errors and omissions claims, they could be time-consuming and costly.</w:t>
      </w:r>
    </w:p>
    <w:p>
      <w:pPr>
        <w:spacing w:after="0" w:line="228"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Errors, defects or other performance problems in our software, as well as the negligence or misconduct of our consultants, could result in financial or other damages to our customers. They could seek damages from us for losses associated with these errors, defects or other performance problems. If successful, these claims could have a material adverse effect on our business. Although we possess product liability insurance and errors and omissions insurance, there is no guarantee that our insurance would be enough to cover the full amount of any loss we might suffer. Our license and service agreements typically contain provisions designed to limit our exposure to product liability claims, but existing or future laws or unfavorable judicial decisions could negate these limitation of liability provisions. A claim brought against us, even if unsuccessful, could be time-consuming and costly to defend and could harm our reputation.</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If we were found subject to or in violation of any laws or regulations governing privacy or electronic fund transfers, we could be subject to liability or forced to change our business practices.</w:t>
      </w:r>
    </w:p>
    <w:p>
      <w:pPr>
        <w:spacing w:after="0" w:line="16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It is possible that the payment processing component of our web-based software is subject to various governmental regulations. Pending legislation at the state and federal levels could also restrict further our information gathering and disclosure practices. Existing and potential future privacy laws might limit our ability to develop new products and services that make use of data we gather from various sources. For example, our custom modeling and analytical services, including ProspectPoint and WealthPoint, rely heavily on securing and making use of data we gather from various sources and privacy laws could jeopardize our ability to market and profit from those services. The provisions of these laws and related regulations are complicated, and we do not have extensive experience with these laws and related regulations. Even technical violations of these laws can result in penalties that are assessed for each non-compliant transaction. In addition, we might be subject to the privacy provisions of the Health Insurance Portability and Accountability Act of 1996 and the Gramm-Leach-Bliley Act and related regulations. If we or our customers were found to be subject to and in violation of any of these laws or other privacy laws or regulations, our business would suffer and we and/or our customers would likely have to change our business practices. In addition, these laws and regulations could impose significant costs on us and our customers and make it more difficult for donors to make online donations.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Increasing government regulation could affect our business.</w:t>
      </w:r>
    </w:p>
    <w:p>
      <w:pPr>
        <w:spacing w:after="0" w:line="228"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We are subject not only to regulations applicable to businesses generally but also to laws and regulations directly applicable to electronic commerce. Although there are currently few such laws and regulations, state, Federal and foreign governments may adopt laws and regulations applicable to our business. Any such legislation or regulation could dampen the growth of the Internet and decrease its acceptance. If such a decline occurs, companies may decide in the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future not to use our products and services. Any new laws or regulations in the following areas could affect our business:</w:t>
      </w:r>
    </w:p>
    <w:p>
      <w:pPr>
        <w:spacing w:after="0" w:line="228" w:lineRule="exact"/>
        <w:rPr>
          <w:sz w:val="20"/>
          <w:szCs w:val="20"/>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user privacy;</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pricing and taxation of goods and services offered over the Internet:</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content of websites;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copyrights;</w:t>
      </w:r>
    </w:p>
    <w:p>
      <w:pPr>
        <w:spacing w:after="0" w:line="254" w:lineRule="exact"/>
        <w:rPr>
          <w:rFonts w:ascii="Arial" w:cs="Arial" w:eastAsia="Arial" w:hAnsi="Arial"/>
          <w:sz w:val="17"/>
          <w:szCs w:val="17"/>
          <w:color w:val="auto"/>
        </w:rPr>
      </w:pPr>
    </w:p>
    <w:p>
      <w:pPr>
        <w:ind w:left="240" w:right="480" w:hanging="234"/>
        <w:spacing w:after="0" w:line="286" w:lineRule="auto"/>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consumer protection, including the potential application of “do not call” registry requirements on our customers and consumer backlash in general to direct marketing efforts of our customers;</w:t>
      </w:r>
    </w:p>
    <w:p>
      <w:pPr>
        <w:spacing w:after="0" w:line="195"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online distribution of specific material or content over the Internet;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characteristics and quality of products and services offered over the Internet.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might be affected by the occurrence of a natural disaster or other catastrophic event in Charleston, South Carolina.</w:t>
      </w:r>
    </w:p>
    <w:p>
      <w:pPr>
        <w:spacing w:after="0" w:line="22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depend on our principal executive offices and other facilities in Charleston, South Carolina for the continued operation of our business. Although we have contingency plans in effect for natural disasters or other catastrophic events, these events, including terrorist attacks and natural disasters such as hurricanes, which historically have struck the Charleston area with some regularity, could disrupt our operations. Even though we carry business interruption insurance policies and typically have provisions in our contracts that protect us in certain events, we might suffer losses as a result of business interruptions that exceed the coverage available under our insurance policies or for which we do not have coverage. Any natural disaster or catastrophic event affecting us could have a significant negative impact on our operations.</w:t>
      </w:r>
    </w:p>
    <w:p>
      <w:pPr>
        <w:spacing w:after="0" w:line="187" w:lineRule="exact"/>
        <w:rPr>
          <w:sz w:val="20"/>
          <w:szCs w:val="20"/>
          <w:color w:val="auto"/>
        </w:rPr>
      </w:pPr>
    </w:p>
    <w:p>
      <w:pPr>
        <w:ind w:right="960"/>
        <w:spacing w:after="0" w:line="286" w:lineRule="auto"/>
        <w:rPr>
          <w:sz w:val="20"/>
          <w:szCs w:val="20"/>
          <w:color w:val="auto"/>
        </w:rPr>
      </w:pPr>
      <w:r>
        <w:rPr>
          <w:rFonts w:ascii="Arial" w:cs="Arial" w:eastAsia="Arial" w:hAnsi="Arial"/>
          <w:sz w:val="17"/>
          <w:szCs w:val="17"/>
          <w:b w:val="1"/>
          <w:bCs w:val="1"/>
          <w:i w:val="1"/>
          <w:iCs w:val="1"/>
          <w:color w:val="auto"/>
        </w:rPr>
        <w:t>Outstanding employee stock options subject to variable accounting and recent changes to accounting standards could cause us to record significant compensation expense and could significantly reduce our earnings in future periods.</w:t>
      </w:r>
    </w:p>
    <w:p>
      <w:pPr>
        <w:spacing w:after="0" w:line="169"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Prior to our initial public offering in July 2004, options to purchase approximately 6.6 million shares under two of our stock option plans were subject to variable accounting treatment. Options to purchase approximately 3.5 million shares continue to be subject to variable accounting treatment and there is volatility in our stock price which could affect operating results. Accordingly, we could record significant compensation expense at the end of future periods, particularly if our stock price increases significantly. For example, we recorded compensation expense attributable to these options of $27.5 million in 2003. This compensation expense could significantly reduce our earnings in future periods, which could cause our stock price to fall and, as a result, you could lose some or all of your investment. See our discussion of “Stock option compensation” in “Management’s discussion and analysis of financial condition and results of operations — Critical accounting policies and estimates”. In addition, on December 16, 2004, the Financial Accounting Standards Board Statement No. 123 (revised 2004), Share-Based Payment.</w:t>
      </w:r>
    </w:p>
    <w:p>
      <w:pPr>
        <w:spacing w:after="0" w:line="3"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Statement 123(R) would require us to measure all employee stock-based compensation awards using a fair value method and record such expense in our consolidated financial statements. In addition, the adoption of Statement 123(R) will require additional accounting related to the income tax effects and additional disclosure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22" w:name="page23"/>
    <w:bookmarkEnd w:id="22"/>
    <w:p>
      <w:pPr>
        <w:ind w:right="300"/>
        <w:spacing w:after="0" w:line="319" w:lineRule="auto"/>
        <w:rPr>
          <w:sz w:val="20"/>
          <w:szCs w:val="20"/>
          <w:color w:val="auto"/>
        </w:rPr>
      </w:pPr>
      <w:r>
        <w:rPr>
          <w:rFonts w:ascii="Arial" w:cs="Arial" w:eastAsia="Arial" w:hAnsi="Arial"/>
          <w:sz w:val="16"/>
          <w:szCs w:val="16"/>
          <w:color w:val="auto"/>
        </w:rPr>
        <w:t>regarding the cash flow effects resulting from share-based payment arrangements. Statement 123(R) is effective beginning in our third quarter of fiscal 2005. The adoption of Statement 123(R) could have a material impact on our consolidated financial position, results of operations and cash flows.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might strain our resources and distract management.</w:t>
      </w:r>
    </w:p>
    <w:p>
      <w:pPr>
        <w:spacing w:after="0" w:line="228"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As a newly public company, we are subject to a number of additional requirements, including the reporting requirements of the Securities Exchange Act of 1934, the Sarbanes-Oxley Act of 2002 and new Nasdaq rules promulgated in response to the Sarbanes-Oxley Act. These requirements might place a strain on our systems and resources. The Securities Exchange Act requires, among other things, that we file annual, quarterly and current reports with respect to our business and financial condition. The Sarbanes-Oxley Act requires, among other things, that we maintain effective disclosure controls and procedures and internal controls for financial reporting. In order to maintain and improve the effectiveness of our disclosure controls and procedures and internal controls over financial reporting, significant resources and management oversight will be required. As a result, our management’s attention might be diverted from other business concerns, which could have a material adverse effect on our business, financial condition, results of operations and cash flows. In particular, our efforts to comply with Section 404 of the Sarbanes-Oxley Act of 2002 and the related regulations regarding our required assessment of our internal controls over financial reporting and our independent registered public accounting firm’s audit of that assessment will require the commitment of significant financial and managerial resources. In addition, we might need to hire additional accounting and financial staff with appropriate public company experience and technical accounting knowledge and we might not be able to do so in a timely fashion. Nasdaq rules require, among other things, that by July 2005 all of the members of the audit committee of our board of directors consist of independent directors. We might not be able to attract and retain independent directors for our audit committee in a timely fashion, or at all.</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Risks related to purchasing our shares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assure you that a market will continue for our common stock or what the market price of our common stock will be.</w:t>
      </w:r>
    </w:p>
    <w:p>
      <w:pPr>
        <w:spacing w:after="0" w:line="22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Before our initial public offering in July 2004, there was no public trading market for our common stock, and we cannot assure you that one will be sustained. If a market is not sustained, it might be difficult for you to sell your shares of common stock at an attractive price or at all. We cannot predict the prices at which our common stock will trade. The offering price for our common stock covered by this prospectus will be determined through our selling stockholders’ negotiations with potential purchasers and might not bear any relationship to the market price at which it will trade after this offering or to any other established criteria of the value of our business. In future quarters our operating results might be below the expectations of public market analysts and investors and, as a result of these and other factors, the price of our common stock might decline.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might be volatile.</w:t>
      </w:r>
    </w:p>
    <w:p>
      <w:pPr>
        <w:spacing w:after="0" w:line="22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Our stock price has been volatile and might continue to be, making an investment in our company risky. Between July 26, 2004, when our common stock started trading on the Nasdaq National Market, and January 14, 2005, the price of a share of our common stock varied from $8.30 to $15.22.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3" w:name="page24"/>
    <w:bookmarkEnd w:id="23"/>
    <w:p>
      <w:pPr>
        <w:spacing w:after="0" w:line="266" w:lineRule="auto"/>
        <w:rPr>
          <w:sz w:val="20"/>
          <w:szCs w:val="20"/>
          <w:color w:val="auto"/>
        </w:rPr>
      </w:pPr>
      <w:r>
        <w:rPr>
          <w:rFonts w:ascii="Arial" w:cs="Arial" w:eastAsia="Arial" w:hAnsi="Arial"/>
          <w:sz w:val="17"/>
          <w:szCs w:val="17"/>
          <w:color w:val="auto"/>
        </w:rPr>
        <w:t>In the three years prior to 2003, technology stocks listed on The Nasdaq National Market experienced high levels of volatility and significant declines in value from their historic highs. The trading price of our common stock might fluctuate substantially. The price of the common stock that will prevail in the market might be higher or lower than the price you pay, depending on many factors, some of which are beyond our control and might not be related to our operating performance. The fluctuations could cause you to lose part or all of your investment in our shares of common stock. Those factors that could cause fluctuations in the trading price of our common stock include the following:</w:t>
      </w:r>
    </w:p>
    <w:p>
      <w:pPr>
        <w:spacing w:after="0" w:line="187" w:lineRule="exact"/>
        <w:rPr>
          <w:sz w:val="20"/>
          <w:szCs w:val="20"/>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 volatility in the market price and trading volume of software and technology companies;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in the expectations of securities analysts;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economic conditions and trends in general and in the nonprofit industry;</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major catastrophic events, including terrorist activities, which could reduce or divert funding to, and technology spending by, our core nonprofit customer base;</w:t>
      </w:r>
    </w:p>
    <w:p>
      <w:pPr>
        <w:spacing w:after="0" w:line="277" w:lineRule="exact"/>
        <w:rPr>
          <w:rFonts w:ascii="Arial" w:cs="Arial" w:eastAsia="Arial" w:hAnsi="Arial"/>
          <w:sz w:val="15"/>
          <w:szCs w:val="15"/>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our pricing policies or the pricing policies of our customers;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estimation of the future size and growth of our market; or</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departures of key personnel.</w:t>
      </w:r>
    </w:p>
    <w:p>
      <w:pPr>
        <w:spacing w:after="0" w:line="22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 action litigation has often been brought against that company. Due to the potential volatility of our stock price, we might be the target of securities litigation in the future. Securities litigation could result in substantial costs and divert management’s attention and resources from our business.</w:t>
      </w:r>
    </w:p>
    <w:p>
      <w:pPr>
        <w:spacing w:after="0" w:line="180"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Insiders hold a significant percentage of our stock and could limit your ability to influence the outcome of key transactions, including a change of control, which could adversely affect the market price of our stock.</w:t>
      </w:r>
    </w:p>
    <w:p>
      <w:pPr>
        <w:spacing w:after="0" w:line="169"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Assuming it sells all of its common stock registered under this prospectus, our largest stockholder, Hellman &amp; Friedman Capital Partners III, L.P. and its affiliates, will beneficially own approximately 47.83% of our common stock. In addition, our executive officers, directors and their affiliates will, in the aggregate, beneficially own or control approximately 55.53% of our common stock. As a result, Hellman &amp; Friedman will have significant control with respect to all matters submitted to our stockholders for approval, including the election and removal of directors and the approval of any merger, consolidation or sales of all or substantially all of our assets. These stockholders might make decisions that are adverse to your interests. In addition, Hellman &amp; Friedman and certain of its transferees will not be governed by Section 203 of the Delaware General Corporation Law. See “Description of capital stock—Anti-takeover effects of Delaware law and provisions of our certificate of incorporation and bylaws—Delaware anti-takeover law” for a discussion of Section 203. This fact might make it easier for Hellman &amp; Friedman or its transferees to acquire your shares at a lower price than would otherwise be the case. This provision and the concentration of ownership could have the effect of delaying, preventing or deterring a change of control of our company, could deprive our stockholders of an opportunity to receive a premium for their common stock as part of a sale of our company and might ultimately affect the market price of our common stock.</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i w:val="1"/>
          <w:iCs w:val="1"/>
          <w:color w:val="auto"/>
        </w:rPr>
        <w:t>Future sales of our common stock might depress our stock price.</w:t>
      </w:r>
    </w:p>
    <w:p>
      <w:pPr>
        <w:spacing w:after="0" w:line="22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As of December 31, 2004, we had 42,549,056 shares of common stock outstanding. The 10,000,000 shares that may be sold by the selling stockholders under this prospectus will be freely tradable without restriction or further registration under federal securities laws unless purchased by our affiliates. If these or other stockholders sell substantial amounts of common stock in the public market, or if the market perceives that these sales may occur, the market price of our common stock might decline. We are unable to estimate the amount, timing or nature of future sales of outstanding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Investors in this offering will experience immediate and substantial dilution.</w:t>
      </w:r>
    </w:p>
    <w:p>
      <w:pPr>
        <w:spacing w:after="0" w:line="22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public offering price of the common stock registered for resale by the selling stockholders under this prospectus is expected to be considerably more than the net tangible book value per share of our outstanding common stock. Accordingly, investors purchasing shares of common stock offered under this prospectus will pay a price per share that substantially exceeds, on a per share basis, the value of our assets after subtracting liabilities. Investors will suffer additional dilution to the extent outstanding stock options are exercised and to the extent we issue any restricted stock to our employees under our equity incentive plans. For more information on dilution, see “Dilution”.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need to raise capital, which might not be available.</w:t>
      </w:r>
    </w:p>
    <w:p>
      <w:pPr>
        <w:spacing w:after="0" w:line="228"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will not receive any of the proceeds from the sale of shares by the selling stockholders under this prospectus. Accordingly, the proceeds from any sales by the selling stockholders will not be available to us to finance our operations, capital expenditures or investment activities. We might need to raise funds to meet these or other needs, and we might not be able to obtain such financing on favorable terms, if at all. If we need capital and cannot raise it on acceptable terms, we might not be able to:</w:t>
      </w:r>
    </w:p>
    <w:p>
      <w:pPr>
        <w:spacing w:after="0" w:line="185" w:lineRule="exact"/>
        <w:rPr>
          <w:sz w:val="20"/>
          <w:szCs w:val="20"/>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enhancements and additional features for our products;</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develop new products and services;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enhance our infrastructure;</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requirements;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pursue international expansion;</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pursue acquisition opportunities; or</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to fund our operations.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If any of the foregoing consequences occur, our stock price might fall and you might lose some or all of your investment.</w:t>
      </w:r>
    </w:p>
    <w:p>
      <w:pPr>
        <w:spacing w:after="0" w:line="228"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b w:val="1"/>
          <w:bCs w:val="1"/>
          <w:i w:val="1"/>
          <w:iCs w:val="1"/>
          <w:color w:val="auto"/>
        </w:rPr>
        <w:t>Our certificate of incorporation authorizes our board of directors to issue new series of preferred stock that may have the effect of delaying or preventing a change of control, which could adversely affect the value of your shares.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certificate of incorporation provides that our board of directors is authorized to issue from time to time, without further stockholder approval, up to 20,000,000 shares of preferred stock in one or more series and to fix or alter the designations, preferences, rights and any qualifications, limitations or restrictions of the shares of each series, including the dividend rights, dividend rates, conversion rights, voting rights, rights of redemption, including sinking fund provisions, redemption price or prices, liquidation preferences and the number of shares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5" w:name="page26"/>
    <w:bookmarkEnd w:id="25"/>
    <w:p>
      <w:pPr>
        <w:ind w:right="120"/>
        <w:spacing w:after="0" w:line="290" w:lineRule="auto"/>
        <w:rPr>
          <w:sz w:val="20"/>
          <w:szCs w:val="20"/>
          <w:color w:val="auto"/>
        </w:rPr>
      </w:pPr>
      <w:r>
        <w:rPr>
          <w:rFonts w:ascii="Arial" w:cs="Arial" w:eastAsia="Arial" w:hAnsi="Arial"/>
          <w:sz w:val="16"/>
          <w:szCs w:val="16"/>
          <w:color w:val="auto"/>
        </w:rPr>
        <w:t>constituting any series or designations of any series. Such shares of preferred stock could have preferences over our common stock with respect to dividends and liquidation rights. We may issue additional preferred stock in ways that might delay, defer or prevent a change of control of our company without further action by our stockholders. Such shares of preferred stock may be issued with voting rights that may adversely affect the voting power of the holders of our common stock by increasing the number of outstanding shares having voting rights, and by the creation of class or series voting rights.</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b w:val="1"/>
          <w:bCs w:val="1"/>
          <w:i w:val="1"/>
          <w:iCs w:val="1"/>
          <w:color w:val="auto"/>
        </w:rPr>
        <w:t>Anti-takeover provisions under our charter documents and Delaware law could delay or prevent a change of control and could also limit the market price of our stock.</w:t>
      </w:r>
    </w:p>
    <w:p>
      <w:pPr>
        <w:spacing w:after="0" w:line="169" w:lineRule="exact"/>
        <w:rPr>
          <w:sz w:val="20"/>
          <w:szCs w:val="20"/>
          <w:color w:val="auto"/>
        </w:rPr>
      </w:pPr>
    </w:p>
    <w:p>
      <w:pPr>
        <w:ind w:right="620"/>
        <w:spacing w:after="0" w:line="286" w:lineRule="auto"/>
        <w:rPr>
          <w:sz w:val="20"/>
          <w:szCs w:val="20"/>
          <w:color w:val="auto"/>
        </w:rPr>
      </w:pPr>
      <w:r>
        <w:rPr>
          <w:rFonts w:ascii="Arial" w:cs="Arial" w:eastAsia="Arial" w:hAnsi="Arial"/>
          <w:sz w:val="17"/>
          <w:szCs w:val="17"/>
          <w:color w:val="auto"/>
        </w:rPr>
        <w:t>Our certificate of incorporation and our bylaws contain provisions that could delay or prevent a change of control of our company or changes in our board of directors that our stockholders might consider favorable, including the following:</w:t>
      </w:r>
    </w:p>
    <w:p>
      <w:pPr>
        <w:spacing w:after="0" w:line="169" w:lineRule="exact"/>
        <w:rPr>
          <w:sz w:val="20"/>
          <w:szCs w:val="20"/>
          <w:color w:val="auto"/>
        </w:rPr>
      </w:pPr>
    </w:p>
    <w:p>
      <w:pPr>
        <w:ind w:left="240" w:hanging="234"/>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will be classified into three classes, each of which will serve for staggered three year terms;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will require advance notice for stockholder proposals, including nominations for the election of directors.</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addition, we are governed by the provisions of Section 203 of the Delaware General Corporate Law, which can prohibit certain business combinations with stockholders owning 15% or more of our outstanding voting stock, although our certificate of incorporation excludes Hellman &amp; Friedman Capital Partners III, L.P. and its affiliates and transferees from the application of these anti-takeover provisions. These and other provisions in our certificate of incorporation and our bylaws and Delaware law could make it more difficult for stockholders or potential acquirors to obtain control of our board of directors or initiate actions that are opposed by the then-current board of directors, including delaying or impeding a merger, tender offer, or proxy contest or other change of control transaction involving our company. Any delay or prevention of a change of control transaction or changes in our board of directors could prevent the consummation of a transaction in which our stockholders could receive a substantial premium over the then current market price for their shares.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24"/>
          <w:szCs w:val="24"/>
          <w:b w:val="1"/>
          <w:bCs w:val="1"/>
          <w:color w:val="auto"/>
        </w:rPr>
        <w:t>Forward-looking statements</w:t>
      </w:r>
    </w:p>
    <w:p>
      <w:pPr>
        <w:spacing w:after="0" w:line="23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This prospectus contains forward-looking statements as defined in the Private Securities Litigation Reform Act. The forward-looking statements are contained principally in the sections entitled “Prospectus summary,” “Risk factors,” “Management’s discussion and analysis of financial condition and results of operations” and “Business.” In some cases, you can identify forward-looking statements by terminology such as “may,” “might,” “will,” “should,” “could,” “would,” “expect,” “plan,” “anticipate,” “believe,” “estimate,” “project,” “predict,” “intend,” “potential” or the negative of such terms or other similar expressions.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forward-looking statements reflect our current expectations and views about future events and speak only as of the date the statements were made. The forward-looking statements involve known and unknown risks, uncertainties and other factors which may cause our actual results, performance or achievements to be materially different from any future results, performance or achievements expressed or implied by the forward-looking statements. Given these risks and uncertainties, you should not place undue reliance on the forward-looking statements.</w:t>
      </w:r>
    </w:p>
    <w:p>
      <w:pPr>
        <w:spacing w:after="0" w:line="185" w:lineRule="exact"/>
        <w:rPr>
          <w:sz w:val="20"/>
          <w:szCs w:val="20"/>
          <w:color w:val="auto"/>
        </w:rPr>
      </w:pPr>
    </w:p>
    <w:p>
      <w:pPr>
        <w:ind w:right="120"/>
        <w:spacing w:after="0" w:line="315" w:lineRule="auto"/>
        <w:rPr>
          <w:sz w:val="20"/>
          <w:szCs w:val="20"/>
          <w:color w:val="auto"/>
        </w:rPr>
      </w:pPr>
      <w:r>
        <w:rPr>
          <w:rFonts w:ascii="Arial" w:cs="Arial" w:eastAsia="Arial" w:hAnsi="Arial"/>
          <w:sz w:val="15"/>
          <w:szCs w:val="15"/>
          <w:color w:val="auto"/>
        </w:rPr>
        <w:t>You should read this prospectus and the documents that we reference in this prospectus and have filed as exhibits to the registration statement, of which this prospectus is part, completely and with the understanding that our actual future results might be materially different from what we expect. We might not update the forward-looking statements, even though our situation might change in the future, unless we have obligations under U.S. federal securities laws to update and disclose material developments related to previously disclosed information. We qualify all of the forward-looking statements by these cautionary statements.</w:t>
      </w:r>
    </w:p>
    <w:p>
      <w:pPr>
        <w:spacing w:after="0" w:line="14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authorized anyone to provide you with information different from that contained in this prospectus. Offers to sell, and offers to buy, shares of our common stock are being made only in jurisdictions where offers and sales are permitted. The information contained in this prospectus is accurate only as of the date of this prospectus, regardless of the time of delivery of this prospectus or of any sale of our common stock.</w:t>
      </w:r>
    </w:p>
    <w:p>
      <w:pPr>
        <w:spacing w:after="0" w:line="175" w:lineRule="exact"/>
        <w:rPr>
          <w:sz w:val="20"/>
          <w:szCs w:val="20"/>
          <w:color w:val="auto"/>
        </w:rPr>
      </w:pPr>
    </w:p>
    <w:p>
      <w:pPr>
        <w:ind w:right="440"/>
        <w:spacing w:after="0" w:line="329" w:lineRule="auto"/>
        <w:rPr>
          <w:sz w:val="20"/>
          <w:szCs w:val="20"/>
          <w:color w:val="auto"/>
        </w:rPr>
      </w:pPr>
      <w:r>
        <w:rPr>
          <w:rFonts w:ascii="Arial" w:cs="Arial" w:eastAsia="Arial" w:hAnsi="Arial"/>
          <w:sz w:val="15"/>
          <w:szCs w:val="15"/>
          <w:b w:val="1"/>
          <w:bCs w:val="1"/>
          <w:color w:val="auto"/>
        </w:rPr>
        <w:t>No action is being taken in any jurisdiction outside the United States to permit a public offering of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those jurisdictions.</w:t>
      </w:r>
    </w:p>
    <w:p>
      <w:pPr>
        <w:spacing w:after="0" w:line="137" w:lineRule="exact"/>
        <w:rPr>
          <w:sz w:val="20"/>
          <w:szCs w:val="20"/>
          <w:color w:val="auto"/>
        </w:rPr>
      </w:pPr>
    </w:p>
    <w:p>
      <w:pPr>
        <w:ind w:right="160"/>
        <w:spacing w:after="0" w:line="293" w:lineRule="auto"/>
        <w:rPr>
          <w:sz w:val="20"/>
          <w:szCs w:val="20"/>
          <w:color w:val="auto"/>
        </w:rPr>
      </w:pPr>
      <w:r>
        <w:rPr>
          <w:rFonts w:ascii="Arial" w:cs="Arial" w:eastAsia="Arial" w:hAnsi="Arial"/>
          <w:sz w:val="17"/>
          <w:szCs w:val="17"/>
          <w:b w:val="1"/>
          <w:bCs w:val="1"/>
          <w:color w:val="auto"/>
        </w:rPr>
        <w:t>“Blackbaud” and “The Raiser’s Edge” are registered trademarks of Blackbaud, Inc. This prospectus also includes references to registered service marks and trademarks of other entities.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07" w:right="31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24"/>
          <w:szCs w:val="24"/>
          <w:b w:val="1"/>
          <w:bCs w:val="1"/>
          <w:color w:val="auto"/>
        </w:rPr>
        <w:t>Use of proceeds</w:t>
      </w: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will not receive any proceeds from the sale of the common stock by the selling stockholders. The selling stockholders will receive all net proceeds from any sales of shares of our common stock under this prospectus.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Dividend policy</w:t>
      </w:r>
    </w:p>
    <w:p>
      <w:pPr>
        <w:spacing w:after="0" w:line="232" w:lineRule="exact"/>
        <w:rPr>
          <w:sz w:val="20"/>
          <w:szCs w:val="20"/>
          <w:color w:val="auto"/>
        </w:rPr>
      </w:pPr>
    </w:p>
    <w:p>
      <w:pPr>
        <w:ind w:right="200"/>
        <w:spacing w:after="0" w:line="315" w:lineRule="auto"/>
        <w:rPr>
          <w:sz w:val="20"/>
          <w:szCs w:val="20"/>
          <w:color w:val="auto"/>
        </w:rPr>
      </w:pPr>
      <w:r>
        <w:rPr>
          <w:rFonts w:ascii="Arial" w:cs="Arial" w:eastAsia="Arial" w:hAnsi="Arial"/>
          <w:sz w:val="15"/>
          <w:szCs w:val="15"/>
          <w:color w:val="auto"/>
        </w:rPr>
        <w:t>Although we have not declared or paid any cash dividends on our capital stock since becoming a C corporation in October 1999, we might elect to do so in the future. Any such determination to pay dividends will be at the discretion of our board of directors and will depend on the amount of any outstanding indebtedness, our financial condition, results of operations, capital requirements and other factors that our board of directors may deem relevant. In addition, certain debt agreements to which we are a party contain financial covenants that could have the effect of restricting or prohibiting the payment of cash dividends.</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7" w:right="27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24"/>
          <w:szCs w:val="24"/>
          <w:b w:val="1"/>
          <w:bCs w:val="1"/>
          <w:color w:val="auto"/>
        </w:rPr>
        <w:t>Capitalization</w:t>
      </w:r>
    </w:p>
    <w:p>
      <w:pPr>
        <w:spacing w:after="0" w:line="2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table sets forth our cash and cash equivalents and capitalization as of September 30, 2004. This table should be read in conjunction with “Management’s discussion and analysis of financial condition and results of operations” and the consolidated financial statements and accompanying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321310</wp:posOffset>
            </wp:positionV>
            <wp:extent cx="43427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auto"/>
        </w:rPr>
        <w:t>September 30, 2004 (unaudited)</w:t>
      </w:r>
    </w:p>
    <w:p>
      <w:pPr>
        <w:spacing w:after="0" w:line="10" w:lineRule="exact"/>
        <w:rPr>
          <w:sz w:val="20"/>
          <w:szCs w:val="20"/>
          <w:color w:val="auto"/>
        </w:rPr>
      </w:pPr>
    </w:p>
    <w:p>
      <w:pPr>
        <w:ind w:left="230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64135</wp:posOffset>
            </wp:positionV>
            <wp:extent cx="4342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00"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Cash and cash equivalents</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$33,382</w:t>
            </w:r>
          </w:p>
        </w:tc>
        <w:tc>
          <w:tcPr>
            <w:tcW w:w="320" w:type="dxa"/>
            <w:vAlign w:val="bottom"/>
            <w:shd w:val="clear" w:color="auto" w:fill="EEEEEE"/>
          </w:tcPr>
          <w:p>
            <w:pPr>
              <w:spacing w:after="0"/>
              <w:rPr>
                <w:sz w:val="18"/>
                <w:szCs w:val="18"/>
                <w:color w:val="auto"/>
              </w:rPr>
            </w:pPr>
          </w:p>
        </w:tc>
      </w:tr>
      <w:tr>
        <w:trPr>
          <w:trHeight w:val="106"/>
        </w:trPr>
        <w:tc>
          <w:tcPr>
            <w:tcW w:w="44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r>
      <w:tr>
        <w:trPr>
          <w:trHeight w:val="99"/>
        </w:trPr>
        <w:tc>
          <w:tcPr>
            <w:tcW w:w="4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212"/>
        </w:trPr>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Stockholders’ equity:</w:t>
            </w:r>
          </w:p>
        </w:tc>
        <w:tc>
          <w:tcPr>
            <w:tcW w:w="16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7"/>
                <w:szCs w:val="17"/>
                <w:color w:val="auto"/>
              </w:rPr>
              <w:t>Common stock</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43</w:t>
            </w:r>
          </w:p>
        </w:tc>
        <w:tc>
          <w:tcPr>
            <w:tcW w:w="320" w:type="dxa"/>
            <w:vAlign w:val="bottom"/>
          </w:tcPr>
          <w:p>
            <w:pPr>
              <w:spacing w:after="0"/>
              <w:rPr>
                <w:sz w:val="18"/>
                <w:szCs w:val="18"/>
                <w:color w:val="auto"/>
              </w:rPr>
            </w:pPr>
          </w:p>
        </w:tc>
      </w:tr>
      <w:tr>
        <w:trPr>
          <w:trHeight w:val="212"/>
        </w:trPr>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Additional paid-in capital</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38,056</w:t>
            </w:r>
          </w:p>
        </w:tc>
        <w:tc>
          <w:tcPr>
            <w:tcW w:w="320" w:type="dxa"/>
            <w:vAlign w:val="bottom"/>
            <w:shd w:val="clear" w:color="auto" w:fill="EEEEEE"/>
          </w:tcPr>
          <w:p>
            <w:pPr>
              <w:spacing w:after="0"/>
              <w:rPr>
                <w:sz w:val="18"/>
                <w:szCs w:val="18"/>
                <w:color w:val="auto"/>
              </w:rPr>
            </w:pPr>
          </w:p>
        </w:tc>
      </w:tr>
      <w:tr>
        <w:trPr>
          <w:trHeight w:val="212"/>
        </w:trPr>
        <w:tc>
          <w:tcPr>
            <w:tcW w:w="4440" w:type="dxa"/>
            <w:vAlign w:val="bottom"/>
          </w:tcPr>
          <w:p>
            <w:pPr>
              <w:spacing w:after="0"/>
              <w:rPr>
                <w:sz w:val="20"/>
                <w:szCs w:val="20"/>
                <w:color w:val="auto"/>
              </w:rPr>
            </w:pPr>
            <w:r>
              <w:rPr>
                <w:rFonts w:ascii="Arial" w:cs="Arial" w:eastAsia="Arial" w:hAnsi="Arial"/>
                <w:sz w:val="17"/>
                <w:szCs w:val="17"/>
                <w:color w:val="auto"/>
              </w:rPr>
              <w:t>Deferred stock compensation</w:t>
            </w:r>
          </w:p>
        </w:tc>
        <w:tc>
          <w:tcPr>
            <w:tcW w:w="2400" w:type="dxa"/>
            <w:vAlign w:val="bottom"/>
            <w:gridSpan w:val="3"/>
          </w:tcPr>
          <w:p>
            <w:pPr>
              <w:jc w:val="right"/>
              <w:ind w:right="260"/>
              <w:spacing w:after="0"/>
              <w:rPr>
                <w:sz w:val="20"/>
                <w:szCs w:val="20"/>
                <w:color w:val="auto"/>
              </w:rPr>
            </w:pPr>
            <w:r>
              <w:rPr>
                <w:rFonts w:ascii="Arial" w:cs="Arial" w:eastAsia="Arial" w:hAnsi="Arial"/>
                <w:sz w:val="17"/>
                <w:szCs w:val="17"/>
                <w:color w:val="auto"/>
              </w:rPr>
              <w:t>(1,405)</w:t>
            </w:r>
          </w:p>
        </w:tc>
      </w:tr>
      <w:tr>
        <w:trPr>
          <w:trHeight w:val="212"/>
        </w:trPr>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Accumulated other comprehensive income</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176</w:t>
            </w:r>
          </w:p>
        </w:tc>
        <w:tc>
          <w:tcPr>
            <w:tcW w:w="320" w:type="dxa"/>
            <w:vAlign w:val="bottom"/>
            <w:shd w:val="clear" w:color="auto" w:fill="EEEEEE"/>
          </w:tcPr>
          <w:p>
            <w:pPr>
              <w:spacing w:after="0"/>
              <w:rPr>
                <w:sz w:val="18"/>
                <w:szCs w:val="18"/>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7"/>
                <w:szCs w:val="17"/>
                <w:color w:val="auto"/>
              </w:rPr>
              <w:t>Retained earnings</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39,449</w:t>
            </w:r>
          </w:p>
        </w:tc>
        <w:tc>
          <w:tcPr>
            <w:tcW w:w="320" w:type="dxa"/>
            <w:vAlign w:val="bottom"/>
          </w:tcPr>
          <w:p>
            <w:pPr>
              <w:spacing w:after="0"/>
              <w:rPr>
                <w:sz w:val="18"/>
                <w:szCs w:val="18"/>
                <w:color w:val="auto"/>
              </w:rPr>
            </w:pPr>
          </w:p>
        </w:tc>
      </w:tr>
      <w:tr>
        <w:trPr>
          <w:trHeight w:val="100"/>
        </w:trPr>
        <w:tc>
          <w:tcPr>
            <w:tcW w:w="4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r>
      <w:tr>
        <w:trPr>
          <w:trHeight w:val="309"/>
        </w:trPr>
        <w:tc>
          <w:tcPr>
            <w:tcW w:w="4440" w:type="dxa"/>
            <w:vAlign w:val="bottom"/>
          </w:tcPr>
          <w:p>
            <w:pPr>
              <w:ind w:left="180"/>
              <w:spacing w:after="0"/>
              <w:rPr>
                <w:sz w:val="20"/>
                <w:szCs w:val="20"/>
                <w:color w:val="auto"/>
              </w:rPr>
            </w:pPr>
            <w:r>
              <w:rPr>
                <w:rFonts w:ascii="Arial" w:cs="Arial" w:eastAsia="Arial" w:hAnsi="Arial"/>
                <w:sz w:val="17"/>
                <w:szCs w:val="17"/>
                <w:color w:val="auto"/>
              </w:rPr>
              <w:t>Total stockholders’ equity</w:t>
            </w:r>
          </w:p>
        </w:tc>
        <w:tc>
          <w:tcPr>
            <w:tcW w:w="2080" w:type="dxa"/>
            <w:vAlign w:val="bottom"/>
            <w:gridSpan w:val="2"/>
          </w:tcPr>
          <w:p>
            <w:pPr>
              <w:jc w:val="right"/>
              <w:spacing w:after="0"/>
              <w:rPr>
                <w:sz w:val="20"/>
                <w:szCs w:val="20"/>
                <w:color w:val="auto"/>
              </w:rPr>
            </w:pPr>
            <w:r>
              <w:rPr>
                <w:rFonts w:ascii="Arial" w:cs="Arial" w:eastAsia="Arial" w:hAnsi="Arial"/>
                <w:sz w:val="17"/>
                <w:szCs w:val="17"/>
                <w:color w:val="auto"/>
              </w:rPr>
              <w:t>76,319</w:t>
            </w:r>
          </w:p>
        </w:tc>
        <w:tc>
          <w:tcPr>
            <w:tcW w:w="320" w:type="dxa"/>
            <w:vAlign w:val="bottom"/>
          </w:tcPr>
          <w:p>
            <w:pPr>
              <w:spacing w:after="0"/>
              <w:rPr>
                <w:sz w:val="24"/>
                <w:szCs w:val="24"/>
                <w:color w:val="auto"/>
              </w:rPr>
            </w:pPr>
          </w:p>
        </w:tc>
      </w:tr>
      <w:tr>
        <w:trPr>
          <w:trHeight w:val="213"/>
        </w:trPr>
        <w:tc>
          <w:tcPr>
            <w:tcW w:w="4440" w:type="dxa"/>
            <w:vAlign w:val="bottom"/>
            <w:shd w:val="clear" w:color="auto" w:fill="EEEEEE"/>
          </w:tcPr>
          <w:p>
            <w:pPr>
              <w:spacing w:after="0"/>
              <w:rPr>
                <w:sz w:val="20"/>
                <w:szCs w:val="20"/>
                <w:color w:val="auto"/>
              </w:rPr>
            </w:pPr>
            <w:r>
              <w:rPr>
                <w:rFonts w:ascii="Arial" w:cs="Arial" w:eastAsia="Arial" w:hAnsi="Arial"/>
                <w:sz w:val="17"/>
                <w:szCs w:val="17"/>
                <w:color w:val="auto"/>
              </w:rPr>
              <w:t>Total capitalization</w:t>
            </w:r>
          </w:p>
        </w:tc>
        <w:tc>
          <w:tcPr>
            <w:tcW w:w="20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$76,319</w:t>
            </w:r>
          </w:p>
        </w:tc>
        <w:tc>
          <w:tcPr>
            <w:tcW w:w="320" w:type="dxa"/>
            <w:vAlign w:val="bottom"/>
            <w:shd w:val="clear" w:color="auto" w:fill="EEEEEE"/>
          </w:tcPr>
          <w:p>
            <w:pPr>
              <w:spacing w:after="0"/>
              <w:rPr>
                <w:sz w:val="18"/>
                <w:szCs w:val="18"/>
                <w:color w:val="auto"/>
              </w:rPr>
            </w:pPr>
          </w:p>
        </w:tc>
      </w:tr>
      <w:tr>
        <w:trPr>
          <w:trHeight w:val="106"/>
        </w:trPr>
        <w:tc>
          <w:tcPr>
            <w:tcW w:w="4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r>
    </w:tbl>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4"/>
          <w:szCs w:val="24"/>
          <w:b w:val="1"/>
          <w:bCs w:val="1"/>
          <w:color w:val="auto"/>
        </w:rPr>
        <w:t>Dilution</w:t>
      </w:r>
    </w:p>
    <w:p>
      <w:pPr>
        <w:spacing w:after="0" w:line="232" w:lineRule="exact"/>
        <w:rPr>
          <w:sz w:val="20"/>
          <w:szCs w:val="20"/>
          <w:color w:val="auto"/>
        </w:rPr>
      </w:pPr>
    </w:p>
    <w:p>
      <w:pPr>
        <w:jc w:val="both"/>
        <w:ind w:right="100"/>
        <w:spacing w:after="0" w:line="325" w:lineRule="auto"/>
        <w:rPr>
          <w:sz w:val="20"/>
          <w:szCs w:val="20"/>
          <w:color w:val="auto"/>
        </w:rPr>
      </w:pPr>
      <w:r>
        <w:rPr>
          <w:rFonts w:ascii="Arial" w:cs="Arial" w:eastAsia="Arial" w:hAnsi="Arial"/>
          <w:sz w:val="15"/>
          <w:szCs w:val="15"/>
          <w:color w:val="auto"/>
        </w:rPr>
        <w:t>We anticipate that our net tangible book value per share of our common stock will be substantially below the price for shares of our common stock sold pursuant to this prospectus. You will therefore incur immediate and substantial dilution of $11.99 per share, based on an assumed offering price of $13.75 per share, which was the closing sale price for our common stock on January 14, 2004. As a result, if we are liquidated, you might not receive the full value of your investment.</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Dilution in net tangible book value per share represents the difference between the amount you pay per share of our common stock and the net tangible book value per share of our common stock immediately afterwards. Net tangible book value per share represents (1) the total net tangible assets (which includes the deferred tax asset), divided by (2) the number of shares of our common stock outstanding.</w:t>
      </w:r>
    </w:p>
    <w:p>
      <w:pPr>
        <w:spacing w:after="0" w:line="18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Our net tangible book value at September 30, 2004 was approximately $74.7 million, or $1.76 per share. This amount represents an immediate dilution in net tangible book value of $11.99 per share to you. The following table illustrates this dilution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314325</wp:posOffset>
            </wp:positionV>
            <wp:extent cx="43427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Assumed offering price per share</w:t>
            </w:r>
          </w:p>
        </w:tc>
        <w:tc>
          <w:tcPr>
            <w:tcW w:w="1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7"/>
                <w:szCs w:val="17"/>
                <w:color w:val="auto"/>
                <w:w w:val="89"/>
              </w:rPr>
              <w:t>13.75</w:t>
            </w:r>
          </w:p>
        </w:tc>
      </w:tr>
      <w:tr>
        <w:trPr>
          <w:trHeight w:val="212"/>
        </w:trPr>
        <w:tc>
          <w:tcPr>
            <w:tcW w:w="5120" w:type="dxa"/>
            <w:vAlign w:val="bottom"/>
          </w:tcPr>
          <w:p>
            <w:pPr>
              <w:spacing w:after="0"/>
              <w:rPr>
                <w:sz w:val="20"/>
                <w:szCs w:val="20"/>
                <w:color w:val="auto"/>
              </w:rPr>
            </w:pPr>
            <w:r>
              <w:rPr>
                <w:rFonts w:ascii="Arial" w:cs="Arial" w:eastAsia="Arial" w:hAnsi="Arial"/>
                <w:sz w:val="17"/>
                <w:szCs w:val="17"/>
                <w:color w:val="auto"/>
              </w:rPr>
              <w:t>Net tangible book value per share as of September 30, 2004</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14"/>
              <w:spacing w:after="0"/>
              <w:rPr>
                <w:sz w:val="20"/>
                <w:szCs w:val="20"/>
                <w:color w:val="auto"/>
              </w:rPr>
            </w:pPr>
            <w:r>
              <w:rPr>
                <w:rFonts w:ascii="Arial" w:cs="Arial" w:eastAsia="Arial" w:hAnsi="Arial"/>
                <w:sz w:val="17"/>
                <w:szCs w:val="17"/>
                <w:color w:val="auto"/>
              </w:rPr>
              <w:t>1.76</w:t>
            </w:r>
          </w:p>
        </w:tc>
      </w:tr>
      <w:tr>
        <w:trPr>
          <w:trHeight w:val="212"/>
        </w:trPr>
        <w:tc>
          <w:tcPr>
            <w:tcW w:w="5120" w:type="dxa"/>
            <w:vAlign w:val="bottom"/>
            <w:shd w:val="clear" w:color="auto" w:fill="EEEEEE"/>
          </w:tcPr>
          <w:p>
            <w:pPr>
              <w:spacing w:after="0"/>
              <w:rPr>
                <w:sz w:val="20"/>
                <w:szCs w:val="20"/>
                <w:color w:val="auto"/>
              </w:rPr>
            </w:pPr>
            <w:r>
              <w:rPr>
                <w:rFonts w:ascii="Arial" w:cs="Arial" w:eastAsia="Arial" w:hAnsi="Arial"/>
                <w:sz w:val="17"/>
                <w:szCs w:val="17"/>
                <w:color w:val="auto"/>
              </w:rPr>
              <w:t>Dilution per share to you</w:t>
            </w:r>
          </w:p>
        </w:tc>
        <w:tc>
          <w:tcPr>
            <w:tcW w:w="1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EEEEEE"/>
          </w:tcPr>
          <w:p>
            <w:pPr>
              <w:jc w:val="right"/>
              <w:ind w:right="114"/>
              <w:spacing w:after="0"/>
              <w:rPr>
                <w:sz w:val="20"/>
                <w:szCs w:val="20"/>
                <w:color w:val="auto"/>
              </w:rPr>
            </w:pPr>
            <w:r>
              <w:rPr>
                <w:rFonts w:ascii="Arial" w:cs="Arial" w:eastAsia="Arial" w:hAnsi="Arial"/>
                <w:sz w:val="17"/>
                <w:szCs w:val="17"/>
                <w:color w:val="auto"/>
                <w:w w:val="89"/>
              </w:rPr>
              <w:t>11.99</w:t>
            </w:r>
          </w:p>
        </w:tc>
      </w:tr>
      <w:tr>
        <w:trPr>
          <w:trHeight w:val="106"/>
        </w:trPr>
        <w:tc>
          <w:tcPr>
            <w:tcW w:w="5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of September 30, 2004, there were options outstanding to purchase a total of 9,863,176 shares of common stock at a weighted average exercise price of $5.13 per share. To the extent outstanding options are exercised, you would experience further dilution.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07" w:right="299" w:bottom="1440" w:gutter="0" w:footer="0" w:header="0"/>
        </w:sectPr>
      </w:pPr>
    </w:p>
    <w:bookmarkStart w:id="29" w:name="page30"/>
    <w:bookmarkEnd w:id="29"/>
    <w:p>
      <w:pPr>
        <w:jc w:val="center"/>
        <w:spacing w:after="0"/>
        <w:rPr>
          <w:sz w:val="20"/>
          <w:szCs w:val="20"/>
          <w:color w:val="auto"/>
        </w:rPr>
      </w:pPr>
      <w:r>
        <w:rPr>
          <w:rFonts w:ascii="Arial" w:cs="Arial" w:eastAsia="Arial" w:hAnsi="Arial"/>
          <w:sz w:val="24"/>
          <w:szCs w:val="24"/>
          <w:b w:val="1"/>
          <w:bCs w:val="1"/>
          <w:color w:val="auto"/>
        </w:rPr>
        <w:t>Selected consolidated financial data</w:t>
      </w:r>
    </w:p>
    <w:p>
      <w:pPr>
        <w:spacing w:after="0" w:line="232"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You should read the selected consolidated financial data set forth below in conjunction with “Management’s discussion and analysis of financial condition and results of operations” and our financial statements and the related notes included elsewhere in this prospectus. The following data, insofar as it relates to each of the years 1998–2003, has been derived from annual financial statements, including the consolidated balance sheets at December 31, 2003 and 2002 and the related consolidated statements of operations, cash flows and shareholders’ equity (deficit) and comprehensive income for the three years ended December 31, 2003 and notes thereto appearing elsewhere herein. The consolidated financial statements for the year ended December 31, 1998 were audited by other auditors. The consolidated financial statements for the year ended December 31, 1999 were audited by Arthur Andersen LLP, which has ceased operations. The data for the nine months ended September 30, 2004 and 2003 has been derived from unaudited financial statements also appearing herein and which, in the opinion of management, include all adjustments, consisting only of normal recurring adjustments, necessary for a fair statement of the results for the unaudited interim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7249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b w:val="1"/>
                <w:bCs w:val="1"/>
                <w:color w:val="auto"/>
              </w:rPr>
              <w:t>Nine months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w w:val="96"/>
              </w:rPr>
              <w:t>Year ended December 31,</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jc w:val="right"/>
              <w:ind w:right="34"/>
              <w:spacing w:after="0"/>
              <w:rPr>
                <w:sz w:val="20"/>
                <w:szCs w:val="20"/>
                <w:color w:val="auto"/>
              </w:rPr>
            </w:pPr>
            <w:r>
              <w:rPr>
                <w:rFonts w:ascii="Arial" w:cs="Arial" w:eastAsia="Arial" w:hAnsi="Arial"/>
                <w:sz w:val="13"/>
                <w:szCs w:val="13"/>
                <w:b w:val="1"/>
                <w:bCs w:val="1"/>
                <w:color w:val="auto"/>
                <w:w w:val="91"/>
              </w:rPr>
              <w:t>ended 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74"/>
        </w:trPr>
        <w:tc>
          <w:tcPr>
            <w:tcW w:w="20" w:type="dxa"/>
            <w:vAlign w:val="bottom"/>
          </w:tcPr>
          <w:p>
            <w:pPr>
              <w:spacing w:after="0"/>
              <w:rPr>
                <w:sz w:val="24"/>
                <w:szCs w:val="24"/>
                <w:color w:val="auto"/>
              </w:rPr>
            </w:pPr>
          </w:p>
        </w:tc>
        <w:tc>
          <w:tcPr>
            <w:tcW w:w="3380" w:type="dxa"/>
            <w:vAlign w:val="bottom"/>
            <w:tcBorders>
              <w:bottom w:val="single" w:sz="8" w:color="808080"/>
            </w:tcBorders>
          </w:tcPr>
          <w:p>
            <w:pPr>
              <w:ind w:left="540"/>
              <w:spacing w:after="0"/>
              <w:rPr>
                <w:sz w:val="20"/>
                <w:szCs w:val="20"/>
                <w:color w:val="auto"/>
              </w:rPr>
            </w:pPr>
            <w:r>
              <w:rPr>
                <w:rFonts w:ascii="Arial" w:cs="Arial" w:eastAsia="Arial" w:hAnsi="Arial"/>
                <w:sz w:val="13"/>
                <w:szCs w:val="13"/>
                <w:b w:val="1"/>
                <w:bCs w:val="1"/>
                <w:color w:val="auto"/>
              </w:rPr>
              <w:t>(in thousands, except per share data)</w:t>
            </w:r>
          </w:p>
        </w:tc>
        <w:tc>
          <w:tcPr>
            <w:tcW w:w="1220" w:type="dxa"/>
            <w:vAlign w:val="bottom"/>
            <w:tcBorders>
              <w:bottom w:val="single" w:sz="8" w:color="808080"/>
            </w:tcBorders>
          </w:tcPr>
          <w:p>
            <w:pPr>
              <w:jc w:val="right"/>
              <w:ind w:right="334"/>
              <w:spacing w:after="0"/>
              <w:rPr>
                <w:sz w:val="20"/>
                <w:szCs w:val="20"/>
                <w:color w:val="auto"/>
              </w:rPr>
            </w:pPr>
            <w:r>
              <w:rPr>
                <w:rFonts w:ascii="Arial" w:cs="Arial" w:eastAsia="Arial" w:hAnsi="Arial"/>
                <w:sz w:val="26"/>
                <w:szCs w:val="26"/>
                <w:b w:val="1"/>
                <w:bCs w:val="1"/>
                <w:color w:val="auto"/>
                <w:vertAlign w:val="subscript"/>
              </w:rPr>
              <w:t>1998</w:t>
            </w:r>
            <w:r>
              <w:rPr>
                <w:rFonts w:ascii="Arial" w:cs="Arial" w:eastAsia="Arial" w:hAnsi="Arial"/>
                <w:sz w:val="11"/>
                <w:szCs w:val="11"/>
                <w:b w:val="1"/>
                <w:bCs w:val="1"/>
                <w:color w:val="auto"/>
              </w:rPr>
              <w:t>(2)(3)</w:t>
            </w:r>
          </w:p>
        </w:tc>
        <w:tc>
          <w:tcPr>
            <w:tcW w:w="1200" w:type="dxa"/>
            <w:vAlign w:val="bottom"/>
            <w:tcBorders>
              <w:bottom w:val="single" w:sz="8" w:color="808080"/>
            </w:tcBorders>
          </w:tcPr>
          <w:p>
            <w:pPr>
              <w:jc w:val="right"/>
              <w:ind w:right="254"/>
              <w:spacing w:after="0"/>
              <w:rPr>
                <w:sz w:val="20"/>
                <w:szCs w:val="20"/>
                <w:color w:val="auto"/>
              </w:rPr>
            </w:pPr>
            <w:r>
              <w:rPr>
                <w:rFonts w:ascii="Arial" w:cs="Arial" w:eastAsia="Arial" w:hAnsi="Arial"/>
                <w:sz w:val="26"/>
                <w:szCs w:val="26"/>
                <w:b w:val="1"/>
                <w:bCs w:val="1"/>
                <w:color w:val="auto"/>
                <w:vertAlign w:val="subscript"/>
              </w:rPr>
              <w:t>1999</w:t>
            </w:r>
            <w:r>
              <w:rPr>
                <w:rFonts w:ascii="Arial" w:cs="Arial" w:eastAsia="Arial" w:hAnsi="Arial"/>
                <w:sz w:val="11"/>
                <w:szCs w:val="11"/>
                <w:b w:val="1"/>
                <w:bCs w:val="1"/>
                <w:color w:val="auto"/>
              </w:rPr>
              <w:t>(2)(3)</w:t>
            </w:r>
          </w:p>
        </w:tc>
        <w:tc>
          <w:tcPr>
            <w:tcW w:w="1000" w:type="dxa"/>
            <w:vAlign w:val="bottom"/>
            <w:tcBorders>
              <w:bottom w:val="single" w:sz="8" w:color="808080"/>
            </w:tcBorders>
          </w:tcPr>
          <w:p>
            <w:pPr>
              <w:jc w:val="right"/>
              <w:ind w:right="154"/>
              <w:spacing w:after="0"/>
              <w:rPr>
                <w:sz w:val="20"/>
                <w:szCs w:val="20"/>
                <w:color w:val="auto"/>
              </w:rPr>
            </w:pPr>
            <w:r>
              <w:rPr>
                <w:rFonts w:ascii="Arial" w:cs="Arial" w:eastAsia="Arial" w:hAnsi="Arial"/>
                <w:sz w:val="13"/>
                <w:szCs w:val="13"/>
                <w:b w:val="1"/>
                <w:bCs w:val="1"/>
                <w:color w:val="auto"/>
              </w:rPr>
              <w:t>2000</w:t>
            </w:r>
            <w:r>
              <w:rPr>
                <w:rFonts w:ascii="Arial" w:cs="Arial" w:eastAsia="Arial" w:hAnsi="Arial"/>
                <w:sz w:val="22"/>
                <w:szCs w:val="22"/>
                <w:b w:val="1"/>
                <w:bCs w:val="1"/>
                <w:color w:val="auto"/>
                <w:vertAlign w:val="superscript"/>
              </w:rPr>
              <w:t>(3)</w:t>
            </w:r>
          </w:p>
        </w:tc>
        <w:tc>
          <w:tcPr>
            <w:tcW w:w="780" w:type="dxa"/>
            <w:vAlign w:val="bottom"/>
            <w:tcBorders>
              <w:bottom w:val="single" w:sz="8" w:color="808080"/>
            </w:tcBorders>
          </w:tcPr>
          <w:p>
            <w:pPr>
              <w:jc w:val="right"/>
              <w:ind w:right="94"/>
              <w:spacing w:after="0"/>
              <w:rPr>
                <w:sz w:val="20"/>
                <w:szCs w:val="20"/>
                <w:color w:val="auto"/>
              </w:rPr>
            </w:pPr>
            <w:r>
              <w:rPr>
                <w:rFonts w:ascii="Arial" w:cs="Arial" w:eastAsia="Arial" w:hAnsi="Arial"/>
                <w:sz w:val="13"/>
                <w:szCs w:val="13"/>
                <w:b w:val="1"/>
                <w:bCs w:val="1"/>
                <w:color w:val="auto"/>
              </w:rPr>
              <w:t>2001</w:t>
            </w:r>
          </w:p>
        </w:tc>
        <w:tc>
          <w:tcPr>
            <w:tcW w:w="880" w:type="dxa"/>
            <w:vAlign w:val="bottom"/>
            <w:tcBorders>
              <w:bottom w:val="single" w:sz="8" w:color="808080"/>
            </w:tcBorders>
          </w:tcPr>
          <w:p>
            <w:pPr>
              <w:jc w:val="right"/>
              <w:ind w:right="134"/>
              <w:spacing w:after="0"/>
              <w:rPr>
                <w:sz w:val="20"/>
                <w:szCs w:val="20"/>
                <w:color w:val="auto"/>
              </w:rPr>
            </w:pPr>
            <w:r>
              <w:rPr>
                <w:rFonts w:ascii="Arial" w:cs="Arial" w:eastAsia="Arial" w:hAnsi="Arial"/>
                <w:sz w:val="13"/>
                <w:szCs w:val="13"/>
                <w:b w:val="1"/>
                <w:bCs w:val="1"/>
                <w:color w:val="auto"/>
              </w:rPr>
              <w:t>2002</w:t>
            </w:r>
          </w:p>
        </w:tc>
        <w:tc>
          <w:tcPr>
            <w:tcW w:w="740" w:type="dxa"/>
            <w:vAlign w:val="bottom"/>
            <w:tcBorders>
              <w:bottom w:val="single" w:sz="8" w:color="808080"/>
            </w:tcBorders>
          </w:tcPr>
          <w:p>
            <w:pPr>
              <w:jc w:val="right"/>
              <w:ind w:right="14"/>
              <w:spacing w:after="0"/>
              <w:rPr>
                <w:sz w:val="20"/>
                <w:szCs w:val="20"/>
                <w:color w:val="auto"/>
              </w:rPr>
            </w:pPr>
            <w:r>
              <w:rPr>
                <w:rFonts w:ascii="Arial" w:cs="Arial" w:eastAsia="Arial" w:hAnsi="Arial"/>
                <w:sz w:val="13"/>
                <w:szCs w:val="13"/>
                <w:b w:val="1"/>
                <w:bCs w:val="1"/>
                <w:color w:val="auto"/>
              </w:rPr>
              <w:t>2003</w:t>
            </w:r>
          </w:p>
        </w:tc>
        <w:tc>
          <w:tcPr>
            <w:tcW w:w="880" w:type="dxa"/>
            <w:vAlign w:val="bottom"/>
            <w:tcBorders>
              <w:bottom w:val="single" w:sz="8" w:color="808080"/>
            </w:tcBorders>
            <w:gridSpan w:val="2"/>
          </w:tcPr>
          <w:p>
            <w:pPr>
              <w:jc w:val="right"/>
              <w:spacing w:after="0"/>
              <w:rPr>
                <w:sz w:val="20"/>
                <w:szCs w:val="20"/>
                <w:color w:val="auto"/>
              </w:rPr>
            </w:pPr>
            <w:r>
              <w:rPr>
                <w:rFonts w:ascii="Arial" w:cs="Arial" w:eastAsia="Arial" w:hAnsi="Arial"/>
                <w:sz w:val="13"/>
                <w:szCs w:val="13"/>
                <w:b w:val="1"/>
                <w:bCs w:val="1"/>
                <w:color w:val="auto"/>
              </w:rPr>
              <w:t>2003</w:t>
            </w:r>
          </w:p>
        </w:tc>
        <w:tc>
          <w:tcPr>
            <w:tcW w:w="1320" w:type="dxa"/>
            <w:vAlign w:val="bottom"/>
            <w:tcBorders>
              <w:bottom w:val="single" w:sz="8" w:color="808080"/>
            </w:tcBorders>
          </w:tcPr>
          <w:p>
            <w:pPr>
              <w:jc w:val="right"/>
              <w:ind w:right="34"/>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3380" w:type="dxa"/>
            <w:vAlign w:val="bottom"/>
            <w:shd w:val="clear" w:color="auto" w:fill="EEEEEE"/>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1220" w:type="dxa"/>
            <w:vAlign w:val="bottom"/>
            <w:shd w:val="clear" w:color="auto" w:fill="EEEEEE"/>
          </w:tcPr>
          <w:p>
            <w:pPr>
              <w:spacing w:after="0"/>
              <w:rPr>
                <w:sz w:val="14"/>
                <w:szCs w:val="14"/>
                <w:color w:val="auto"/>
              </w:rPr>
            </w:pPr>
          </w:p>
        </w:tc>
        <w:tc>
          <w:tcPr>
            <w:tcW w:w="1200" w:type="dxa"/>
            <w:vAlign w:val="bottom"/>
            <w:shd w:val="clear" w:color="auto" w:fill="EEEEEE"/>
          </w:tcPr>
          <w:p>
            <w:pPr>
              <w:spacing w:after="0"/>
              <w:rPr>
                <w:sz w:val="14"/>
                <w:szCs w:val="14"/>
                <w:color w:val="auto"/>
              </w:rPr>
            </w:pPr>
          </w:p>
        </w:tc>
        <w:tc>
          <w:tcPr>
            <w:tcW w:w="1000" w:type="dxa"/>
            <w:vAlign w:val="bottom"/>
            <w:shd w:val="clear" w:color="auto" w:fill="EEEEEE"/>
          </w:tcPr>
          <w:p>
            <w:pPr>
              <w:spacing w:after="0"/>
              <w:rPr>
                <w:sz w:val="14"/>
                <w:szCs w:val="14"/>
                <w:color w:val="auto"/>
              </w:rPr>
            </w:pPr>
          </w:p>
        </w:tc>
        <w:tc>
          <w:tcPr>
            <w:tcW w:w="780" w:type="dxa"/>
            <w:vAlign w:val="bottom"/>
            <w:shd w:val="clear" w:color="auto" w:fill="EEEEEE"/>
          </w:tcPr>
          <w:p>
            <w:pPr>
              <w:spacing w:after="0"/>
              <w:rPr>
                <w:sz w:val="14"/>
                <w:szCs w:val="14"/>
                <w:color w:val="auto"/>
              </w:rPr>
            </w:pPr>
          </w:p>
        </w:tc>
        <w:tc>
          <w:tcPr>
            <w:tcW w:w="880" w:type="dxa"/>
            <w:vAlign w:val="bottom"/>
            <w:shd w:val="clear" w:color="auto" w:fill="EEEEEE"/>
          </w:tcPr>
          <w:p>
            <w:pPr>
              <w:spacing w:after="0"/>
              <w:rPr>
                <w:sz w:val="14"/>
                <w:szCs w:val="14"/>
                <w:color w:val="auto"/>
              </w:rPr>
            </w:pPr>
          </w:p>
        </w:tc>
        <w:tc>
          <w:tcPr>
            <w:tcW w:w="74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640" w:type="dxa"/>
            <w:vAlign w:val="bottom"/>
            <w:shd w:val="clear" w:color="auto" w:fill="EEEEEE"/>
          </w:tcPr>
          <w:p>
            <w:pPr>
              <w:spacing w:after="0"/>
              <w:rPr>
                <w:sz w:val="14"/>
                <w:szCs w:val="14"/>
                <w:color w:val="auto"/>
              </w:rPr>
            </w:pPr>
          </w:p>
        </w:tc>
        <w:tc>
          <w:tcPr>
            <w:tcW w:w="132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380" w:type="dxa"/>
            <w:vAlign w:val="bottom"/>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200" w:type="dxa"/>
            <w:vAlign w:val="bottom"/>
            <w:shd w:val="clear" w:color="auto" w:fill="EEEEEE"/>
          </w:tcPr>
          <w:p>
            <w:pPr>
              <w:spacing w:after="0"/>
              <w:rPr>
                <w:sz w:val="10"/>
                <w:szCs w:val="10"/>
                <w:color w:val="auto"/>
              </w:rPr>
            </w:pPr>
          </w:p>
        </w:tc>
        <w:tc>
          <w:tcPr>
            <w:tcW w:w="1000" w:type="dxa"/>
            <w:vAlign w:val="bottom"/>
            <w:shd w:val="clear" w:color="auto" w:fill="EEEEEE"/>
          </w:tcPr>
          <w:p>
            <w:pPr>
              <w:spacing w:after="0"/>
              <w:rPr>
                <w:sz w:val="10"/>
                <w:szCs w:val="10"/>
                <w:color w:val="auto"/>
              </w:rPr>
            </w:pPr>
          </w:p>
        </w:tc>
        <w:tc>
          <w:tcPr>
            <w:tcW w:w="78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74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line="146" w:lineRule="exact"/>
              <w:rPr>
                <w:sz w:val="20"/>
                <w:szCs w:val="20"/>
                <w:color w:val="auto"/>
              </w:rPr>
            </w:pPr>
            <w:r>
              <w:rPr>
                <w:rFonts w:ascii="Arial" w:cs="Arial" w:eastAsia="Arial" w:hAnsi="Arial"/>
                <w:sz w:val="13"/>
                <w:szCs w:val="13"/>
                <w:b w:val="1"/>
                <w:bCs w:val="1"/>
                <w:color w:val="auto"/>
              </w:rPr>
              <w:t>Revenue</w:t>
            </w: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License fees</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$29,408</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$37,938</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$ 24,471</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$19,300</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$ 20,572</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$ 21,339</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$15,427</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$ 18,614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Services</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10,716</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17,309</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14,266</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18,797</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26,739</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34,042</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25,888</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32,678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Maintenance and subscriptions</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22,446</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29,680</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39,042</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47,022</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52,788</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58,360</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43,271</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48,886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Other revenue</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3,062</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7,550</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5,838</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4,915</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5,130</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4,352</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2,906</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2,849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520"/>
              <w:spacing w:after="0" w:line="146" w:lineRule="exact"/>
              <w:rPr>
                <w:sz w:val="20"/>
                <w:szCs w:val="20"/>
                <w:color w:val="auto"/>
              </w:rPr>
            </w:pPr>
            <w:r>
              <w:rPr>
                <w:rFonts w:ascii="Arial" w:cs="Arial" w:eastAsia="Arial" w:hAnsi="Arial"/>
                <w:sz w:val="13"/>
                <w:szCs w:val="13"/>
                <w:color w:val="auto"/>
              </w:rPr>
              <w:t>Total revenue</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65,632</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92,477</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83,617</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90,034</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105,229</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118,093</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87,492</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103,027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line="146" w:lineRule="exact"/>
              <w:rPr>
                <w:sz w:val="20"/>
                <w:szCs w:val="20"/>
                <w:color w:val="auto"/>
              </w:rPr>
            </w:pPr>
            <w:r>
              <w:rPr>
                <w:rFonts w:ascii="Arial" w:cs="Arial" w:eastAsia="Arial" w:hAnsi="Arial"/>
                <w:sz w:val="13"/>
                <w:szCs w:val="13"/>
                <w:b w:val="1"/>
                <w:bCs w:val="1"/>
                <w:color w:val="auto"/>
              </w:rPr>
              <w:t>Cost of revenue</w:t>
            </w: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Cost of license fees</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709</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989</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1,284</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1,726</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2,547</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2,819</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2,110</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2,733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tcPr>
          <w:p>
            <w:pPr>
              <w:ind w:left="260"/>
              <w:spacing w:after="0" w:line="172" w:lineRule="exact"/>
              <w:rPr>
                <w:sz w:val="20"/>
                <w:szCs w:val="20"/>
                <w:color w:val="auto"/>
              </w:rPr>
            </w:pPr>
            <w:r>
              <w:rPr>
                <w:rFonts w:ascii="Arial" w:cs="Arial" w:eastAsia="Arial" w:hAnsi="Arial"/>
                <w:sz w:val="12"/>
                <w:szCs w:val="12"/>
                <w:color w:val="auto"/>
              </w:rPr>
              <w:t>Cost of services</w:t>
            </w:r>
            <w:r>
              <w:rPr>
                <w:rFonts w:ascii="Arial" w:cs="Arial" w:eastAsia="Arial" w:hAnsi="Arial"/>
                <w:sz w:val="19"/>
                <w:szCs w:val="19"/>
                <w:color w:val="auto"/>
                <w:vertAlign w:val="superscript"/>
              </w:rPr>
              <w:t>(1)</w:t>
            </w:r>
          </w:p>
        </w:tc>
        <w:tc>
          <w:tcPr>
            <w:tcW w:w="1220" w:type="dxa"/>
            <w:vAlign w:val="bottom"/>
          </w:tcPr>
          <w:p>
            <w:pPr>
              <w:jc w:val="right"/>
              <w:ind w:right="334"/>
              <w:spacing w:after="0"/>
              <w:rPr>
                <w:sz w:val="20"/>
                <w:szCs w:val="20"/>
                <w:color w:val="auto"/>
              </w:rPr>
            </w:pPr>
            <w:r>
              <w:rPr>
                <w:rFonts w:ascii="Arial" w:cs="Arial" w:eastAsia="Arial" w:hAnsi="Arial"/>
                <w:sz w:val="13"/>
                <w:szCs w:val="13"/>
                <w:color w:val="auto"/>
              </w:rPr>
              <w:t>4,339</w:t>
            </w:r>
          </w:p>
        </w:tc>
        <w:tc>
          <w:tcPr>
            <w:tcW w:w="1200" w:type="dxa"/>
            <w:vAlign w:val="bottom"/>
          </w:tcPr>
          <w:p>
            <w:pPr>
              <w:jc w:val="right"/>
              <w:ind w:right="254"/>
              <w:spacing w:after="0"/>
              <w:rPr>
                <w:sz w:val="20"/>
                <w:szCs w:val="20"/>
                <w:color w:val="auto"/>
              </w:rPr>
            </w:pPr>
            <w:r>
              <w:rPr>
                <w:rFonts w:ascii="Arial" w:cs="Arial" w:eastAsia="Arial" w:hAnsi="Arial"/>
                <w:sz w:val="13"/>
                <w:szCs w:val="13"/>
                <w:color w:val="auto"/>
              </w:rPr>
              <w:t>5,534</w:t>
            </w:r>
          </w:p>
        </w:tc>
        <w:tc>
          <w:tcPr>
            <w:tcW w:w="1000" w:type="dxa"/>
            <w:vAlign w:val="bottom"/>
          </w:tcPr>
          <w:p>
            <w:pPr>
              <w:jc w:val="right"/>
              <w:ind w:right="154"/>
              <w:spacing w:after="0"/>
              <w:rPr>
                <w:sz w:val="20"/>
                <w:szCs w:val="20"/>
                <w:color w:val="auto"/>
              </w:rPr>
            </w:pPr>
            <w:r>
              <w:rPr>
                <w:rFonts w:ascii="Arial" w:cs="Arial" w:eastAsia="Arial" w:hAnsi="Arial"/>
                <w:sz w:val="13"/>
                <w:szCs w:val="13"/>
                <w:color w:val="auto"/>
              </w:rPr>
              <w:t>7,028</w:t>
            </w: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10,253</w:t>
            </w:r>
          </w:p>
        </w:tc>
        <w:tc>
          <w:tcPr>
            <w:tcW w:w="880" w:type="dxa"/>
            <w:vAlign w:val="bottom"/>
          </w:tcPr>
          <w:p>
            <w:pPr>
              <w:jc w:val="right"/>
              <w:ind w:right="134"/>
              <w:spacing w:after="0"/>
              <w:rPr>
                <w:sz w:val="20"/>
                <w:szCs w:val="20"/>
                <w:color w:val="auto"/>
              </w:rPr>
            </w:pPr>
            <w:r>
              <w:rPr>
                <w:rFonts w:ascii="Arial" w:cs="Arial" w:eastAsia="Arial" w:hAnsi="Arial"/>
                <w:sz w:val="13"/>
                <w:szCs w:val="13"/>
                <w:color w:val="auto"/>
              </w:rPr>
              <w:t>14,234</w:t>
            </w:r>
          </w:p>
        </w:tc>
        <w:tc>
          <w:tcPr>
            <w:tcW w:w="740" w:type="dxa"/>
            <w:vAlign w:val="bottom"/>
          </w:tcPr>
          <w:p>
            <w:pPr>
              <w:jc w:val="right"/>
              <w:ind w:right="14"/>
              <w:spacing w:after="0"/>
              <w:rPr>
                <w:sz w:val="20"/>
                <w:szCs w:val="20"/>
                <w:color w:val="auto"/>
              </w:rPr>
            </w:pPr>
            <w:r>
              <w:rPr>
                <w:rFonts w:ascii="Arial" w:cs="Arial" w:eastAsia="Arial" w:hAnsi="Arial"/>
                <w:sz w:val="13"/>
                <w:szCs w:val="13"/>
                <w:color w:val="auto"/>
              </w:rPr>
              <w:t>21,006</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15,347</w:t>
            </w:r>
          </w:p>
        </w:tc>
        <w:tc>
          <w:tcPr>
            <w:tcW w:w="1320" w:type="dxa"/>
            <w:vAlign w:val="bottom"/>
          </w:tcPr>
          <w:p>
            <w:pPr>
              <w:jc w:val="right"/>
              <w:ind w:right="34"/>
              <w:spacing w:after="0"/>
              <w:rPr>
                <w:sz w:val="20"/>
                <w:szCs w:val="20"/>
                <w:color w:val="auto"/>
              </w:rPr>
            </w:pPr>
            <w:r>
              <w:rPr>
                <w:rFonts w:ascii="Arial" w:cs="Arial" w:eastAsia="Arial" w:hAnsi="Arial"/>
                <w:sz w:val="13"/>
                <w:szCs w:val="13"/>
                <w:color w:val="auto"/>
              </w:rPr>
              <w:t>15,988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shd w:val="clear" w:color="auto" w:fill="EEEEEE"/>
          </w:tcPr>
          <w:p>
            <w:pPr>
              <w:ind w:left="260"/>
              <w:spacing w:after="0" w:line="172" w:lineRule="exact"/>
              <w:rPr>
                <w:sz w:val="20"/>
                <w:szCs w:val="20"/>
                <w:color w:val="auto"/>
              </w:rPr>
            </w:pPr>
            <w:r>
              <w:rPr>
                <w:rFonts w:ascii="Arial" w:cs="Arial" w:eastAsia="Arial" w:hAnsi="Arial"/>
                <w:sz w:val="12"/>
                <w:szCs w:val="12"/>
                <w:color w:val="auto"/>
              </w:rPr>
              <w:t>Cost of maintenance and subscriptions</w:t>
            </w:r>
            <w:r>
              <w:rPr>
                <w:rFonts w:ascii="Arial" w:cs="Arial" w:eastAsia="Arial" w:hAnsi="Arial"/>
                <w:sz w:val="19"/>
                <w:szCs w:val="19"/>
                <w:color w:val="auto"/>
                <w:vertAlign w:val="superscript"/>
              </w:rPr>
              <w:t>(1)</w:t>
            </w:r>
          </w:p>
        </w:tc>
        <w:tc>
          <w:tcPr>
            <w:tcW w:w="1220" w:type="dxa"/>
            <w:vAlign w:val="bottom"/>
            <w:shd w:val="clear" w:color="auto" w:fill="EEEEEE"/>
          </w:tcPr>
          <w:p>
            <w:pPr>
              <w:jc w:val="right"/>
              <w:ind w:right="334"/>
              <w:spacing w:after="0"/>
              <w:rPr>
                <w:sz w:val="20"/>
                <w:szCs w:val="20"/>
                <w:color w:val="auto"/>
              </w:rPr>
            </w:pPr>
            <w:r>
              <w:rPr>
                <w:rFonts w:ascii="Arial" w:cs="Arial" w:eastAsia="Arial" w:hAnsi="Arial"/>
                <w:sz w:val="13"/>
                <w:szCs w:val="13"/>
                <w:color w:val="auto"/>
              </w:rPr>
              <w:t>11,443</w:t>
            </w:r>
          </w:p>
        </w:tc>
        <w:tc>
          <w:tcPr>
            <w:tcW w:w="1200" w:type="dxa"/>
            <w:vAlign w:val="bottom"/>
            <w:shd w:val="clear" w:color="auto" w:fill="EEEEEE"/>
          </w:tcPr>
          <w:p>
            <w:pPr>
              <w:jc w:val="right"/>
              <w:ind w:right="254"/>
              <w:spacing w:after="0"/>
              <w:rPr>
                <w:sz w:val="20"/>
                <w:szCs w:val="20"/>
                <w:color w:val="auto"/>
              </w:rPr>
            </w:pPr>
            <w:r>
              <w:rPr>
                <w:rFonts w:ascii="Arial" w:cs="Arial" w:eastAsia="Arial" w:hAnsi="Arial"/>
                <w:sz w:val="13"/>
                <w:szCs w:val="13"/>
                <w:color w:val="auto"/>
              </w:rPr>
              <w:t>15,246</w:t>
            </w:r>
          </w:p>
        </w:tc>
        <w:tc>
          <w:tcPr>
            <w:tcW w:w="10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15,120</w:t>
            </w: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11,733</w:t>
            </w:r>
          </w:p>
        </w:tc>
        <w:tc>
          <w:tcPr>
            <w:tcW w:w="88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10,588</w:t>
            </w:r>
          </w:p>
        </w:tc>
        <w:tc>
          <w:tcPr>
            <w:tcW w:w="740" w:type="dxa"/>
            <w:vAlign w:val="bottom"/>
            <w:shd w:val="clear" w:color="auto" w:fill="EEEEEE"/>
          </w:tcPr>
          <w:p>
            <w:pPr>
              <w:jc w:val="right"/>
              <w:ind w:right="14"/>
              <w:spacing w:after="0"/>
              <w:rPr>
                <w:sz w:val="20"/>
                <w:szCs w:val="20"/>
                <w:color w:val="auto"/>
              </w:rPr>
            </w:pPr>
            <w:r>
              <w:rPr>
                <w:rFonts w:ascii="Arial" w:cs="Arial" w:eastAsia="Arial" w:hAnsi="Arial"/>
                <w:sz w:val="13"/>
                <w:szCs w:val="13"/>
                <w:color w:val="auto"/>
              </w:rPr>
              <w:t>11,837</w:t>
            </w:r>
          </w:p>
        </w:tc>
        <w:tc>
          <w:tcPr>
            <w:tcW w:w="8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9,031</w:t>
            </w:r>
          </w:p>
        </w:tc>
        <w:tc>
          <w:tcPr>
            <w:tcW w:w="132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7,864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Cost of other revenue</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1,559</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2,160</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1,972</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2,750</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3,611</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3,712</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2,556</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2,577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520"/>
              <w:spacing w:after="0" w:line="146" w:lineRule="exact"/>
              <w:rPr>
                <w:sz w:val="20"/>
                <w:szCs w:val="20"/>
                <w:color w:val="auto"/>
              </w:rPr>
            </w:pPr>
            <w:r>
              <w:rPr>
                <w:rFonts w:ascii="Arial" w:cs="Arial" w:eastAsia="Arial" w:hAnsi="Arial"/>
                <w:sz w:val="13"/>
                <w:szCs w:val="13"/>
                <w:color w:val="auto"/>
              </w:rPr>
              <w:t>Total cost of revenue</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18,050</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23,929</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25,404</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26,462</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30,980</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39,374</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29,044</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29,162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line="146" w:lineRule="exact"/>
              <w:rPr>
                <w:sz w:val="20"/>
                <w:szCs w:val="20"/>
                <w:color w:val="auto"/>
              </w:rPr>
            </w:pPr>
            <w:r>
              <w:rPr>
                <w:rFonts w:ascii="Arial" w:cs="Arial" w:eastAsia="Arial" w:hAnsi="Arial"/>
                <w:sz w:val="13"/>
                <w:szCs w:val="13"/>
                <w:b w:val="1"/>
                <w:bCs w:val="1"/>
                <w:color w:val="auto"/>
              </w:rPr>
              <w:t>Gross profit</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47,582</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68,548</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58,213</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63,572</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74,249</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78,719</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58,448</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73,865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Sales and marketing</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11,337</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13,719</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12,326</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15,173</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19,173</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21,883</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15,991</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20,646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Research and development</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9,604</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13,923</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13,912</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14,755</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14,385</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15,516</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11,506</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13,245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General and administrative</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8,938</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12,833</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10,390</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9,031</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10,631</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11,085</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8,042</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9,093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Amortization</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2,574</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2,510</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2,200</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2,239</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1,045</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848</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800</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Cost of initial public offering</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EEEEEE"/>
          </w:tcPr>
          <w:p>
            <w:pPr>
              <w:spacing w:after="0"/>
              <w:rPr>
                <w:sz w:val="12"/>
                <w:szCs w:val="12"/>
                <w:color w:val="auto"/>
              </w:rPr>
            </w:pPr>
          </w:p>
        </w:tc>
        <w:tc>
          <w:tcPr>
            <w:tcW w:w="64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Stock option compensation</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23,691</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17,326</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520"/>
              <w:spacing w:after="0" w:line="146" w:lineRule="exact"/>
              <w:rPr>
                <w:sz w:val="20"/>
                <w:szCs w:val="20"/>
                <w:color w:val="auto"/>
              </w:rPr>
            </w:pPr>
            <w:r>
              <w:rPr>
                <w:rFonts w:ascii="Arial" w:cs="Arial" w:eastAsia="Arial" w:hAnsi="Arial"/>
                <w:sz w:val="13"/>
                <w:szCs w:val="13"/>
                <w:color w:val="auto"/>
              </w:rPr>
              <w:t>Total operating expenses</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32,453</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42,985</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38,828</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41,198</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45,234</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73,023</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53,665</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45,526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tcPr>
          <w:p>
            <w:pPr>
              <w:spacing w:after="0" w:line="146" w:lineRule="exact"/>
              <w:rPr>
                <w:sz w:val="20"/>
                <w:szCs w:val="20"/>
                <w:color w:val="auto"/>
              </w:rPr>
            </w:pPr>
            <w:r>
              <w:rPr>
                <w:rFonts w:ascii="Arial" w:cs="Arial" w:eastAsia="Arial" w:hAnsi="Arial"/>
                <w:sz w:val="13"/>
                <w:szCs w:val="13"/>
                <w:b w:val="1"/>
                <w:bCs w:val="1"/>
                <w:color w:val="auto"/>
              </w:rPr>
              <w:t>Income from operations</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15,129</w:t>
            </w:r>
          </w:p>
        </w:tc>
        <w:tc>
          <w:tcPr>
            <w:tcW w:w="1200" w:type="dxa"/>
            <w:vAlign w:val="bottom"/>
          </w:tcPr>
          <w:p>
            <w:pPr>
              <w:jc w:val="right"/>
              <w:ind w:right="254"/>
              <w:spacing w:after="0" w:line="146" w:lineRule="exact"/>
              <w:rPr>
                <w:sz w:val="20"/>
                <w:szCs w:val="20"/>
                <w:color w:val="auto"/>
              </w:rPr>
            </w:pPr>
            <w:r>
              <w:rPr>
                <w:rFonts w:ascii="Arial" w:cs="Arial" w:eastAsia="Arial" w:hAnsi="Arial"/>
                <w:sz w:val="13"/>
                <w:szCs w:val="13"/>
                <w:color w:val="auto"/>
              </w:rPr>
              <w:t>25,563</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19,385</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22,374</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29,015</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5,696</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4,783</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28,339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Interest income</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1,032</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716</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241</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96</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138</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97</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70</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Interest expense</w:t>
            </w:r>
          </w:p>
        </w:tc>
        <w:tc>
          <w:tcPr>
            <w:tcW w:w="1220" w:type="dxa"/>
            <w:vAlign w:val="bottom"/>
          </w:tcPr>
          <w:p>
            <w:pPr>
              <w:jc w:val="right"/>
              <w:ind w:right="294"/>
              <w:spacing w:after="0" w:line="146" w:lineRule="exact"/>
              <w:rPr>
                <w:sz w:val="20"/>
                <w:szCs w:val="20"/>
                <w:color w:val="auto"/>
              </w:rPr>
            </w:pPr>
            <w:r>
              <w:rPr>
                <w:rFonts w:ascii="Arial" w:cs="Arial" w:eastAsia="Arial" w:hAnsi="Arial"/>
                <w:sz w:val="13"/>
                <w:szCs w:val="13"/>
                <w:color w:val="auto"/>
              </w:rPr>
              <w:t>(638)</w:t>
            </w:r>
          </w:p>
        </w:tc>
        <w:tc>
          <w:tcPr>
            <w:tcW w:w="120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(2,752)</w:t>
            </w:r>
          </w:p>
        </w:tc>
        <w:tc>
          <w:tcPr>
            <w:tcW w:w="100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(11,265)</w:t>
            </w:r>
          </w:p>
        </w:tc>
        <w:tc>
          <w:tcPr>
            <w:tcW w:w="780" w:type="dxa"/>
            <w:vAlign w:val="bottom"/>
          </w:tcPr>
          <w:p>
            <w:pPr>
              <w:jc w:val="right"/>
              <w:ind w:right="54"/>
              <w:spacing w:after="0" w:line="146" w:lineRule="exact"/>
              <w:rPr>
                <w:sz w:val="20"/>
                <w:szCs w:val="20"/>
                <w:color w:val="auto"/>
              </w:rPr>
            </w:pPr>
            <w:r>
              <w:rPr>
                <w:rFonts w:ascii="Arial" w:cs="Arial" w:eastAsia="Arial" w:hAnsi="Arial"/>
                <w:sz w:val="13"/>
                <w:szCs w:val="13"/>
                <w:color w:val="auto"/>
              </w:rPr>
              <w:t>(7,963)</w:t>
            </w:r>
          </w:p>
        </w:tc>
        <w:tc>
          <w:tcPr>
            <w:tcW w:w="880" w:type="dxa"/>
            <w:vAlign w:val="bottom"/>
          </w:tcPr>
          <w:p>
            <w:pPr>
              <w:jc w:val="right"/>
              <w:ind w:right="74"/>
              <w:spacing w:after="0" w:line="146" w:lineRule="exact"/>
              <w:rPr>
                <w:sz w:val="20"/>
                <w:szCs w:val="20"/>
                <w:color w:val="auto"/>
              </w:rPr>
            </w:pPr>
            <w:r>
              <w:rPr>
                <w:rFonts w:ascii="Arial" w:cs="Arial" w:eastAsia="Arial" w:hAnsi="Arial"/>
                <w:sz w:val="13"/>
                <w:szCs w:val="13"/>
                <w:color w:val="auto"/>
              </w:rPr>
              <w:t>(4,410)</w:t>
            </w: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(2,559)</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(2,216)</w:t>
            </w:r>
          </w:p>
        </w:tc>
        <w:tc>
          <w:tcPr>
            <w:tcW w:w="1320" w:type="dxa"/>
            <w:vAlign w:val="bottom"/>
          </w:tcPr>
          <w:p>
            <w:pPr>
              <w:jc w:val="right"/>
              <w:spacing w:after="0" w:line="146" w:lineRule="exact"/>
              <w:rPr>
                <w:sz w:val="20"/>
                <w:szCs w:val="20"/>
                <w:color w:val="auto"/>
              </w:rPr>
            </w:pPr>
            <w:r>
              <w:rPr>
                <w:rFonts w:ascii="Arial" w:cs="Arial" w:eastAsia="Arial" w:hAnsi="Arial"/>
                <w:sz w:val="13"/>
                <w:szCs w:val="13"/>
                <w:color w:val="auto"/>
              </w:rPr>
              <w:t>(268)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shd w:val="clear" w:color="auto" w:fill="EEEEEE"/>
          </w:tcPr>
          <w:p>
            <w:pPr>
              <w:ind w:left="260"/>
              <w:spacing w:after="0" w:line="146" w:lineRule="exact"/>
              <w:rPr>
                <w:sz w:val="20"/>
                <w:szCs w:val="20"/>
                <w:color w:val="auto"/>
              </w:rPr>
            </w:pPr>
            <w:r>
              <w:rPr>
                <w:rFonts w:ascii="Arial" w:cs="Arial" w:eastAsia="Arial" w:hAnsi="Arial"/>
                <w:sz w:val="13"/>
                <w:szCs w:val="13"/>
                <w:color w:val="auto"/>
              </w:rPr>
              <w:t>Other income (expense), net</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6,310</w:t>
            </w:r>
          </w:p>
        </w:tc>
        <w:tc>
          <w:tcPr>
            <w:tcW w:w="120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(79)</w:t>
            </w:r>
          </w:p>
        </w:tc>
        <w:tc>
          <w:tcPr>
            <w:tcW w:w="100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(185)</w:t>
            </w:r>
          </w:p>
        </w:tc>
        <w:tc>
          <w:tcPr>
            <w:tcW w:w="78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(113)</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63</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235</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(100)</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3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33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Income before provision for income taxes</w:t>
            </w:r>
          </w:p>
        </w:tc>
        <w:tc>
          <w:tcPr>
            <w:tcW w:w="1220" w:type="dxa"/>
            <w:vAlign w:val="bottom"/>
            <w:shd w:val="clear" w:color="auto" w:fill="EEEEEE"/>
          </w:tcPr>
          <w:p>
            <w:pPr>
              <w:jc w:val="right"/>
              <w:ind w:right="334"/>
              <w:spacing w:after="0" w:line="146" w:lineRule="exact"/>
              <w:rPr>
                <w:sz w:val="20"/>
                <w:szCs w:val="20"/>
                <w:color w:val="auto"/>
              </w:rPr>
            </w:pPr>
            <w:r>
              <w:rPr>
                <w:rFonts w:ascii="Arial" w:cs="Arial" w:eastAsia="Arial" w:hAnsi="Arial"/>
                <w:sz w:val="13"/>
                <w:szCs w:val="13"/>
                <w:color w:val="auto"/>
              </w:rPr>
              <w:t>21,833</w:t>
            </w:r>
          </w:p>
        </w:tc>
        <w:tc>
          <w:tcPr>
            <w:tcW w:w="1200" w:type="dxa"/>
            <w:vAlign w:val="bottom"/>
            <w:shd w:val="clear" w:color="auto" w:fill="EEEEEE"/>
          </w:tcPr>
          <w:p>
            <w:pPr>
              <w:jc w:val="right"/>
              <w:ind w:right="254"/>
              <w:spacing w:after="0" w:line="146" w:lineRule="exact"/>
              <w:rPr>
                <w:sz w:val="20"/>
                <w:szCs w:val="20"/>
                <w:color w:val="auto"/>
              </w:rPr>
            </w:pPr>
            <w:r>
              <w:rPr>
                <w:rFonts w:ascii="Arial" w:cs="Arial" w:eastAsia="Arial" w:hAnsi="Arial"/>
                <w:sz w:val="13"/>
                <w:szCs w:val="13"/>
                <w:color w:val="auto"/>
              </w:rPr>
              <w:t>23,448</w:t>
            </w:r>
          </w:p>
        </w:tc>
        <w:tc>
          <w:tcPr>
            <w:tcW w:w="10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8,176</w:t>
            </w:r>
          </w:p>
        </w:tc>
        <w:tc>
          <w:tcPr>
            <w:tcW w:w="78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14,394</w:t>
            </w:r>
          </w:p>
        </w:tc>
        <w:tc>
          <w:tcPr>
            <w:tcW w:w="8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24,806</w:t>
            </w:r>
          </w:p>
        </w:tc>
        <w:tc>
          <w:tcPr>
            <w:tcW w:w="74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3,469</w:t>
            </w:r>
          </w:p>
        </w:tc>
        <w:tc>
          <w:tcPr>
            <w:tcW w:w="88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2,537</w:t>
            </w:r>
          </w:p>
        </w:tc>
        <w:tc>
          <w:tcPr>
            <w:tcW w:w="132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28,546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ind w:left="260"/>
              <w:spacing w:after="0" w:line="146" w:lineRule="exact"/>
              <w:rPr>
                <w:sz w:val="20"/>
                <w:szCs w:val="20"/>
                <w:color w:val="auto"/>
              </w:rPr>
            </w:pPr>
            <w:r>
              <w:rPr>
                <w:rFonts w:ascii="Arial" w:cs="Arial" w:eastAsia="Arial" w:hAnsi="Arial"/>
                <w:sz w:val="13"/>
                <w:szCs w:val="13"/>
                <w:color w:val="auto"/>
              </w:rPr>
              <w:t>Income tax provision (benefit)</w:t>
            </w:r>
          </w:p>
        </w:tc>
        <w:tc>
          <w:tcPr>
            <w:tcW w:w="122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158</w:t>
            </w:r>
          </w:p>
        </w:tc>
        <w:tc>
          <w:tcPr>
            <w:tcW w:w="120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(1,456)</w:t>
            </w:r>
          </w:p>
        </w:tc>
        <w:tc>
          <w:tcPr>
            <w:tcW w:w="10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3,080</w:t>
            </w:r>
          </w:p>
        </w:tc>
        <w:tc>
          <w:tcPr>
            <w:tcW w:w="780" w:type="dxa"/>
            <w:vAlign w:val="bottom"/>
          </w:tcPr>
          <w:p>
            <w:pPr>
              <w:jc w:val="right"/>
              <w:ind w:right="94"/>
              <w:spacing w:after="0" w:line="146" w:lineRule="exact"/>
              <w:rPr>
                <w:sz w:val="20"/>
                <w:szCs w:val="20"/>
                <w:color w:val="auto"/>
              </w:rPr>
            </w:pPr>
            <w:r>
              <w:rPr>
                <w:rFonts w:ascii="Arial" w:cs="Arial" w:eastAsia="Arial" w:hAnsi="Arial"/>
                <w:sz w:val="13"/>
                <w:szCs w:val="13"/>
                <w:color w:val="auto"/>
              </w:rPr>
              <w:t>5,488</w:t>
            </w:r>
          </w:p>
        </w:tc>
        <w:tc>
          <w:tcPr>
            <w:tcW w:w="8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9,166</w:t>
            </w:r>
          </w:p>
        </w:tc>
        <w:tc>
          <w:tcPr>
            <w:tcW w:w="740" w:type="dxa"/>
            <w:vAlign w:val="bottom"/>
          </w:tcPr>
          <w:p>
            <w:pPr>
              <w:jc w:val="right"/>
              <w:ind w:right="14"/>
              <w:spacing w:after="0" w:line="146" w:lineRule="exact"/>
              <w:rPr>
                <w:sz w:val="20"/>
                <w:szCs w:val="20"/>
                <w:color w:val="auto"/>
              </w:rPr>
            </w:pPr>
            <w:r>
              <w:rPr>
                <w:rFonts w:ascii="Arial" w:cs="Arial" w:eastAsia="Arial" w:hAnsi="Arial"/>
                <w:sz w:val="13"/>
                <w:szCs w:val="13"/>
                <w:color w:val="auto"/>
              </w:rPr>
              <w:t>3,947</w:t>
            </w:r>
          </w:p>
        </w:tc>
        <w:tc>
          <w:tcPr>
            <w:tcW w:w="8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2,886</w:t>
            </w:r>
          </w:p>
        </w:tc>
        <w:tc>
          <w:tcPr>
            <w:tcW w:w="13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11,619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80" w:type="dxa"/>
            <w:vAlign w:val="bottom"/>
            <w:tcBorders>
              <w:bottom w:val="single" w:sz="8" w:color="EEEEEE"/>
            </w:tcBorders>
            <w:shd w:val="clear" w:color="auto" w:fill="EEEEEE"/>
          </w:tcPr>
          <w:p>
            <w:pPr>
              <w:spacing w:after="0"/>
              <w:rPr>
                <w:sz w:val="9"/>
                <w:szCs w:val="9"/>
                <w:color w:val="auto"/>
              </w:rPr>
            </w:pPr>
          </w:p>
        </w:tc>
        <w:tc>
          <w:tcPr>
            <w:tcW w:w="1220" w:type="dxa"/>
            <w:vAlign w:val="bottom"/>
            <w:tcBorders>
              <w:bottom w:val="single" w:sz="8" w:color="808080"/>
            </w:tcBorders>
            <w:shd w:val="clear" w:color="auto" w:fill="EEEEEE"/>
          </w:tcPr>
          <w:p>
            <w:pPr>
              <w:spacing w:after="0"/>
              <w:rPr>
                <w:sz w:val="9"/>
                <w:szCs w:val="9"/>
                <w:color w:val="auto"/>
              </w:rPr>
            </w:pPr>
          </w:p>
        </w:tc>
        <w:tc>
          <w:tcPr>
            <w:tcW w:w="1200" w:type="dxa"/>
            <w:vAlign w:val="bottom"/>
            <w:tcBorders>
              <w:bottom w:val="single" w:sz="8" w:color="808080"/>
            </w:tcBorders>
            <w:shd w:val="clear" w:color="auto" w:fill="EEEEEE"/>
          </w:tcPr>
          <w:p>
            <w:pPr>
              <w:spacing w:after="0"/>
              <w:rPr>
                <w:sz w:val="9"/>
                <w:szCs w:val="9"/>
                <w:color w:val="auto"/>
              </w:rPr>
            </w:pPr>
          </w:p>
        </w:tc>
        <w:tc>
          <w:tcPr>
            <w:tcW w:w="1000" w:type="dxa"/>
            <w:vAlign w:val="bottom"/>
            <w:tcBorders>
              <w:bottom w:val="single" w:sz="8" w:color="808080"/>
            </w:tcBorders>
            <w:shd w:val="clear" w:color="auto" w:fill="EEEEEE"/>
          </w:tcPr>
          <w:p>
            <w:pPr>
              <w:spacing w:after="0"/>
              <w:rPr>
                <w:sz w:val="9"/>
                <w:szCs w:val="9"/>
                <w:color w:val="auto"/>
              </w:rPr>
            </w:pPr>
          </w:p>
        </w:tc>
        <w:tc>
          <w:tcPr>
            <w:tcW w:w="780" w:type="dxa"/>
            <w:vAlign w:val="bottom"/>
            <w:tcBorders>
              <w:bottom w:val="single" w:sz="8" w:color="808080"/>
            </w:tcBorders>
            <w:shd w:val="clear" w:color="auto" w:fill="EEEEEE"/>
          </w:tcPr>
          <w:p>
            <w:pPr>
              <w:spacing w:after="0"/>
              <w:rPr>
                <w:sz w:val="9"/>
                <w:szCs w:val="9"/>
                <w:color w:val="auto"/>
              </w:rPr>
            </w:pPr>
          </w:p>
        </w:tc>
        <w:tc>
          <w:tcPr>
            <w:tcW w:w="880" w:type="dxa"/>
            <w:vAlign w:val="bottom"/>
            <w:tcBorders>
              <w:bottom w:val="single" w:sz="8" w:color="808080"/>
            </w:tcBorders>
            <w:shd w:val="clear" w:color="auto" w:fill="EEEEEE"/>
          </w:tcPr>
          <w:p>
            <w:pPr>
              <w:spacing w:after="0"/>
              <w:rPr>
                <w:sz w:val="9"/>
                <w:szCs w:val="9"/>
                <w:color w:val="auto"/>
              </w:rPr>
            </w:pPr>
          </w:p>
        </w:tc>
        <w:tc>
          <w:tcPr>
            <w:tcW w:w="740" w:type="dxa"/>
            <w:vAlign w:val="bottom"/>
            <w:tcBorders>
              <w:bottom w:val="single" w:sz="8" w:color="808080"/>
            </w:tcBorders>
            <w:shd w:val="clear" w:color="auto" w:fill="EEEEEE"/>
          </w:tcPr>
          <w:p>
            <w:pPr>
              <w:spacing w:after="0"/>
              <w:rPr>
                <w:sz w:val="9"/>
                <w:szCs w:val="9"/>
                <w:color w:val="auto"/>
              </w:rPr>
            </w:pPr>
          </w:p>
        </w:tc>
        <w:tc>
          <w:tcPr>
            <w:tcW w:w="240" w:type="dxa"/>
            <w:vAlign w:val="bottom"/>
            <w:tcBorders>
              <w:bottom w:val="single" w:sz="8" w:color="808080"/>
            </w:tcBorders>
            <w:shd w:val="clear" w:color="auto" w:fill="EEEEEE"/>
          </w:tcPr>
          <w:p>
            <w:pPr>
              <w:spacing w:after="0"/>
              <w:rPr>
                <w:sz w:val="9"/>
                <w:szCs w:val="9"/>
                <w:color w:val="auto"/>
              </w:rPr>
            </w:pPr>
          </w:p>
        </w:tc>
        <w:tc>
          <w:tcPr>
            <w:tcW w:w="640" w:type="dxa"/>
            <w:vAlign w:val="bottom"/>
            <w:tcBorders>
              <w:bottom w:val="single" w:sz="8" w:color="808080"/>
            </w:tcBorders>
            <w:shd w:val="clear" w:color="auto" w:fill="EEEEEE"/>
          </w:tcPr>
          <w:p>
            <w:pPr>
              <w:spacing w:after="0"/>
              <w:rPr>
                <w:sz w:val="9"/>
                <w:szCs w:val="9"/>
                <w:color w:val="auto"/>
              </w:rPr>
            </w:pPr>
          </w:p>
        </w:tc>
        <w:tc>
          <w:tcPr>
            <w:tcW w:w="1320" w:type="dxa"/>
            <w:vAlign w:val="bottom"/>
            <w:tcBorders>
              <w:bottom w:val="single" w:sz="8" w:color="808080"/>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3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1200" w:type="dxa"/>
            <w:vAlign w:val="bottom"/>
            <w:shd w:val="clear" w:color="auto" w:fill="EEEEEE"/>
          </w:tcPr>
          <w:p>
            <w:pPr>
              <w:spacing w:after="0"/>
              <w:rPr>
                <w:sz w:val="8"/>
                <w:szCs w:val="8"/>
                <w:color w:val="auto"/>
              </w:rPr>
            </w:pPr>
          </w:p>
        </w:tc>
        <w:tc>
          <w:tcPr>
            <w:tcW w:w="1000" w:type="dxa"/>
            <w:vAlign w:val="bottom"/>
            <w:shd w:val="clear" w:color="auto" w:fill="EEEEEE"/>
          </w:tcPr>
          <w:p>
            <w:pPr>
              <w:spacing w:after="0"/>
              <w:rPr>
                <w:sz w:val="8"/>
                <w:szCs w:val="8"/>
                <w:color w:val="auto"/>
              </w:rPr>
            </w:pPr>
          </w:p>
        </w:tc>
        <w:tc>
          <w:tcPr>
            <w:tcW w:w="780" w:type="dxa"/>
            <w:vAlign w:val="bottom"/>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740" w:type="dxa"/>
            <w:vAlign w:val="bottom"/>
            <w:shd w:val="clear" w:color="auto" w:fill="EEEEEE"/>
          </w:tcPr>
          <w:p>
            <w:pPr>
              <w:spacing w:after="0"/>
              <w:rPr>
                <w:sz w:val="8"/>
                <w:szCs w:val="8"/>
                <w:color w:val="auto"/>
              </w:rPr>
            </w:pPr>
          </w:p>
        </w:tc>
        <w:tc>
          <w:tcPr>
            <w:tcW w:w="240" w:type="dxa"/>
            <w:vAlign w:val="bottom"/>
            <w:shd w:val="clear" w:color="auto" w:fill="EEEEEE"/>
          </w:tcPr>
          <w:p>
            <w:pPr>
              <w:spacing w:after="0"/>
              <w:rPr>
                <w:sz w:val="8"/>
                <w:szCs w:val="8"/>
                <w:color w:val="auto"/>
              </w:rPr>
            </w:pPr>
          </w:p>
        </w:tc>
        <w:tc>
          <w:tcPr>
            <w:tcW w:w="640" w:type="dxa"/>
            <w:vAlign w:val="bottom"/>
            <w:shd w:val="clear" w:color="auto" w:fill="EEEEEE"/>
          </w:tcPr>
          <w:p>
            <w:pPr>
              <w:spacing w:after="0"/>
              <w:rPr>
                <w:sz w:val="8"/>
                <w:szCs w:val="8"/>
                <w:color w:val="auto"/>
              </w:rPr>
            </w:pPr>
          </w:p>
        </w:tc>
        <w:tc>
          <w:tcPr>
            <w:tcW w:w="132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7" w:right="239" w:bottom="681" w:gutter="0" w:footer="0" w:header="0"/>
        </w:sectPr>
      </w:pPr>
    </w:p>
    <w:p>
      <w:pPr>
        <w:spacing w:after="0"/>
        <w:rPr>
          <w:sz w:val="20"/>
          <w:szCs w:val="20"/>
          <w:color w:val="auto"/>
        </w:rPr>
      </w:pPr>
      <w:r>
        <w:rPr>
          <w:rFonts w:ascii="Arial" w:cs="Arial" w:eastAsia="Arial" w:hAnsi="Arial"/>
          <w:sz w:val="13"/>
          <w:szCs w:val="13"/>
          <w:b w:val="1"/>
          <w:bCs w:val="1"/>
          <w:color w:val="auto"/>
        </w:rPr>
        <w:t>Net income (loss)</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Earnings (loss) per share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Basic</w:t>
      </w:r>
    </w:p>
    <w:p>
      <w:pPr>
        <w:ind w:left="280"/>
        <w:spacing w:after="0" w:line="233" w:lineRule="auto"/>
        <w:rPr>
          <w:sz w:val="20"/>
          <w:szCs w:val="20"/>
          <w:color w:val="auto"/>
        </w:rPr>
      </w:pPr>
      <w:r>
        <w:rPr>
          <w:rFonts w:ascii="Arial" w:cs="Arial" w:eastAsia="Arial" w:hAnsi="Arial"/>
          <w:sz w:val="13"/>
          <w:szCs w:val="13"/>
          <w:color w:val="auto"/>
        </w:rPr>
        <w:t>Diluted</w:t>
      </w:r>
    </w:p>
    <w:p>
      <w:pPr>
        <w:spacing w:after="0"/>
        <w:rPr>
          <w:sz w:val="20"/>
          <w:szCs w:val="20"/>
          <w:color w:val="auto"/>
        </w:rPr>
      </w:pPr>
      <w:r>
        <w:rPr>
          <w:rFonts w:ascii="Arial" w:cs="Arial" w:eastAsia="Arial" w:hAnsi="Arial"/>
          <w:sz w:val="11"/>
          <w:szCs w:val="11"/>
          <w:color w:val="auto"/>
        </w:rPr>
        <w:t>Common shares and equivalents outstanding</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3"/>
          <w:szCs w:val="13"/>
          <w:color w:val="auto"/>
        </w:rPr>
        <w:t>Basic weighted average shares</w:t>
      </w:r>
    </w:p>
    <w:p>
      <w:pPr>
        <w:ind w:left="280"/>
        <w:spacing w:after="0"/>
        <w:rPr>
          <w:sz w:val="20"/>
          <w:szCs w:val="20"/>
          <w:color w:val="auto"/>
        </w:rPr>
      </w:pPr>
      <w:r>
        <w:rPr>
          <w:rFonts w:ascii="Arial" w:cs="Arial" w:eastAsia="Arial" w:hAnsi="Arial"/>
          <w:sz w:val="13"/>
          <w:szCs w:val="13"/>
          <w:color w:val="auto"/>
        </w:rPr>
        <w:t>Diluted weighted average shares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of stock option compensation:</w:t>
      </w:r>
    </w:p>
    <w:p>
      <w:pPr>
        <w:spacing w:after="0" w:line="18"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Cost of services</w:t>
      </w:r>
    </w:p>
    <w:p>
      <w:pPr>
        <w:ind w:left="280"/>
        <w:spacing w:after="0"/>
        <w:rPr>
          <w:sz w:val="20"/>
          <w:szCs w:val="20"/>
          <w:color w:val="auto"/>
        </w:rPr>
      </w:pPr>
      <w:r>
        <w:rPr>
          <w:rFonts w:ascii="Arial" w:cs="Arial" w:eastAsia="Arial" w:hAnsi="Arial"/>
          <w:sz w:val="12"/>
          <w:szCs w:val="12"/>
          <w:color w:val="auto"/>
        </w:rPr>
        <w:t>Cost of maintenance and subscriptions</w:t>
      </w:r>
    </w:p>
    <w:p>
      <w:pPr>
        <w:spacing w:after="0" w:line="222" w:lineRule="exact"/>
        <w:rPr>
          <w:sz w:val="20"/>
          <w:szCs w:val="20"/>
          <w:color w:val="auto"/>
        </w:rPr>
      </w:pPr>
    </w:p>
    <w:p>
      <w:pPr>
        <w:ind w:left="540"/>
        <w:spacing w:after="0"/>
        <w:rPr>
          <w:sz w:val="20"/>
          <w:szCs w:val="20"/>
          <w:color w:val="auto"/>
        </w:rPr>
      </w:pPr>
      <w:r>
        <w:rPr>
          <w:rFonts w:ascii="Arial" w:cs="Arial" w:eastAsia="Arial" w:hAnsi="Arial"/>
          <w:sz w:val="13"/>
          <w:szCs w:val="13"/>
          <w:color w:val="auto"/>
        </w:rPr>
        <w:t>Total cost of revenue</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3"/>
          <w:szCs w:val="13"/>
          <w:color w:val="auto"/>
        </w:rPr>
        <w:t>Sales and marketing</w:t>
      </w:r>
    </w:p>
    <w:p>
      <w:pPr>
        <w:ind w:left="280"/>
        <w:spacing w:after="0" w:line="233" w:lineRule="auto"/>
        <w:rPr>
          <w:sz w:val="20"/>
          <w:szCs w:val="20"/>
          <w:color w:val="auto"/>
        </w:rPr>
      </w:pPr>
      <w:r>
        <w:rPr>
          <w:rFonts w:ascii="Arial" w:cs="Arial" w:eastAsia="Arial" w:hAnsi="Arial"/>
          <w:sz w:val="13"/>
          <w:szCs w:val="13"/>
          <w:color w:val="auto"/>
        </w:rPr>
        <w:t>Research and development</w:t>
      </w:r>
    </w:p>
    <w:p>
      <w:pPr>
        <w:ind w:left="280"/>
        <w:spacing w:after="0"/>
        <w:rPr>
          <w:sz w:val="20"/>
          <w:szCs w:val="20"/>
          <w:color w:val="auto"/>
        </w:rPr>
      </w:pPr>
      <w:r>
        <w:rPr>
          <w:rFonts w:ascii="Arial" w:cs="Arial" w:eastAsia="Arial" w:hAnsi="Arial"/>
          <w:sz w:val="13"/>
          <w:szCs w:val="13"/>
          <w:color w:val="auto"/>
        </w:rPr>
        <w:t>General and administrative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4"/>
              <w:spacing w:after="0"/>
              <w:rPr>
                <w:sz w:val="20"/>
                <w:szCs w:val="20"/>
                <w:color w:val="auto"/>
              </w:rPr>
            </w:pPr>
            <w:r>
              <w:rPr>
                <w:rFonts w:ascii="Arial" w:cs="Arial" w:eastAsia="Arial" w:hAnsi="Arial"/>
                <w:sz w:val="13"/>
                <w:szCs w:val="13"/>
                <w:color w:val="auto"/>
                <w:w w:val="85"/>
              </w:rPr>
              <w:t>21,675</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w w:val="90"/>
              </w:rPr>
              <w:t>24,904</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5,096</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8,906</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w w:val="95"/>
              </w:rPr>
              <w:t>15,640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(478)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94"/>
              <w:spacing w:after="0"/>
              <w:rPr>
                <w:sz w:val="20"/>
                <w:szCs w:val="20"/>
                <w:color w:val="auto"/>
              </w:rPr>
            </w:pPr>
            <w:r>
              <w:rPr>
                <w:rFonts w:ascii="Arial" w:cs="Arial" w:eastAsia="Arial" w:hAnsi="Arial"/>
                <w:sz w:val="13"/>
                <w:szCs w:val="13"/>
                <w:color w:val="auto"/>
              </w:rPr>
              <w:t>(349)</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4"/>
              <w:spacing w:after="0"/>
              <w:rPr>
                <w:sz w:val="20"/>
                <w:szCs w:val="20"/>
                <w:color w:val="auto"/>
              </w:rPr>
            </w:pPr>
            <w:r>
              <w:rPr>
                <w:rFonts w:ascii="Arial" w:cs="Arial" w:eastAsia="Arial" w:hAnsi="Arial"/>
                <w:sz w:val="13"/>
                <w:szCs w:val="13"/>
                <w:color w:val="auto"/>
                <w:w w:val="95"/>
              </w:rPr>
              <w:t>16,927</w:t>
            </w:r>
          </w:p>
        </w:tc>
      </w:tr>
      <w:tr>
        <w:trPr>
          <w:trHeight w:val="85"/>
        </w:trPr>
        <w:tc>
          <w:tcPr>
            <w:tcW w:w="4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r>
      <w:tr>
        <w:trPr>
          <w:trHeight w:val="381"/>
        </w:trPr>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0.13</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0.21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0.37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(0.01)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94"/>
              <w:spacing w:after="0"/>
              <w:rPr>
                <w:sz w:val="20"/>
                <w:szCs w:val="20"/>
                <w:color w:val="auto"/>
              </w:rPr>
            </w:pPr>
            <w:r>
              <w:rPr>
                <w:rFonts w:ascii="Arial" w:cs="Arial" w:eastAsia="Arial" w:hAnsi="Arial"/>
                <w:sz w:val="13"/>
                <w:szCs w:val="13"/>
                <w:color w:val="auto"/>
              </w:rPr>
              <w:t>(0.01)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4"/>
              <w:spacing w:after="0"/>
              <w:rPr>
                <w:sz w:val="20"/>
                <w:szCs w:val="20"/>
                <w:color w:val="auto"/>
              </w:rPr>
            </w:pPr>
            <w:r>
              <w:rPr>
                <w:rFonts w:ascii="Arial" w:cs="Arial" w:eastAsia="Arial" w:hAnsi="Arial"/>
                <w:sz w:val="13"/>
                <w:szCs w:val="13"/>
                <w:color w:val="auto"/>
              </w:rPr>
              <w:t>0.40</w:t>
            </w:r>
          </w:p>
        </w:tc>
      </w:tr>
      <w:tr>
        <w:trPr>
          <w:trHeight w:val="166"/>
        </w:trPr>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0.13</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0.21</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0.37</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34"/>
              <w:spacing w:after="0"/>
              <w:rPr>
                <w:sz w:val="20"/>
                <w:szCs w:val="20"/>
                <w:color w:val="auto"/>
              </w:rPr>
            </w:pPr>
            <w:r>
              <w:rPr>
                <w:rFonts w:ascii="Arial" w:cs="Arial" w:eastAsia="Arial" w:hAnsi="Arial"/>
                <w:sz w:val="13"/>
                <w:szCs w:val="13"/>
                <w:color w:val="auto"/>
              </w:rPr>
              <w:t>(0.01)</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94"/>
              <w:spacing w:after="0"/>
              <w:rPr>
                <w:sz w:val="20"/>
                <w:szCs w:val="20"/>
                <w:color w:val="auto"/>
              </w:rPr>
            </w:pPr>
            <w:r>
              <w:rPr>
                <w:rFonts w:ascii="Arial" w:cs="Arial" w:eastAsia="Arial" w:hAnsi="Arial"/>
                <w:sz w:val="13"/>
                <w:szCs w:val="13"/>
                <w:color w:val="auto"/>
              </w:rPr>
              <w:t>(0.01)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4"/>
              <w:spacing w:after="0"/>
              <w:rPr>
                <w:sz w:val="20"/>
                <w:szCs w:val="20"/>
                <w:color w:val="auto"/>
              </w:rPr>
            </w:pPr>
            <w:r>
              <w:rPr>
                <w:rFonts w:ascii="Arial" w:cs="Arial" w:eastAsia="Arial" w:hAnsi="Arial"/>
                <w:sz w:val="13"/>
                <w:szCs w:val="13"/>
                <w:color w:val="auto"/>
              </w:rPr>
              <w:t>0.36</w:t>
            </w:r>
          </w:p>
        </w:tc>
      </w:tr>
      <w:tr>
        <w:trPr>
          <w:trHeight w:val="271"/>
        </w:trPr>
        <w:tc>
          <w:tcPr>
            <w:tcW w:w="460" w:type="dxa"/>
            <w:vAlign w:val="bottom"/>
          </w:tcPr>
          <w:p>
            <w:pPr>
              <w:spacing w:after="0"/>
              <w:rPr>
                <w:sz w:val="23"/>
                <w:szCs w:val="23"/>
                <w:color w:val="auto"/>
              </w:rPr>
            </w:pP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23"/>
                <w:szCs w:val="23"/>
                <w:color w:val="auto"/>
              </w:rPr>
            </w:pP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N/A</w:t>
            </w:r>
          </w:p>
        </w:tc>
        <w:tc>
          <w:tcPr>
            <w:tcW w:w="400" w:type="dxa"/>
            <w:vAlign w:val="bottom"/>
          </w:tcPr>
          <w:p>
            <w:pPr>
              <w:spacing w:after="0"/>
              <w:rPr>
                <w:sz w:val="23"/>
                <w:szCs w:val="23"/>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w w:val="95"/>
              </w:rPr>
              <w:t>40,277</w:t>
            </w:r>
          </w:p>
        </w:tc>
        <w:tc>
          <w:tcPr>
            <w:tcW w:w="280" w:type="dxa"/>
            <w:vAlign w:val="bottom"/>
          </w:tcPr>
          <w:p>
            <w:pPr>
              <w:spacing w:after="0"/>
              <w:rPr>
                <w:sz w:val="23"/>
                <w:szCs w:val="23"/>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41,492</w:t>
            </w:r>
          </w:p>
        </w:tc>
        <w:tc>
          <w:tcPr>
            <w:tcW w:w="260" w:type="dxa"/>
            <w:vAlign w:val="bottom"/>
          </w:tcPr>
          <w:p>
            <w:pPr>
              <w:spacing w:after="0"/>
              <w:rPr>
                <w:sz w:val="23"/>
                <w:szCs w:val="23"/>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color w:val="auto"/>
                <w:w w:val="95"/>
              </w:rPr>
              <w:t>42,360</w:t>
            </w:r>
          </w:p>
        </w:tc>
        <w:tc>
          <w:tcPr>
            <w:tcW w:w="280" w:type="dxa"/>
            <w:vAlign w:val="bottom"/>
          </w:tcPr>
          <w:p>
            <w:pPr>
              <w:spacing w:after="0"/>
              <w:rPr>
                <w:sz w:val="23"/>
                <w:szCs w:val="23"/>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42,396</w:t>
            </w:r>
          </w:p>
        </w:tc>
        <w:tc>
          <w:tcPr>
            <w:tcW w:w="280" w:type="dxa"/>
            <w:vAlign w:val="bottom"/>
          </w:tcPr>
          <w:p>
            <w:pPr>
              <w:spacing w:after="0"/>
              <w:rPr>
                <w:sz w:val="23"/>
                <w:szCs w:val="23"/>
                <w:color w:val="auto"/>
              </w:rPr>
            </w:pPr>
          </w:p>
        </w:tc>
        <w:tc>
          <w:tcPr>
            <w:tcW w:w="780" w:type="dxa"/>
            <w:vAlign w:val="bottom"/>
          </w:tcPr>
          <w:p>
            <w:pPr>
              <w:jc w:val="right"/>
              <w:ind w:right="334"/>
              <w:spacing w:after="0"/>
              <w:rPr>
                <w:sz w:val="20"/>
                <w:szCs w:val="20"/>
                <w:color w:val="auto"/>
              </w:rPr>
            </w:pPr>
            <w:r>
              <w:rPr>
                <w:rFonts w:ascii="Arial" w:cs="Arial" w:eastAsia="Arial" w:hAnsi="Arial"/>
                <w:sz w:val="13"/>
                <w:szCs w:val="13"/>
                <w:color w:val="auto"/>
                <w:w w:val="90"/>
              </w:rPr>
              <w:t>42,391</w:t>
            </w:r>
          </w:p>
        </w:tc>
        <w:tc>
          <w:tcPr>
            <w:tcW w:w="480" w:type="dxa"/>
            <w:vAlign w:val="bottom"/>
          </w:tcPr>
          <w:p>
            <w:pPr>
              <w:spacing w:after="0"/>
              <w:rPr>
                <w:sz w:val="23"/>
                <w:szCs w:val="23"/>
                <w:color w:val="auto"/>
              </w:rPr>
            </w:pPr>
          </w:p>
        </w:tc>
        <w:tc>
          <w:tcPr>
            <w:tcW w:w="500" w:type="dxa"/>
            <w:vAlign w:val="bottom"/>
          </w:tcPr>
          <w:p>
            <w:pPr>
              <w:jc w:val="right"/>
              <w:ind w:right="34"/>
              <w:spacing w:after="0"/>
              <w:rPr>
                <w:sz w:val="20"/>
                <w:szCs w:val="20"/>
                <w:color w:val="auto"/>
              </w:rPr>
            </w:pPr>
            <w:r>
              <w:rPr>
                <w:rFonts w:ascii="Arial" w:cs="Arial" w:eastAsia="Arial" w:hAnsi="Arial"/>
                <w:sz w:val="13"/>
                <w:szCs w:val="13"/>
                <w:color w:val="auto"/>
                <w:w w:val="95"/>
              </w:rPr>
              <w:t>42,480</w:t>
            </w:r>
          </w:p>
        </w:tc>
      </w:tr>
      <w:tr>
        <w:trPr>
          <w:trHeight w:val="166"/>
        </w:trPr>
        <w:tc>
          <w:tcPr>
            <w:tcW w:w="460" w:type="dxa"/>
            <w:vAlign w:val="bottom"/>
          </w:tcPr>
          <w:p>
            <w:pPr>
              <w:spacing w:after="0"/>
              <w:rPr>
                <w:sz w:val="14"/>
                <w:szCs w:val="14"/>
                <w:color w:val="auto"/>
              </w:rPr>
            </w:pP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N/A</w:t>
            </w:r>
          </w:p>
        </w:tc>
        <w:tc>
          <w:tcPr>
            <w:tcW w:w="480" w:type="dxa"/>
            <w:vAlign w:val="bottom"/>
          </w:tcPr>
          <w:p>
            <w:pPr>
              <w:spacing w:after="0"/>
              <w:rPr>
                <w:sz w:val="14"/>
                <w:szCs w:val="14"/>
                <w:color w:val="auto"/>
              </w:rPr>
            </w:pP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N/A</w:t>
            </w:r>
          </w:p>
        </w:tc>
        <w:tc>
          <w:tcPr>
            <w:tcW w:w="4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w w:val="95"/>
              </w:rPr>
              <w:t>40,277</w:t>
            </w:r>
          </w:p>
        </w:tc>
        <w:tc>
          <w:tcPr>
            <w:tcW w:w="2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41,492</w:t>
            </w:r>
          </w:p>
        </w:tc>
        <w:tc>
          <w:tcPr>
            <w:tcW w:w="26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color w:val="auto"/>
                <w:w w:val="95"/>
              </w:rPr>
              <w:t>42,360</w:t>
            </w:r>
          </w:p>
        </w:tc>
        <w:tc>
          <w:tcPr>
            <w:tcW w:w="2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42,396</w:t>
            </w:r>
          </w:p>
        </w:tc>
        <w:tc>
          <w:tcPr>
            <w:tcW w:w="280" w:type="dxa"/>
            <w:vAlign w:val="bottom"/>
          </w:tcPr>
          <w:p>
            <w:pPr>
              <w:spacing w:after="0"/>
              <w:rPr>
                <w:sz w:val="14"/>
                <w:szCs w:val="14"/>
                <w:color w:val="auto"/>
              </w:rPr>
            </w:pPr>
          </w:p>
        </w:tc>
        <w:tc>
          <w:tcPr>
            <w:tcW w:w="780" w:type="dxa"/>
            <w:vAlign w:val="bottom"/>
          </w:tcPr>
          <w:p>
            <w:pPr>
              <w:jc w:val="right"/>
              <w:ind w:right="334"/>
              <w:spacing w:after="0"/>
              <w:rPr>
                <w:sz w:val="20"/>
                <w:szCs w:val="20"/>
                <w:color w:val="auto"/>
              </w:rPr>
            </w:pPr>
            <w:r>
              <w:rPr>
                <w:rFonts w:ascii="Arial" w:cs="Arial" w:eastAsia="Arial" w:hAnsi="Arial"/>
                <w:sz w:val="13"/>
                <w:szCs w:val="13"/>
                <w:color w:val="auto"/>
                <w:w w:val="90"/>
              </w:rPr>
              <w:t>42,391</w:t>
            </w:r>
          </w:p>
        </w:tc>
        <w:tc>
          <w:tcPr>
            <w:tcW w:w="48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3"/>
                <w:szCs w:val="13"/>
                <w:color w:val="auto"/>
                <w:w w:val="95"/>
              </w:rPr>
              <w:t>46,467</w:t>
            </w:r>
          </w:p>
        </w:tc>
      </w:tr>
      <w:tr>
        <w:trPr>
          <w:trHeight w:val="416"/>
        </w:trPr>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3,342</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34"/>
              <w:spacing w:after="0"/>
              <w:rPr>
                <w:sz w:val="20"/>
                <w:szCs w:val="20"/>
                <w:color w:val="auto"/>
              </w:rPr>
            </w:pPr>
            <w:r>
              <w:rPr>
                <w:rFonts w:ascii="Arial" w:cs="Arial" w:eastAsia="Arial" w:hAnsi="Arial"/>
                <w:sz w:val="13"/>
                <w:szCs w:val="13"/>
                <w:color w:val="auto"/>
              </w:rPr>
              <w:t>2,291</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(644)</w:t>
            </w:r>
          </w:p>
        </w:tc>
      </w:tr>
      <w:tr>
        <w:trPr>
          <w:trHeight w:val="166"/>
        </w:trPr>
        <w:tc>
          <w:tcPr>
            <w:tcW w:w="460" w:type="dxa"/>
            <w:vAlign w:val="bottom"/>
          </w:tcPr>
          <w:p>
            <w:pPr>
              <w:spacing w:after="0"/>
              <w:rPr>
                <w:sz w:val="14"/>
                <w:szCs w:val="14"/>
                <w:color w:val="auto"/>
              </w:rPr>
            </w:pP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505</w:t>
            </w:r>
          </w:p>
        </w:tc>
        <w:tc>
          <w:tcPr>
            <w:tcW w:w="280" w:type="dxa"/>
            <w:vAlign w:val="bottom"/>
          </w:tcPr>
          <w:p>
            <w:pPr>
              <w:spacing w:after="0"/>
              <w:rPr>
                <w:sz w:val="14"/>
                <w:szCs w:val="14"/>
                <w:color w:val="auto"/>
              </w:rPr>
            </w:pPr>
          </w:p>
        </w:tc>
        <w:tc>
          <w:tcPr>
            <w:tcW w:w="780" w:type="dxa"/>
            <w:vAlign w:val="bottom"/>
          </w:tcPr>
          <w:p>
            <w:pPr>
              <w:jc w:val="right"/>
              <w:ind w:right="334"/>
              <w:spacing w:after="0"/>
              <w:rPr>
                <w:sz w:val="20"/>
                <w:szCs w:val="20"/>
                <w:color w:val="auto"/>
              </w:rPr>
            </w:pPr>
            <w:r>
              <w:rPr>
                <w:rFonts w:ascii="Arial" w:cs="Arial" w:eastAsia="Arial" w:hAnsi="Arial"/>
                <w:sz w:val="13"/>
                <w:szCs w:val="13"/>
                <w:color w:val="auto"/>
              </w:rPr>
              <w:t>344</w:t>
            </w:r>
          </w:p>
        </w:tc>
        <w:tc>
          <w:tcPr>
            <w:tcW w:w="4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r>
      <w:tr>
        <w:trPr>
          <w:trHeight w:val="94"/>
        </w:trPr>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36"/>
        </w:trPr>
        <w:tc>
          <w:tcPr>
            <w:tcW w:w="460" w:type="dxa"/>
            <w:vAlign w:val="bottom"/>
          </w:tcPr>
          <w:p>
            <w:pPr>
              <w:spacing w:after="0"/>
              <w:rPr>
                <w:sz w:val="20"/>
                <w:szCs w:val="20"/>
                <w:color w:val="auto"/>
              </w:rPr>
            </w:pP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0"/>
                <w:szCs w:val="20"/>
                <w:color w:val="auto"/>
              </w:rPr>
            </w:pP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20"/>
                <w:szCs w:val="20"/>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3,847</w:t>
            </w:r>
          </w:p>
        </w:tc>
        <w:tc>
          <w:tcPr>
            <w:tcW w:w="280" w:type="dxa"/>
            <w:vAlign w:val="bottom"/>
          </w:tcPr>
          <w:p>
            <w:pPr>
              <w:spacing w:after="0"/>
              <w:rPr>
                <w:sz w:val="20"/>
                <w:szCs w:val="20"/>
                <w:color w:val="auto"/>
              </w:rPr>
            </w:pPr>
          </w:p>
        </w:tc>
        <w:tc>
          <w:tcPr>
            <w:tcW w:w="780" w:type="dxa"/>
            <w:vAlign w:val="bottom"/>
          </w:tcPr>
          <w:p>
            <w:pPr>
              <w:jc w:val="right"/>
              <w:ind w:right="334"/>
              <w:spacing w:after="0"/>
              <w:rPr>
                <w:sz w:val="20"/>
                <w:szCs w:val="20"/>
                <w:color w:val="auto"/>
              </w:rPr>
            </w:pPr>
            <w:r>
              <w:rPr>
                <w:rFonts w:ascii="Arial" w:cs="Arial" w:eastAsia="Arial" w:hAnsi="Arial"/>
                <w:sz w:val="13"/>
                <w:szCs w:val="13"/>
                <w:color w:val="auto"/>
              </w:rPr>
              <w:t>2,635</w:t>
            </w:r>
          </w:p>
        </w:tc>
        <w:tc>
          <w:tcPr>
            <w:tcW w:w="4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(750)</w:t>
            </w:r>
          </w:p>
        </w:tc>
      </w:tr>
      <w:tr>
        <w:trPr>
          <w:trHeight w:val="146"/>
        </w:trPr>
        <w:tc>
          <w:tcPr>
            <w:tcW w:w="460" w:type="dxa"/>
            <w:vAlign w:val="bottom"/>
          </w:tcPr>
          <w:p>
            <w:pPr>
              <w:spacing w:after="0"/>
              <w:rPr>
                <w:sz w:val="12"/>
                <w:szCs w:val="12"/>
                <w:color w:val="auto"/>
              </w:rPr>
            </w:pPr>
          </w:p>
        </w:tc>
        <w:tc>
          <w:tcPr>
            <w:tcW w:w="780" w:type="dxa"/>
            <w:vAlign w:val="bottom"/>
          </w:tcPr>
          <w:p>
            <w:pPr>
              <w:jc w:val="right"/>
              <w:ind w:right="354"/>
              <w:spacing w:after="0" w:line="146"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68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1,817</w:t>
            </w:r>
          </w:p>
        </w:tc>
        <w:tc>
          <w:tcPr>
            <w:tcW w:w="280" w:type="dxa"/>
            <w:vAlign w:val="bottom"/>
          </w:tcPr>
          <w:p>
            <w:pPr>
              <w:spacing w:after="0"/>
              <w:rPr>
                <w:sz w:val="12"/>
                <w:szCs w:val="12"/>
                <w:color w:val="auto"/>
              </w:rPr>
            </w:pPr>
          </w:p>
        </w:tc>
        <w:tc>
          <w:tcPr>
            <w:tcW w:w="7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1,201</w:t>
            </w:r>
          </w:p>
        </w:tc>
        <w:tc>
          <w:tcPr>
            <w:tcW w:w="4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(194)</w:t>
            </w:r>
          </w:p>
        </w:tc>
      </w:tr>
      <w:tr>
        <w:trPr>
          <w:trHeight w:val="146"/>
        </w:trPr>
        <w:tc>
          <w:tcPr>
            <w:tcW w:w="460" w:type="dxa"/>
            <w:vAlign w:val="bottom"/>
          </w:tcPr>
          <w:p>
            <w:pPr>
              <w:spacing w:after="0"/>
              <w:rPr>
                <w:sz w:val="12"/>
                <w:szCs w:val="12"/>
                <w:color w:val="auto"/>
              </w:rPr>
            </w:pPr>
          </w:p>
        </w:tc>
        <w:tc>
          <w:tcPr>
            <w:tcW w:w="780" w:type="dxa"/>
            <w:vAlign w:val="bottom"/>
          </w:tcPr>
          <w:p>
            <w:pPr>
              <w:jc w:val="right"/>
              <w:ind w:right="354"/>
              <w:spacing w:after="0" w:line="146"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68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60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8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2,341</w:t>
            </w:r>
          </w:p>
        </w:tc>
        <w:tc>
          <w:tcPr>
            <w:tcW w:w="280" w:type="dxa"/>
            <w:vAlign w:val="bottom"/>
          </w:tcPr>
          <w:p>
            <w:pPr>
              <w:spacing w:after="0"/>
              <w:rPr>
                <w:sz w:val="12"/>
                <w:szCs w:val="12"/>
                <w:color w:val="auto"/>
              </w:rPr>
            </w:pPr>
          </w:p>
        </w:tc>
        <w:tc>
          <w:tcPr>
            <w:tcW w:w="780" w:type="dxa"/>
            <w:vAlign w:val="bottom"/>
          </w:tcPr>
          <w:p>
            <w:pPr>
              <w:jc w:val="right"/>
              <w:ind w:right="334"/>
              <w:spacing w:after="0" w:line="146" w:lineRule="exact"/>
              <w:rPr>
                <w:sz w:val="20"/>
                <w:szCs w:val="20"/>
                <w:color w:val="auto"/>
              </w:rPr>
            </w:pPr>
            <w:r>
              <w:rPr>
                <w:rFonts w:ascii="Arial" w:cs="Arial" w:eastAsia="Arial" w:hAnsi="Arial"/>
                <w:sz w:val="13"/>
                <w:szCs w:val="13"/>
                <w:color w:val="auto"/>
              </w:rPr>
              <w:t>1,639</w:t>
            </w:r>
          </w:p>
        </w:tc>
        <w:tc>
          <w:tcPr>
            <w:tcW w:w="480" w:type="dxa"/>
            <w:vAlign w:val="bottom"/>
          </w:tcPr>
          <w:p>
            <w:pPr>
              <w:spacing w:after="0"/>
              <w:rPr>
                <w:sz w:val="12"/>
                <w:szCs w:val="12"/>
                <w:color w:val="auto"/>
              </w:rPr>
            </w:pP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(517)</w:t>
            </w:r>
          </w:p>
        </w:tc>
      </w:tr>
      <w:tr>
        <w:trPr>
          <w:trHeight w:val="166"/>
        </w:trPr>
        <w:tc>
          <w:tcPr>
            <w:tcW w:w="460" w:type="dxa"/>
            <w:vAlign w:val="bottom"/>
          </w:tcPr>
          <w:p>
            <w:pPr>
              <w:spacing w:after="0"/>
              <w:rPr>
                <w:sz w:val="14"/>
                <w:szCs w:val="14"/>
                <w:color w:val="auto"/>
              </w:rPr>
            </w:pPr>
          </w:p>
        </w:tc>
        <w:tc>
          <w:tcPr>
            <w:tcW w:w="78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4"/>
                <w:szCs w:val="14"/>
                <w:color w:val="auto"/>
              </w:rPr>
            </w:pPr>
          </w:p>
        </w:tc>
        <w:tc>
          <w:tcPr>
            <w:tcW w:w="68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60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19,533</w:t>
            </w:r>
          </w:p>
        </w:tc>
        <w:tc>
          <w:tcPr>
            <w:tcW w:w="280" w:type="dxa"/>
            <w:vAlign w:val="bottom"/>
          </w:tcPr>
          <w:p>
            <w:pPr>
              <w:spacing w:after="0"/>
              <w:rPr>
                <w:sz w:val="14"/>
                <w:szCs w:val="14"/>
                <w:color w:val="auto"/>
              </w:rPr>
            </w:pPr>
          </w:p>
        </w:tc>
        <w:tc>
          <w:tcPr>
            <w:tcW w:w="780" w:type="dxa"/>
            <w:vAlign w:val="bottom"/>
          </w:tcPr>
          <w:p>
            <w:pPr>
              <w:jc w:val="right"/>
              <w:ind w:right="334"/>
              <w:spacing w:after="0"/>
              <w:rPr>
                <w:sz w:val="20"/>
                <w:szCs w:val="20"/>
                <w:color w:val="auto"/>
              </w:rPr>
            </w:pPr>
            <w:r>
              <w:rPr>
                <w:rFonts w:ascii="Arial" w:cs="Arial" w:eastAsia="Arial" w:hAnsi="Arial"/>
                <w:sz w:val="13"/>
                <w:szCs w:val="13"/>
                <w:color w:val="auto"/>
                <w:w w:val="90"/>
              </w:rPr>
              <w:t>14,486</w:t>
            </w:r>
          </w:p>
        </w:tc>
        <w:tc>
          <w:tcPr>
            <w:tcW w:w="48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3"/>
                <w:szCs w:val="13"/>
                <w:color w:val="auto"/>
              </w:rPr>
              <w:t>766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-1586230</wp:posOffset>
            </wp:positionV>
            <wp:extent cx="7249160" cy="142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-1350645</wp:posOffset>
            </wp:positionV>
            <wp:extent cx="7249160" cy="92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-1165860</wp:posOffset>
            </wp:positionV>
            <wp:extent cx="7249160" cy="927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-981075</wp:posOffset>
            </wp:positionV>
            <wp:extent cx="7249160" cy="184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18478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-704215</wp:posOffset>
            </wp:positionV>
            <wp:extent cx="7249160" cy="927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-518795</wp:posOffset>
            </wp:positionV>
            <wp:extent cx="7249160" cy="142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91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-283845</wp:posOffset>
            </wp:positionV>
            <wp:extent cx="7249160" cy="927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-99060</wp:posOffset>
            </wp:positionV>
            <wp:extent cx="7249160" cy="927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59690</wp:posOffset>
            </wp:positionV>
            <wp:extent cx="50907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907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8020"/>
          </w:cols>
          <w:pgMar w:left="240" w:top="907" w:right="239" w:bottom="681"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gridSpan w:val="2"/>
            <w:shd w:val="clear" w:color="auto" w:fill="EEEEEE"/>
          </w:tcPr>
          <w:p>
            <w:pPr>
              <w:ind w:left="540"/>
              <w:spacing w:after="0"/>
              <w:rPr>
                <w:sz w:val="20"/>
                <w:szCs w:val="20"/>
                <w:color w:val="auto"/>
              </w:rPr>
            </w:pPr>
            <w:r>
              <w:rPr>
                <w:rFonts w:ascii="Arial" w:cs="Arial" w:eastAsia="Arial" w:hAnsi="Arial"/>
                <w:sz w:val="13"/>
                <w:szCs w:val="13"/>
                <w:color w:val="auto"/>
              </w:rPr>
              <w:t>Total operating expenses</w:t>
            </w:r>
          </w:p>
        </w:tc>
        <w:tc>
          <w:tcPr>
            <w:tcW w:w="124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234"/>
              <w:spacing w:after="0"/>
              <w:rPr>
                <w:sz w:val="20"/>
                <w:szCs w:val="20"/>
                <w:color w:val="auto"/>
              </w:rPr>
            </w:pPr>
            <w:r>
              <w:rPr>
                <w:rFonts w:ascii="Arial" w:cs="Arial" w:eastAsia="Arial" w:hAnsi="Arial"/>
                <w:sz w:val="13"/>
                <w:szCs w:val="13"/>
                <w:color w:val="auto"/>
              </w:rPr>
              <w:t>—</w:t>
            </w:r>
          </w:p>
        </w:tc>
        <w:tc>
          <w:tcPr>
            <w:tcW w:w="1000" w:type="dxa"/>
            <w:vAlign w:val="bottom"/>
            <w:shd w:val="clear" w:color="auto" w:fill="EEEEEE"/>
          </w:tcPr>
          <w:p>
            <w:pPr>
              <w:jc w:val="right"/>
              <w:ind w:right="150"/>
              <w:spacing w:after="0"/>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w:t>
            </w:r>
          </w:p>
        </w:tc>
        <w:tc>
          <w:tcPr>
            <w:tcW w:w="840" w:type="dxa"/>
            <w:vAlign w:val="bottom"/>
            <w:shd w:val="clear" w:color="auto" w:fill="EEEEEE"/>
          </w:tcPr>
          <w:p>
            <w:pPr>
              <w:jc w:val="right"/>
              <w:ind w:right="130"/>
              <w:spacing w:after="0"/>
              <w:rPr>
                <w:sz w:val="20"/>
                <w:szCs w:val="20"/>
                <w:color w:val="auto"/>
              </w:rPr>
            </w:pPr>
            <w:r>
              <w:rPr>
                <w:rFonts w:ascii="Arial" w:cs="Arial" w:eastAsia="Arial" w:hAnsi="Arial"/>
                <w:sz w:val="13"/>
                <w:szCs w:val="13"/>
                <w:color w:val="auto"/>
              </w:rPr>
              <w:t>—</w:t>
            </w:r>
          </w:p>
        </w:tc>
        <w:tc>
          <w:tcPr>
            <w:tcW w:w="90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23,691</w:t>
            </w:r>
          </w:p>
        </w:tc>
        <w:tc>
          <w:tcPr>
            <w:tcW w:w="10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17,326</w:t>
            </w:r>
          </w:p>
        </w:tc>
        <w:tc>
          <w:tcPr>
            <w:tcW w:w="100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55</w:t>
            </w:r>
          </w:p>
        </w:tc>
      </w:tr>
      <w:tr>
        <w:trPr>
          <w:trHeight w:val="106"/>
        </w:trPr>
        <w:tc>
          <w:tcPr>
            <w:tcW w:w="20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99"/>
        </w:trPr>
        <w:tc>
          <w:tcPr>
            <w:tcW w:w="20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146"/>
        </w:trPr>
        <w:tc>
          <w:tcPr>
            <w:tcW w:w="3400" w:type="dxa"/>
            <w:vAlign w:val="bottom"/>
            <w:gridSpan w:val="2"/>
            <w:shd w:val="clear" w:color="auto" w:fill="EEEEEE"/>
          </w:tcPr>
          <w:p>
            <w:pPr>
              <w:ind w:left="540"/>
              <w:spacing w:after="0" w:line="146" w:lineRule="exact"/>
              <w:rPr>
                <w:sz w:val="20"/>
                <w:szCs w:val="20"/>
                <w:color w:val="auto"/>
              </w:rPr>
            </w:pPr>
            <w:r>
              <w:rPr>
                <w:rFonts w:ascii="Arial" w:cs="Arial" w:eastAsia="Arial" w:hAnsi="Arial"/>
                <w:sz w:val="13"/>
                <w:szCs w:val="13"/>
                <w:color w:val="auto"/>
              </w:rPr>
              <w:t>Total stock option compensation</w:t>
            </w:r>
          </w:p>
        </w:tc>
        <w:tc>
          <w:tcPr>
            <w:tcW w:w="1240" w:type="dxa"/>
            <w:vAlign w:val="bottom"/>
            <w:shd w:val="clear" w:color="auto" w:fill="EEEEEE"/>
          </w:tcPr>
          <w:p>
            <w:pPr>
              <w:jc w:val="right"/>
              <w:ind w:right="354"/>
              <w:spacing w:after="0" w:line="146" w:lineRule="exact"/>
              <w:rPr>
                <w:sz w:val="20"/>
                <w:szCs w:val="20"/>
                <w:color w:val="auto"/>
              </w:rPr>
            </w:pPr>
            <w:r>
              <w:rPr>
                <w:rFonts w:ascii="Arial" w:cs="Arial" w:eastAsia="Arial" w:hAnsi="Arial"/>
                <w:sz w:val="13"/>
                <w:szCs w:val="13"/>
                <w:color w:val="auto"/>
              </w:rPr>
              <w:t>$    —</w:t>
            </w:r>
          </w:p>
        </w:tc>
        <w:tc>
          <w:tcPr>
            <w:tcW w:w="116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    —</w:t>
            </w:r>
          </w:p>
        </w:tc>
        <w:tc>
          <w:tcPr>
            <w:tcW w:w="1000" w:type="dxa"/>
            <w:vAlign w:val="bottom"/>
            <w:shd w:val="clear" w:color="auto" w:fill="EEEEEE"/>
          </w:tcPr>
          <w:p>
            <w:pPr>
              <w:jc w:val="right"/>
              <w:ind w:right="150"/>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    —</w:t>
            </w:r>
          </w:p>
        </w:tc>
        <w:tc>
          <w:tcPr>
            <w:tcW w:w="840" w:type="dxa"/>
            <w:vAlign w:val="bottom"/>
            <w:shd w:val="clear" w:color="auto" w:fill="EEEEEE"/>
          </w:tcPr>
          <w:p>
            <w:pPr>
              <w:jc w:val="right"/>
              <w:ind w:right="130"/>
              <w:spacing w:after="0" w:line="146" w:lineRule="exact"/>
              <w:rPr>
                <w:sz w:val="20"/>
                <w:szCs w:val="20"/>
                <w:color w:val="auto"/>
              </w:rPr>
            </w:pPr>
            <w:r>
              <w:rPr>
                <w:rFonts w:ascii="Arial" w:cs="Arial" w:eastAsia="Arial" w:hAnsi="Arial"/>
                <w:sz w:val="13"/>
                <w:szCs w:val="13"/>
                <w:color w:val="auto"/>
                <w:w w:val="91"/>
              </w:rPr>
              <w:t>$—</w:t>
            </w:r>
          </w:p>
        </w:tc>
        <w:tc>
          <w:tcPr>
            <w:tcW w:w="90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$ 27,538</w:t>
            </w:r>
          </w:p>
        </w:tc>
        <w:tc>
          <w:tcPr>
            <w:tcW w:w="10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$19,961</w:t>
            </w:r>
          </w:p>
        </w:tc>
        <w:tc>
          <w:tcPr>
            <w:tcW w:w="10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   (695)</w:t>
            </w:r>
          </w:p>
        </w:tc>
      </w:tr>
      <w:tr>
        <w:trPr>
          <w:trHeight w:val="106"/>
        </w:trPr>
        <w:tc>
          <w:tcPr>
            <w:tcW w:w="2080" w:type="dxa"/>
            <w:vAlign w:val="bottom"/>
            <w:tcBorders>
              <w:bottom w:val="single" w:sz="8" w:color="808080"/>
            </w:tcBorders>
          </w:tcPr>
          <w:p>
            <w:pPr>
              <w:spacing w:after="0"/>
              <w:rPr>
                <w:sz w:val="9"/>
                <w:szCs w:val="9"/>
                <w:color w:val="auto"/>
              </w:rPr>
            </w:pPr>
          </w:p>
        </w:tc>
        <w:tc>
          <w:tcPr>
            <w:tcW w:w="1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r>
    </w:tbl>
    <w:p>
      <w:pPr>
        <w:spacing w:after="0" w:line="97" w:lineRule="exact"/>
        <w:rPr>
          <w:sz w:val="20"/>
          <w:szCs w:val="20"/>
          <w:color w:val="auto"/>
        </w:rPr>
      </w:pPr>
    </w:p>
    <w:p>
      <w:pPr>
        <w:ind w:left="260" w:hanging="254"/>
        <w:spacing w:after="0"/>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stock option compensation as set forth in Summary of stock option compensation.</w:t>
      </w:r>
    </w:p>
    <w:p>
      <w:pPr>
        <w:spacing w:after="0" w:line="21" w:lineRule="exact"/>
        <w:rPr>
          <w:rFonts w:ascii="Arial" w:cs="Arial" w:eastAsia="Arial" w:hAnsi="Arial"/>
          <w:sz w:val="17"/>
          <w:szCs w:val="17"/>
          <w:color w:val="auto"/>
        </w:rPr>
      </w:pPr>
    </w:p>
    <w:p>
      <w:pPr>
        <w:ind w:left="260" w:right="200" w:hanging="254"/>
        <w:spacing w:after="0" w:line="259" w:lineRule="auto"/>
        <w:tabs>
          <w:tab w:leader="none" w:pos="2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Earnings per share not computed for this year because we were an S corporation until our recapitalization in October 1999 and therefore the information would not be meaningful.</w:t>
      </w:r>
    </w:p>
    <w:p>
      <w:pPr>
        <w:spacing w:after="0" w:line="1" w:lineRule="exact"/>
        <w:rPr>
          <w:rFonts w:ascii="Arial" w:cs="Arial" w:eastAsia="Arial" w:hAnsi="Arial"/>
          <w:sz w:val="17"/>
          <w:szCs w:val="17"/>
          <w:color w:val="auto"/>
        </w:rPr>
      </w:pPr>
    </w:p>
    <w:p>
      <w:pPr>
        <w:ind w:left="260" w:right="780" w:hanging="254"/>
        <w:spacing w:after="0" w:line="312"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Certain amounts in the 1998, 1999 and 2000 financial statements have been reclassified to conform to the 2003 financial statement presentation. These reclassifications have no effect on previously reported net income (loss), shareholders’ equity or net income (loss) per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681"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356"/>
              <w:spacing w:after="0"/>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4"/>
                <w:szCs w:val="14"/>
                <w:color w:val="auto"/>
              </w:rPr>
            </w:pPr>
          </w:p>
        </w:tc>
      </w:tr>
      <w:tr>
        <w:trPr>
          <w:trHeight w:val="94"/>
        </w:trPr>
        <w:tc>
          <w:tcPr>
            <w:tcW w:w="580" w:type="dxa"/>
            <w:vAlign w:val="bottom"/>
          </w:tcPr>
          <w:p>
            <w:pPr>
              <w:spacing w:after="0"/>
              <w:rPr>
                <w:sz w:val="8"/>
                <w:szCs w:val="8"/>
                <w:color w:val="auto"/>
              </w:rPr>
            </w:pPr>
          </w:p>
        </w:tc>
        <w:tc>
          <w:tcPr>
            <w:tcW w:w="2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6"/>
        </w:trPr>
        <w:tc>
          <w:tcPr>
            <w:tcW w:w="580" w:type="dxa"/>
            <w:vAlign w:val="bottom"/>
          </w:tcPr>
          <w:p>
            <w:pPr>
              <w:spacing w:after="0"/>
              <w:rPr>
                <w:sz w:val="22"/>
                <w:szCs w:val="22"/>
                <w:color w:val="auto"/>
              </w:rPr>
            </w:pPr>
          </w:p>
        </w:tc>
        <w:tc>
          <w:tcPr>
            <w:tcW w:w="2280" w:type="dxa"/>
            <w:vAlign w:val="bottom"/>
          </w:tcPr>
          <w:p>
            <w:pPr>
              <w:ind w:left="64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2"/>
                <w:szCs w:val="22"/>
                <w:color w:val="auto"/>
              </w:rPr>
            </w:pPr>
          </w:p>
        </w:tc>
        <w:tc>
          <w:tcPr>
            <w:tcW w:w="900" w:type="dxa"/>
            <w:vAlign w:val="bottom"/>
          </w:tcPr>
          <w:p>
            <w:pPr>
              <w:jc w:val="right"/>
              <w:ind w:right="436"/>
              <w:spacing w:after="0"/>
              <w:rPr>
                <w:sz w:val="20"/>
                <w:szCs w:val="20"/>
                <w:color w:val="auto"/>
              </w:rPr>
            </w:pPr>
            <w:r>
              <w:rPr>
                <w:rFonts w:ascii="Arial" w:cs="Arial" w:eastAsia="Arial" w:hAnsi="Arial"/>
                <w:sz w:val="13"/>
                <w:szCs w:val="13"/>
                <w:b w:val="1"/>
                <w:bCs w:val="1"/>
                <w:color w:val="auto"/>
              </w:rPr>
              <w:t>1999</w:t>
            </w:r>
          </w:p>
        </w:tc>
        <w:tc>
          <w:tcPr>
            <w:tcW w:w="360" w:type="dxa"/>
            <w:vAlign w:val="bottom"/>
          </w:tcPr>
          <w:p>
            <w:pPr>
              <w:spacing w:after="0"/>
              <w:rPr>
                <w:sz w:val="22"/>
                <w:szCs w:val="22"/>
                <w:color w:val="auto"/>
              </w:rPr>
            </w:pPr>
          </w:p>
        </w:tc>
        <w:tc>
          <w:tcPr>
            <w:tcW w:w="880" w:type="dxa"/>
            <w:vAlign w:val="bottom"/>
          </w:tcPr>
          <w:p>
            <w:pPr>
              <w:jc w:val="right"/>
              <w:ind w:right="416"/>
              <w:spacing w:after="0"/>
              <w:rPr>
                <w:sz w:val="20"/>
                <w:szCs w:val="20"/>
                <w:color w:val="auto"/>
              </w:rPr>
            </w:pPr>
            <w:r>
              <w:rPr>
                <w:rFonts w:ascii="Arial" w:cs="Arial" w:eastAsia="Arial" w:hAnsi="Arial"/>
                <w:sz w:val="13"/>
                <w:szCs w:val="13"/>
                <w:b w:val="1"/>
                <w:bCs w:val="1"/>
                <w:color w:val="auto"/>
              </w:rPr>
              <w:t>2000</w:t>
            </w:r>
          </w:p>
        </w:tc>
        <w:tc>
          <w:tcPr>
            <w:tcW w:w="380" w:type="dxa"/>
            <w:vAlign w:val="bottom"/>
          </w:tcPr>
          <w:p>
            <w:pPr>
              <w:spacing w:after="0"/>
              <w:rPr>
                <w:sz w:val="22"/>
                <w:szCs w:val="22"/>
                <w:color w:val="auto"/>
              </w:rPr>
            </w:pPr>
          </w:p>
        </w:tc>
        <w:tc>
          <w:tcPr>
            <w:tcW w:w="900" w:type="dxa"/>
            <w:vAlign w:val="bottom"/>
          </w:tcPr>
          <w:p>
            <w:pPr>
              <w:jc w:val="right"/>
              <w:ind w:right="436"/>
              <w:spacing w:after="0"/>
              <w:rPr>
                <w:sz w:val="20"/>
                <w:szCs w:val="20"/>
                <w:color w:val="auto"/>
              </w:rPr>
            </w:pPr>
            <w:r>
              <w:rPr>
                <w:rFonts w:ascii="Arial" w:cs="Arial" w:eastAsia="Arial" w:hAnsi="Arial"/>
                <w:sz w:val="13"/>
                <w:szCs w:val="13"/>
                <w:b w:val="1"/>
                <w:bCs w:val="1"/>
                <w:color w:val="auto"/>
              </w:rPr>
              <w:t>2001</w:t>
            </w:r>
          </w:p>
        </w:tc>
        <w:tc>
          <w:tcPr>
            <w:tcW w:w="340" w:type="dxa"/>
            <w:vAlign w:val="bottom"/>
          </w:tcPr>
          <w:p>
            <w:pPr>
              <w:spacing w:after="0"/>
              <w:rPr>
                <w:sz w:val="22"/>
                <w:szCs w:val="22"/>
                <w:color w:val="auto"/>
              </w:rPr>
            </w:pPr>
          </w:p>
        </w:tc>
        <w:tc>
          <w:tcPr>
            <w:tcW w:w="920" w:type="dxa"/>
            <w:vAlign w:val="bottom"/>
          </w:tcPr>
          <w:p>
            <w:pPr>
              <w:jc w:val="right"/>
              <w:ind w:right="456"/>
              <w:spacing w:after="0"/>
              <w:rPr>
                <w:sz w:val="20"/>
                <w:szCs w:val="20"/>
                <w:color w:val="auto"/>
              </w:rPr>
            </w:pPr>
            <w:r>
              <w:rPr>
                <w:rFonts w:ascii="Arial" w:cs="Arial" w:eastAsia="Arial" w:hAnsi="Arial"/>
                <w:sz w:val="13"/>
                <w:szCs w:val="13"/>
                <w:b w:val="1"/>
                <w:bCs w:val="1"/>
                <w:color w:val="auto"/>
              </w:rPr>
              <w:t>2002</w:t>
            </w:r>
          </w:p>
        </w:tc>
        <w:tc>
          <w:tcPr>
            <w:tcW w:w="380" w:type="dxa"/>
            <w:vAlign w:val="bottom"/>
          </w:tcPr>
          <w:p>
            <w:pPr>
              <w:spacing w:after="0"/>
              <w:rPr>
                <w:sz w:val="22"/>
                <w:szCs w:val="22"/>
                <w:color w:val="auto"/>
              </w:rPr>
            </w:pPr>
          </w:p>
        </w:tc>
        <w:tc>
          <w:tcPr>
            <w:tcW w:w="780" w:type="dxa"/>
            <w:vAlign w:val="bottom"/>
          </w:tcPr>
          <w:p>
            <w:pPr>
              <w:jc w:val="right"/>
              <w:ind w:right="336"/>
              <w:spacing w:after="0"/>
              <w:rPr>
                <w:sz w:val="20"/>
                <w:szCs w:val="20"/>
                <w:color w:val="auto"/>
              </w:rPr>
            </w:pPr>
            <w:r>
              <w:rPr>
                <w:rFonts w:ascii="Arial" w:cs="Arial" w:eastAsia="Arial" w:hAnsi="Arial"/>
                <w:sz w:val="13"/>
                <w:szCs w:val="13"/>
                <w:b w:val="1"/>
                <w:bCs w:val="1"/>
                <w:color w:val="auto"/>
              </w:rPr>
              <w:t>2003</w:t>
            </w: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jc w:val="right"/>
              <w:ind w:right="636"/>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22"/>
                <w:szCs w:val="22"/>
                <w:color w:val="auto"/>
              </w:rPr>
            </w:pPr>
          </w:p>
        </w:tc>
      </w:tr>
      <w:tr>
        <w:trPr>
          <w:trHeight w:val="94"/>
        </w:trPr>
        <w:tc>
          <w:tcPr>
            <w:tcW w:w="580" w:type="dxa"/>
            <w:vAlign w:val="bottom"/>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gridSpan w:val="2"/>
          </w:tcPr>
          <w:p>
            <w:pPr>
              <w:spacing w:after="0"/>
              <w:rPr>
                <w:sz w:val="8"/>
                <w:szCs w:val="8"/>
                <w:color w:val="auto"/>
              </w:rPr>
            </w:pPr>
          </w:p>
        </w:tc>
        <w:tc>
          <w:tcPr>
            <w:tcW w:w="560" w:type="dxa"/>
            <w:vAlign w:val="bottom"/>
          </w:tcPr>
          <w:p>
            <w:pPr>
              <w:spacing w:after="0"/>
              <w:rPr>
                <w:sz w:val="8"/>
                <w:szCs w:val="8"/>
                <w:color w:val="auto"/>
              </w:rPr>
            </w:pPr>
          </w:p>
        </w:tc>
      </w:tr>
      <w:tr>
        <w:trPr>
          <w:trHeight w:val="245"/>
        </w:trPr>
        <w:tc>
          <w:tcPr>
            <w:tcW w:w="5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ind w:left="500"/>
              <w:spacing w:after="0"/>
              <w:rPr>
                <w:sz w:val="20"/>
                <w:szCs w:val="20"/>
                <w:color w:val="auto"/>
              </w:rPr>
            </w:pPr>
            <w:r>
              <w:rPr>
                <w:rFonts w:ascii="Arial" w:cs="Arial" w:eastAsia="Arial" w:hAnsi="Arial"/>
                <w:sz w:val="13"/>
                <w:szCs w:val="13"/>
                <w:b w:val="1"/>
                <w:bCs w:val="1"/>
                <w:color w:val="auto"/>
              </w:rPr>
              <w:t>(unaudited)</w:t>
            </w:r>
          </w:p>
        </w:tc>
        <w:tc>
          <w:tcPr>
            <w:tcW w:w="560" w:type="dxa"/>
            <w:vAlign w:val="bottom"/>
          </w:tcPr>
          <w:p>
            <w:pPr>
              <w:spacing w:after="0"/>
              <w:rPr>
                <w:sz w:val="21"/>
                <w:szCs w:val="21"/>
                <w:color w:val="auto"/>
              </w:rPr>
            </w:pPr>
          </w:p>
        </w:tc>
      </w:tr>
      <w:tr>
        <w:trPr>
          <w:trHeight w:val="197"/>
        </w:trPr>
        <w:tc>
          <w:tcPr>
            <w:tcW w:w="58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Consolidated</w:t>
            </w:r>
          </w:p>
        </w:tc>
        <w:tc>
          <w:tcPr>
            <w:tcW w:w="2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26"/>
        </w:trPr>
        <w:tc>
          <w:tcPr>
            <w:tcW w:w="580" w:type="dxa"/>
            <w:vAlign w:val="bottom"/>
          </w:tcPr>
          <w:p>
            <w:pPr>
              <w:spacing w:after="0"/>
              <w:rPr>
                <w:sz w:val="19"/>
                <w:szCs w:val="19"/>
                <w:color w:val="auto"/>
              </w:rPr>
            </w:pPr>
          </w:p>
        </w:tc>
        <w:tc>
          <w:tcPr>
            <w:tcW w:w="2280" w:type="dxa"/>
            <w:vAlign w:val="bottom"/>
            <w:shd w:val="clear" w:color="auto" w:fill="EEEEEE"/>
          </w:tcPr>
          <w:p>
            <w:pPr>
              <w:ind w:left="140"/>
              <w:spacing w:after="0"/>
              <w:rPr>
                <w:sz w:val="20"/>
                <w:szCs w:val="20"/>
                <w:color w:val="auto"/>
              </w:rPr>
            </w:pPr>
            <w:r>
              <w:rPr>
                <w:rFonts w:ascii="Arial" w:cs="Arial" w:eastAsia="Arial" w:hAnsi="Arial"/>
                <w:sz w:val="17"/>
                <w:szCs w:val="17"/>
                <w:b w:val="1"/>
                <w:bCs w:val="1"/>
                <w:color w:val="auto"/>
              </w:rPr>
              <w:t>balance sheet data:</w:t>
            </w: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9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92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7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4,558</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236"/>
              <w:spacing w:after="0"/>
              <w:rPr>
                <w:sz w:val="20"/>
                <w:szCs w:val="20"/>
                <w:color w:val="auto"/>
              </w:rPr>
            </w:pPr>
            <w:r>
              <w:rPr>
                <w:rFonts w:ascii="Arial" w:cs="Arial" w:eastAsia="Arial" w:hAnsi="Arial"/>
                <w:sz w:val="17"/>
                <w:szCs w:val="17"/>
                <w:color w:val="auto"/>
              </w:rPr>
              <w:t>1,707</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8,744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256"/>
              <w:spacing w:after="0"/>
              <w:rPr>
                <w:sz w:val="20"/>
                <w:szCs w:val="20"/>
                <w:color w:val="auto"/>
              </w:rPr>
            </w:pPr>
            <w:r>
              <w:rPr>
                <w:rFonts w:ascii="Arial" w:cs="Arial" w:eastAsia="Arial" w:hAnsi="Arial"/>
                <w:sz w:val="17"/>
                <w:szCs w:val="17"/>
                <w:color w:val="auto"/>
              </w:rPr>
              <w:t>18,703</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36"/>
              <w:spacing w:after="0"/>
              <w:rPr>
                <w:sz w:val="20"/>
                <w:szCs w:val="20"/>
                <w:color w:val="auto"/>
              </w:rPr>
            </w:pPr>
            <w:r>
              <w:rPr>
                <w:rFonts w:ascii="Arial" w:cs="Arial" w:eastAsia="Arial" w:hAnsi="Arial"/>
                <w:sz w:val="17"/>
                <w:szCs w:val="17"/>
                <w:color w:val="auto"/>
              </w:rPr>
              <w:t>6,708</w:t>
            </w:r>
          </w:p>
        </w:tc>
        <w:tc>
          <w:tcPr>
            <w:tcW w:w="800" w:type="dxa"/>
            <w:vAlign w:val="bottom"/>
            <w:gridSpan w:val="2"/>
          </w:tcPr>
          <w:p>
            <w:pPr>
              <w:ind w:left="700"/>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436"/>
              <w:spacing w:after="0"/>
              <w:rPr>
                <w:sz w:val="20"/>
                <w:szCs w:val="20"/>
                <w:color w:val="auto"/>
              </w:rPr>
            </w:pPr>
            <w:r>
              <w:rPr>
                <w:rFonts w:ascii="Arial" w:cs="Arial" w:eastAsia="Arial" w:hAnsi="Arial"/>
                <w:sz w:val="17"/>
                <w:szCs w:val="17"/>
                <w:color w:val="auto"/>
              </w:rPr>
              <w:t>33,382</w:t>
            </w: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color w:val="auto"/>
              </w:rPr>
              <w:t>Deferred tax asset, including</w:t>
            </w:r>
          </w:p>
        </w:tc>
        <w:tc>
          <w:tcPr>
            <w:tcW w:w="2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20"/>
        </w:trPr>
        <w:tc>
          <w:tcPr>
            <w:tcW w:w="580" w:type="dxa"/>
            <w:vAlign w:val="bottom"/>
          </w:tcPr>
          <w:p>
            <w:pPr>
              <w:spacing w:after="0"/>
              <w:rPr>
                <w:sz w:val="19"/>
                <w:szCs w:val="19"/>
                <w:color w:val="auto"/>
              </w:rPr>
            </w:pPr>
          </w:p>
        </w:tc>
        <w:tc>
          <w:tcPr>
            <w:tcW w:w="228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current portion</w:t>
            </w: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7"/>
              </w:rPr>
              <w:t>108,521</w:t>
            </w:r>
          </w:p>
        </w:tc>
        <w:tc>
          <w:tcPr>
            <w:tcW w:w="360" w:type="dxa"/>
            <w:vAlign w:val="bottom"/>
            <w:shd w:val="clear" w:color="auto" w:fill="EEEEEE"/>
          </w:tcPr>
          <w:p>
            <w:pPr>
              <w:spacing w:after="0"/>
              <w:rPr>
                <w:sz w:val="19"/>
                <w:szCs w:val="19"/>
                <w:color w:val="auto"/>
              </w:rPr>
            </w:pPr>
          </w:p>
        </w:tc>
        <w:tc>
          <w:tcPr>
            <w:tcW w:w="88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w w:val="87"/>
              </w:rPr>
              <w:t>105,441</w:t>
            </w:r>
          </w:p>
        </w:tc>
        <w:tc>
          <w:tcPr>
            <w:tcW w:w="38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99,953</w:t>
            </w:r>
          </w:p>
        </w:tc>
        <w:tc>
          <w:tcPr>
            <w:tcW w:w="340" w:type="dxa"/>
            <w:vAlign w:val="bottom"/>
            <w:shd w:val="clear" w:color="auto" w:fill="EEEEEE"/>
          </w:tcPr>
          <w:p>
            <w:pPr>
              <w:spacing w:after="0"/>
              <w:rPr>
                <w:sz w:val="19"/>
                <w:szCs w:val="19"/>
                <w:color w:val="auto"/>
              </w:rPr>
            </w:pPr>
          </w:p>
        </w:tc>
        <w:tc>
          <w:tcPr>
            <w:tcW w:w="92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90,943</w:t>
            </w:r>
          </w:p>
        </w:tc>
        <w:tc>
          <w:tcPr>
            <w:tcW w:w="380" w:type="dxa"/>
            <w:vAlign w:val="bottom"/>
            <w:shd w:val="clear" w:color="auto" w:fill="EEEEEE"/>
          </w:tcPr>
          <w:p>
            <w:pPr>
              <w:spacing w:after="0"/>
              <w:rPr>
                <w:sz w:val="19"/>
                <w:szCs w:val="19"/>
                <w:color w:val="auto"/>
              </w:rPr>
            </w:pPr>
          </w:p>
        </w:tc>
        <w:tc>
          <w:tcPr>
            <w:tcW w:w="78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88,765</w:t>
            </w:r>
          </w:p>
        </w:tc>
        <w:tc>
          <w:tcPr>
            <w:tcW w:w="2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rPr>
              <w:t>81,210</w:t>
            </w: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Working capital</w:t>
            </w:r>
          </w:p>
        </w:tc>
        <w:tc>
          <w:tcPr>
            <w:tcW w:w="28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7"/>
                <w:szCs w:val="17"/>
                <w:color w:val="auto"/>
                <w:w w:val="94"/>
              </w:rPr>
              <w:t>(25,935)</w:t>
            </w:r>
          </w:p>
        </w:tc>
        <w:tc>
          <w:tcPr>
            <w:tcW w:w="360" w:type="dxa"/>
            <w:vAlign w:val="bottom"/>
          </w:tcPr>
          <w:p>
            <w:pPr>
              <w:spacing w:after="0"/>
              <w:rPr>
                <w:sz w:val="18"/>
                <w:szCs w:val="18"/>
                <w:color w:val="auto"/>
              </w:rPr>
            </w:pPr>
          </w:p>
        </w:tc>
        <w:tc>
          <w:tcPr>
            <w:tcW w:w="880" w:type="dxa"/>
            <w:vAlign w:val="bottom"/>
          </w:tcPr>
          <w:p>
            <w:pPr>
              <w:jc w:val="right"/>
              <w:ind w:right="176"/>
              <w:spacing w:after="0"/>
              <w:rPr>
                <w:sz w:val="20"/>
                <w:szCs w:val="20"/>
                <w:color w:val="auto"/>
              </w:rPr>
            </w:pPr>
            <w:r>
              <w:rPr>
                <w:rFonts w:ascii="Arial" w:cs="Arial" w:eastAsia="Arial" w:hAnsi="Arial"/>
                <w:sz w:val="17"/>
                <w:szCs w:val="17"/>
                <w:color w:val="auto"/>
                <w:w w:val="94"/>
              </w:rPr>
              <w:t>(33,478)</w:t>
            </w:r>
          </w:p>
        </w:tc>
        <w:tc>
          <w:tcPr>
            <w:tcW w:w="380" w:type="dxa"/>
            <w:vAlign w:val="bottom"/>
          </w:tcPr>
          <w:p>
            <w:pPr>
              <w:spacing w:after="0"/>
              <w:rPr>
                <w:sz w:val="18"/>
                <w:szCs w:val="18"/>
                <w:color w:val="auto"/>
              </w:rPr>
            </w:pPr>
          </w:p>
        </w:tc>
        <w:tc>
          <w:tcPr>
            <w:tcW w:w="900" w:type="dxa"/>
            <w:vAlign w:val="bottom"/>
          </w:tcPr>
          <w:p>
            <w:pPr>
              <w:jc w:val="right"/>
              <w:ind w:right="196"/>
              <w:spacing w:after="0"/>
              <w:rPr>
                <w:sz w:val="20"/>
                <w:szCs w:val="20"/>
                <w:color w:val="auto"/>
              </w:rPr>
            </w:pPr>
            <w:r>
              <w:rPr>
                <w:rFonts w:ascii="Arial" w:cs="Arial" w:eastAsia="Arial" w:hAnsi="Arial"/>
                <w:sz w:val="17"/>
                <w:szCs w:val="17"/>
                <w:color w:val="auto"/>
                <w:w w:val="94"/>
              </w:rPr>
              <w:t>(27,294)</w:t>
            </w:r>
          </w:p>
        </w:tc>
        <w:tc>
          <w:tcPr>
            <w:tcW w:w="340" w:type="dxa"/>
            <w:vAlign w:val="bottom"/>
          </w:tcPr>
          <w:p>
            <w:pPr>
              <w:spacing w:after="0"/>
              <w:rPr>
                <w:sz w:val="18"/>
                <w:szCs w:val="18"/>
                <w:color w:val="auto"/>
              </w:rPr>
            </w:pPr>
          </w:p>
        </w:tc>
        <w:tc>
          <w:tcPr>
            <w:tcW w:w="920" w:type="dxa"/>
            <w:vAlign w:val="bottom"/>
          </w:tcPr>
          <w:p>
            <w:pPr>
              <w:jc w:val="right"/>
              <w:ind w:right="196"/>
              <w:spacing w:after="0"/>
              <w:rPr>
                <w:sz w:val="20"/>
                <w:szCs w:val="20"/>
                <w:color w:val="auto"/>
              </w:rPr>
            </w:pPr>
            <w:r>
              <w:rPr>
                <w:rFonts w:ascii="Arial" w:cs="Arial" w:eastAsia="Arial" w:hAnsi="Arial"/>
                <w:sz w:val="17"/>
                <w:szCs w:val="17"/>
                <w:color w:val="auto"/>
                <w:w w:val="97"/>
              </w:rPr>
              <w:t>(18,997)</w:t>
            </w:r>
          </w:p>
        </w:tc>
        <w:tc>
          <w:tcPr>
            <w:tcW w:w="380" w:type="dxa"/>
            <w:vAlign w:val="bottom"/>
          </w:tcPr>
          <w:p>
            <w:pPr>
              <w:spacing w:after="0"/>
              <w:rPr>
                <w:sz w:val="18"/>
                <w:szCs w:val="18"/>
                <w:color w:val="auto"/>
              </w:rPr>
            </w:pPr>
          </w:p>
        </w:tc>
        <w:tc>
          <w:tcPr>
            <w:tcW w:w="780" w:type="dxa"/>
            <w:vAlign w:val="bottom"/>
          </w:tcPr>
          <w:p>
            <w:pPr>
              <w:jc w:val="right"/>
              <w:ind w:right="76"/>
              <w:spacing w:after="0"/>
              <w:rPr>
                <w:sz w:val="20"/>
                <w:szCs w:val="20"/>
                <w:color w:val="auto"/>
              </w:rPr>
            </w:pPr>
            <w:r>
              <w:rPr>
                <w:rFonts w:ascii="Arial" w:cs="Arial" w:eastAsia="Arial" w:hAnsi="Arial"/>
                <w:sz w:val="17"/>
                <w:szCs w:val="17"/>
                <w:color w:val="auto"/>
                <w:w w:val="94"/>
              </w:rPr>
              <w:t>(30,326)</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376"/>
              <w:spacing w:after="0"/>
              <w:rPr>
                <w:sz w:val="20"/>
                <w:szCs w:val="20"/>
                <w:color w:val="auto"/>
              </w:rPr>
            </w:pPr>
            <w:r>
              <w:rPr>
                <w:rFonts w:ascii="Arial" w:cs="Arial" w:eastAsia="Arial" w:hAnsi="Arial"/>
                <w:sz w:val="17"/>
                <w:szCs w:val="17"/>
                <w:color w:val="auto"/>
                <w:w w:val="94"/>
              </w:rPr>
              <w:t>(11,879)</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7"/>
              </w:rPr>
              <w:t>142,630</w:t>
            </w:r>
          </w:p>
        </w:tc>
        <w:tc>
          <w:tcPr>
            <w:tcW w:w="3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w w:val="87"/>
              </w:rPr>
              <w:t>136,590</w:t>
            </w:r>
          </w:p>
        </w:tc>
        <w:tc>
          <w:tcPr>
            <w:tcW w:w="3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7"/>
              </w:rPr>
              <w:t>132,079</w:t>
            </w:r>
          </w:p>
        </w:tc>
        <w:tc>
          <w:tcPr>
            <w:tcW w:w="3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91"/>
              </w:rPr>
              <w:t>132,907</w:t>
            </w: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w w:val="87"/>
              </w:rPr>
              <w:t>120,966</w:t>
            </w: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w w:val="87"/>
              </w:rPr>
              <w:t>142,585</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20,915</w:t>
            </w:r>
          </w:p>
        </w:tc>
        <w:tc>
          <w:tcPr>
            <w:tcW w:w="360" w:type="dxa"/>
            <w:vAlign w:val="bottom"/>
          </w:tcPr>
          <w:p>
            <w:pPr>
              <w:spacing w:after="0"/>
              <w:rPr>
                <w:sz w:val="18"/>
                <w:szCs w:val="18"/>
                <w:color w:val="auto"/>
              </w:rPr>
            </w:pPr>
          </w:p>
        </w:tc>
        <w:tc>
          <w:tcPr>
            <w:tcW w:w="880" w:type="dxa"/>
            <w:vAlign w:val="bottom"/>
          </w:tcPr>
          <w:p>
            <w:pPr>
              <w:jc w:val="right"/>
              <w:ind w:right="236"/>
              <w:spacing w:after="0"/>
              <w:rPr>
                <w:sz w:val="20"/>
                <w:szCs w:val="20"/>
                <w:color w:val="auto"/>
              </w:rPr>
            </w:pPr>
            <w:r>
              <w:rPr>
                <w:rFonts w:ascii="Arial" w:cs="Arial" w:eastAsia="Arial" w:hAnsi="Arial"/>
                <w:sz w:val="17"/>
                <w:szCs w:val="17"/>
                <w:color w:val="auto"/>
              </w:rPr>
              <w:t>30,699</w:t>
            </w:r>
          </w:p>
        </w:tc>
        <w:tc>
          <w:tcPr>
            <w:tcW w:w="3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33,946</w:t>
            </w:r>
          </w:p>
        </w:tc>
        <w:tc>
          <w:tcPr>
            <w:tcW w:w="340" w:type="dxa"/>
            <w:vAlign w:val="bottom"/>
          </w:tcPr>
          <w:p>
            <w:pPr>
              <w:spacing w:after="0"/>
              <w:rPr>
                <w:sz w:val="18"/>
                <w:szCs w:val="18"/>
                <w:color w:val="auto"/>
              </w:rPr>
            </w:pPr>
          </w:p>
        </w:tc>
        <w:tc>
          <w:tcPr>
            <w:tcW w:w="920" w:type="dxa"/>
            <w:vAlign w:val="bottom"/>
          </w:tcPr>
          <w:p>
            <w:pPr>
              <w:jc w:val="right"/>
              <w:ind w:right="256"/>
              <w:spacing w:after="0"/>
              <w:rPr>
                <w:sz w:val="20"/>
                <w:szCs w:val="20"/>
                <w:color w:val="auto"/>
              </w:rPr>
            </w:pPr>
            <w:r>
              <w:rPr>
                <w:rFonts w:ascii="Arial" w:cs="Arial" w:eastAsia="Arial" w:hAnsi="Arial"/>
                <w:sz w:val="17"/>
                <w:szCs w:val="17"/>
                <w:color w:val="auto"/>
              </w:rPr>
              <w:t>39,047</w:t>
            </w:r>
          </w:p>
        </w:tc>
        <w:tc>
          <w:tcPr>
            <w:tcW w:w="38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color w:val="auto"/>
              </w:rPr>
              <w:t>43,673</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7"/>
                <w:szCs w:val="17"/>
                <w:color w:val="auto"/>
              </w:rPr>
              <w:t>51,727</w:t>
            </w: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color w:val="auto"/>
              </w:rPr>
              <w:t>Long-term debt and capital</w:t>
            </w:r>
          </w:p>
        </w:tc>
        <w:tc>
          <w:tcPr>
            <w:tcW w:w="2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580" w:type="dxa"/>
            <w:vAlign w:val="bottom"/>
          </w:tcPr>
          <w:p>
            <w:pPr>
              <w:spacing w:after="0"/>
              <w:rPr>
                <w:sz w:val="18"/>
                <w:szCs w:val="18"/>
                <w:color w:val="auto"/>
              </w:rPr>
            </w:pPr>
          </w:p>
        </w:tc>
        <w:tc>
          <w:tcPr>
            <w:tcW w:w="2280" w:type="dxa"/>
            <w:vAlign w:val="bottom"/>
            <w:shd w:val="clear" w:color="auto" w:fill="EEEEEE"/>
          </w:tcPr>
          <w:p>
            <w:pPr>
              <w:ind w:left="140"/>
              <w:spacing w:after="0"/>
              <w:rPr>
                <w:sz w:val="20"/>
                <w:szCs w:val="20"/>
                <w:color w:val="auto"/>
              </w:rPr>
            </w:pPr>
            <w:r>
              <w:rPr>
                <w:rFonts w:ascii="Arial" w:cs="Arial" w:eastAsia="Arial" w:hAnsi="Arial"/>
                <w:sz w:val="17"/>
                <w:szCs w:val="17"/>
                <w:color w:val="auto"/>
              </w:rPr>
              <w:t>lease obligations, excluding</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r>
      <w:tr>
        <w:trPr>
          <w:trHeight w:val="220"/>
        </w:trPr>
        <w:tc>
          <w:tcPr>
            <w:tcW w:w="580" w:type="dxa"/>
            <w:vAlign w:val="bottom"/>
          </w:tcPr>
          <w:p>
            <w:pPr>
              <w:spacing w:after="0"/>
              <w:rPr>
                <w:sz w:val="19"/>
                <w:szCs w:val="19"/>
                <w:color w:val="auto"/>
              </w:rPr>
            </w:pPr>
          </w:p>
        </w:tc>
        <w:tc>
          <w:tcPr>
            <w:tcW w:w="2280" w:type="dxa"/>
            <w:vAlign w:val="bottom"/>
            <w:shd w:val="clear" w:color="auto" w:fill="EEEEEE"/>
          </w:tcPr>
          <w:p>
            <w:pPr>
              <w:ind w:left="140"/>
              <w:spacing w:after="0"/>
              <w:rPr>
                <w:sz w:val="20"/>
                <w:szCs w:val="20"/>
                <w:color w:val="auto"/>
              </w:rPr>
            </w:pPr>
            <w:r>
              <w:rPr>
                <w:rFonts w:ascii="Arial" w:cs="Arial" w:eastAsia="Arial" w:hAnsi="Arial"/>
                <w:sz w:val="17"/>
                <w:szCs w:val="17"/>
                <w:color w:val="auto"/>
              </w:rPr>
              <w:t>current portion</w:t>
            </w:r>
          </w:p>
        </w:tc>
        <w:tc>
          <w:tcPr>
            <w:tcW w:w="28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7"/>
              </w:rPr>
              <w:t>102,500</w:t>
            </w:r>
          </w:p>
        </w:tc>
        <w:tc>
          <w:tcPr>
            <w:tcW w:w="360" w:type="dxa"/>
            <w:vAlign w:val="bottom"/>
            <w:shd w:val="clear" w:color="auto" w:fill="EEEEEE"/>
          </w:tcPr>
          <w:p>
            <w:pPr>
              <w:spacing w:after="0"/>
              <w:rPr>
                <w:sz w:val="19"/>
                <w:szCs w:val="19"/>
                <w:color w:val="auto"/>
              </w:rPr>
            </w:pPr>
          </w:p>
        </w:tc>
        <w:tc>
          <w:tcPr>
            <w:tcW w:w="88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85,952</w:t>
            </w:r>
          </w:p>
        </w:tc>
        <w:tc>
          <w:tcPr>
            <w:tcW w:w="38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65,481</w:t>
            </w:r>
          </w:p>
        </w:tc>
        <w:tc>
          <w:tcPr>
            <w:tcW w:w="340" w:type="dxa"/>
            <w:vAlign w:val="bottom"/>
            <w:shd w:val="clear" w:color="auto" w:fill="EEEEEE"/>
          </w:tcPr>
          <w:p>
            <w:pPr>
              <w:spacing w:after="0"/>
              <w:rPr>
                <w:sz w:val="19"/>
                <w:szCs w:val="19"/>
                <w:color w:val="auto"/>
              </w:rPr>
            </w:pPr>
          </w:p>
        </w:tc>
        <w:tc>
          <w:tcPr>
            <w:tcW w:w="92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45,186</w:t>
            </w:r>
          </w:p>
        </w:tc>
        <w:tc>
          <w:tcPr>
            <w:tcW w:w="380" w:type="dxa"/>
            <w:vAlign w:val="bottom"/>
            <w:shd w:val="clear" w:color="auto" w:fill="EEEEEE"/>
          </w:tcPr>
          <w:p>
            <w:pPr>
              <w:spacing w:after="0"/>
              <w:rPr>
                <w:sz w:val="19"/>
                <w:szCs w:val="19"/>
                <w:color w:val="auto"/>
              </w:rPr>
            </w:pPr>
          </w:p>
        </w:tc>
        <w:tc>
          <w:tcPr>
            <w:tcW w:w="78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5,044</w:t>
            </w:r>
          </w:p>
        </w:tc>
        <w:tc>
          <w:tcPr>
            <w:tcW w:w="2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w w:val="87"/>
              </w:rPr>
              <w:t>148,473</w:t>
            </w:r>
          </w:p>
        </w:tc>
        <w:tc>
          <w:tcPr>
            <w:tcW w:w="360" w:type="dxa"/>
            <w:vAlign w:val="bottom"/>
          </w:tcPr>
          <w:p>
            <w:pPr>
              <w:spacing w:after="0"/>
              <w:rPr>
                <w:sz w:val="18"/>
                <w:szCs w:val="18"/>
                <w:color w:val="auto"/>
              </w:rPr>
            </w:pPr>
          </w:p>
        </w:tc>
        <w:tc>
          <w:tcPr>
            <w:tcW w:w="880" w:type="dxa"/>
            <w:vAlign w:val="bottom"/>
          </w:tcPr>
          <w:p>
            <w:pPr>
              <w:jc w:val="right"/>
              <w:ind w:right="236"/>
              <w:spacing w:after="0"/>
              <w:rPr>
                <w:sz w:val="20"/>
                <w:szCs w:val="20"/>
                <w:color w:val="auto"/>
              </w:rPr>
            </w:pPr>
            <w:r>
              <w:rPr>
                <w:rFonts w:ascii="Arial" w:cs="Arial" w:eastAsia="Arial" w:hAnsi="Arial"/>
                <w:sz w:val="17"/>
                <w:szCs w:val="17"/>
                <w:color w:val="auto"/>
                <w:w w:val="87"/>
              </w:rPr>
              <w:t>137,410</w:t>
            </w:r>
          </w:p>
        </w:tc>
        <w:tc>
          <w:tcPr>
            <w:tcW w:w="3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w w:val="87"/>
              </w:rPr>
              <w:t>113,742</w:t>
            </w:r>
          </w:p>
        </w:tc>
        <w:tc>
          <w:tcPr>
            <w:tcW w:w="340" w:type="dxa"/>
            <w:vAlign w:val="bottom"/>
          </w:tcPr>
          <w:p>
            <w:pPr>
              <w:spacing w:after="0"/>
              <w:rPr>
                <w:sz w:val="18"/>
                <w:szCs w:val="18"/>
                <w:color w:val="auto"/>
              </w:rPr>
            </w:pPr>
          </w:p>
        </w:tc>
        <w:tc>
          <w:tcPr>
            <w:tcW w:w="920" w:type="dxa"/>
            <w:vAlign w:val="bottom"/>
          </w:tcPr>
          <w:p>
            <w:pPr>
              <w:jc w:val="right"/>
              <w:ind w:right="256"/>
              <w:spacing w:after="0"/>
              <w:rPr>
                <w:sz w:val="20"/>
                <w:szCs w:val="20"/>
                <w:color w:val="auto"/>
              </w:rPr>
            </w:pPr>
            <w:r>
              <w:rPr>
                <w:rFonts w:ascii="Arial" w:cs="Arial" w:eastAsia="Arial" w:hAnsi="Arial"/>
                <w:sz w:val="17"/>
                <w:szCs w:val="17"/>
                <w:color w:val="auto"/>
              </w:rPr>
              <w:t>99,400</w:t>
            </w:r>
          </w:p>
        </w:tc>
        <w:tc>
          <w:tcPr>
            <w:tcW w:w="38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color w:val="auto"/>
              </w:rPr>
              <w:t>61,108</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7"/>
                <w:szCs w:val="17"/>
                <w:color w:val="auto"/>
              </w:rPr>
              <w:t>66,266</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color w:val="auto"/>
              </w:rPr>
              <w:t>Common stock</w:t>
            </w:r>
          </w:p>
        </w:tc>
        <w:tc>
          <w:tcPr>
            <w:tcW w:w="2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w:t>
            </w:r>
          </w:p>
        </w:tc>
        <w:tc>
          <w:tcPr>
            <w:tcW w:w="3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740</w:t>
            </w:r>
          </w:p>
        </w:tc>
        <w:tc>
          <w:tcPr>
            <w:tcW w:w="38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10,740</w:t>
            </w:r>
          </w:p>
        </w:tc>
        <w:tc>
          <w:tcPr>
            <w:tcW w:w="3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10,740</w:t>
            </w:r>
          </w:p>
        </w:tc>
        <w:tc>
          <w:tcPr>
            <w:tcW w:w="380" w:type="dxa"/>
            <w:vAlign w:val="bottom"/>
            <w:shd w:val="clear" w:color="auto" w:fill="EEEEEE"/>
          </w:tcPr>
          <w:p>
            <w:pPr>
              <w:spacing w:after="0"/>
              <w:rPr>
                <w:sz w:val="18"/>
                <w:szCs w:val="18"/>
                <w:color w:val="auto"/>
              </w:rPr>
            </w:pPr>
          </w:p>
        </w:tc>
        <w:tc>
          <w:tcPr>
            <w:tcW w:w="78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41,613</w:t>
            </w: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rPr>
              <w:t>43</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88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ind w:right="256"/>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78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jc w:val="right"/>
              <w:ind w:right="436"/>
              <w:spacing w:after="0"/>
              <w:rPr>
                <w:sz w:val="20"/>
                <w:szCs w:val="20"/>
                <w:color w:val="auto"/>
              </w:rPr>
            </w:pPr>
            <w:r>
              <w:rPr>
                <w:rFonts w:ascii="Arial" w:cs="Arial" w:eastAsia="Arial" w:hAnsi="Arial"/>
                <w:sz w:val="17"/>
                <w:szCs w:val="17"/>
                <w:color w:val="auto"/>
              </w:rPr>
              <w:t>38,056</w:t>
            </w: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7"/>
                <w:szCs w:val="17"/>
                <w:color w:val="auto"/>
              </w:rPr>
              <w:t>Total stockholders’ (deficit)</w:t>
            </w:r>
          </w:p>
        </w:tc>
        <w:tc>
          <w:tcPr>
            <w:tcW w:w="2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r>
      <w:tr>
        <w:trPr>
          <w:trHeight w:val="220"/>
        </w:trPr>
        <w:tc>
          <w:tcPr>
            <w:tcW w:w="580" w:type="dxa"/>
            <w:vAlign w:val="bottom"/>
          </w:tcPr>
          <w:p>
            <w:pPr>
              <w:spacing w:after="0"/>
              <w:rPr>
                <w:sz w:val="19"/>
                <w:szCs w:val="19"/>
                <w:color w:val="auto"/>
              </w:rPr>
            </w:pPr>
          </w:p>
        </w:tc>
        <w:tc>
          <w:tcPr>
            <w:tcW w:w="2280" w:type="dxa"/>
            <w:vAlign w:val="bottom"/>
            <w:shd w:val="clear" w:color="auto" w:fill="EEEEEE"/>
          </w:tcPr>
          <w:p>
            <w:pPr>
              <w:ind w:left="140"/>
              <w:spacing w:after="0"/>
              <w:rPr>
                <w:sz w:val="20"/>
                <w:szCs w:val="20"/>
                <w:color w:val="auto"/>
              </w:rPr>
            </w:pPr>
            <w:r>
              <w:rPr>
                <w:rFonts w:ascii="Arial" w:cs="Arial" w:eastAsia="Arial" w:hAnsi="Arial"/>
                <w:sz w:val="17"/>
                <w:szCs w:val="17"/>
                <w:color w:val="auto"/>
              </w:rPr>
              <w:t>equity</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rPr>
              <w:t>(5,843)</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(821)</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18,337</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33,507</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EEEEE"/>
          </w:tcPr>
          <w:p>
            <w:pPr>
              <w:jc w:val="right"/>
              <w:ind w:right="136"/>
              <w:spacing w:after="0"/>
              <w:rPr>
                <w:sz w:val="20"/>
                <w:szCs w:val="20"/>
                <w:color w:val="auto"/>
              </w:rPr>
            </w:pPr>
            <w:r>
              <w:rPr>
                <w:rFonts w:ascii="Arial" w:cs="Arial" w:eastAsia="Arial" w:hAnsi="Arial"/>
                <w:sz w:val="17"/>
                <w:szCs w:val="17"/>
                <w:color w:val="auto"/>
              </w:rPr>
              <w:t>59,858</w:t>
            </w:r>
          </w:p>
        </w:tc>
        <w:tc>
          <w:tcPr>
            <w:tcW w:w="800" w:type="dxa"/>
            <w:vAlign w:val="bottom"/>
            <w:gridSpan w:val="2"/>
            <w:shd w:val="clear" w:color="auto" w:fill="EEEEEE"/>
          </w:tcPr>
          <w:p>
            <w:pPr>
              <w:ind w:left="700"/>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rPr>
              <w:t>76,319</w:t>
            </w:r>
          </w:p>
        </w:tc>
        <w:tc>
          <w:tcPr>
            <w:tcW w:w="560" w:type="dxa"/>
            <w:vAlign w:val="bottom"/>
          </w:tcPr>
          <w:p>
            <w:pPr>
              <w:spacing w:after="0"/>
              <w:rPr>
                <w:sz w:val="19"/>
                <w:szCs w:val="19"/>
                <w:color w:val="auto"/>
              </w:rPr>
            </w:pPr>
          </w:p>
        </w:tc>
      </w:tr>
      <w:tr>
        <w:trPr>
          <w:trHeight w:val="106"/>
        </w:trPr>
        <w:tc>
          <w:tcPr>
            <w:tcW w:w="58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2"/>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519"/>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gridSpan w:val="2"/>
          </w:tcPr>
          <w:p>
            <w:pPr>
              <w:jc w:val="right"/>
              <w:ind w:right="676"/>
              <w:spacing w:after="0"/>
              <w:rPr>
                <w:sz w:val="20"/>
                <w:szCs w:val="20"/>
                <w:color w:val="auto"/>
              </w:rPr>
            </w:pPr>
            <w:r>
              <w:rPr>
                <w:rFonts w:ascii="Arial" w:cs="Arial" w:eastAsia="Arial" w:hAnsi="Arial"/>
                <w:sz w:val="17"/>
                <w:szCs w:val="17"/>
                <w:color w:val="auto"/>
              </w:rPr>
              <w:t>26</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525780</wp:posOffset>
            </wp:positionH>
            <wp:positionV relativeFrom="page">
              <wp:posOffset>794385</wp:posOffset>
            </wp:positionV>
            <wp:extent cx="65182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24"/>
          <w:szCs w:val="24"/>
          <w:b w:val="1"/>
          <w:bCs w:val="1"/>
          <w:color w:val="auto"/>
        </w:rPr>
        <w:t>Management’s discussion and analysis of financial condition and results of operations</w:t>
      </w:r>
    </w:p>
    <w:p>
      <w:pPr>
        <w:spacing w:after="0" w:line="232"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“Selected consolidated financial data” and our consolidated financial statements and related notes thereto appearing elsewhere in this prospectus. This discussion contains forward-looking statements as defined in the Private Securities Litigation Reform Act. These statements reflect our current view with respect to future events and financial performance and are subject to risks, uncertainties and assumptions, including those discussed in “Risk factors”. Should one or more of these risks or uncertainties materialize, or should underlying assumptions prove incorrect, actual results might vary materially from those anticipated in the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the leading global provider of software and related services designed specifically for nonprofit organizations. Our products and services enable nonprofit organizations to increase donations, reduce fundraising costs, improve communications with constituents, manage their finances and optimize internal operations. We have focused solely on the nonprofit market since our incorporation in 1982 and have developed our suite of products and services based upon our extensive knowledge of the operating challenges facing nonprofit organizations. In 2004, we had over 12,700 customers, over 12,300 of which pay us annual maintenance and support fees. Our customers operate in multiple verticals within the nonprofit market including religion, education, foundations, health and human services, arts and cultural, public and societal benefits, environment and animal welfare, and international foreign affairs.</w:t>
      </w:r>
    </w:p>
    <w:p>
      <w:pPr>
        <w:spacing w:after="0" w:line="175" w:lineRule="exact"/>
        <w:rPr>
          <w:sz w:val="20"/>
          <w:szCs w:val="20"/>
          <w:color w:val="auto"/>
        </w:rPr>
      </w:pPr>
    </w:p>
    <w:p>
      <w:pPr>
        <w:ind w:right="220"/>
        <w:spacing w:after="0" w:line="325" w:lineRule="auto"/>
        <w:rPr>
          <w:sz w:val="20"/>
          <w:szCs w:val="20"/>
          <w:color w:val="auto"/>
        </w:rPr>
      </w:pPr>
      <w:r>
        <w:rPr>
          <w:rFonts w:ascii="Arial" w:cs="Arial" w:eastAsia="Arial" w:hAnsi="Arial"/>
          <w:sz w:val="15"/>
          <w:szCs w:val="15"/>
          <w:color w:val="auto"/>
        </w:rPr>
        <w:t>We derive revenue from licensing software products and providing a broad offering of services, including consulting, training, installation, implementation, and donor prospect research and modeling services, as well as ongoing customer support and maintenance. Consulting, training and implementation are generally not essential to the functionality of our software products and are sold separately. Accordingly, we recognize revenue from these services separately from license fees.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policies and estimates</w:t>
      </w:r>
    </w:p>
    <w:p>
      <w:pPr>
        <w:spacing w:after="0" w:line="22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Our discussion and analysis of financial condition and results of operations are based upon our consolidated financial statements, which have been prepared in accordance with accounting principles generally accepted in the United States. The preparation of these financial statements requires us to make estimates and assumptions that affect the reported amounts of assets and liabilities at the date of the financial statements, the reported amounts of revenue and expenses during the reporting period and related disclosures of contingent assets and liabilities. The most significant estimates and assumptions relate to our allowance for sales returns and doubtful accounts, impairment of long-lived assets, valuation of stock option compensation and realization of deferred tax assets.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On an ongoing basis, we reconsider and evaluate our estimates and assumptions. We are not aware of any circumstances in the past, which have caused these estimates and assumptions to be materially wrong. Furthermore, we are not currently aware of any material changes in our business that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7" w:right="259" w:bottom="1440" w:gutter="0" w:footer="0" w:header="0"/>
        </w:sectPr>
      </w:pPr>
    </w:p>
    <w:bookmarkStart w:id="32" w:name="page33"/>
    <w:bookmarkEnd w:id="32"/>
    <w:p>
      <w:pPr>
        <w:ind w:right="40"/>
        <w:spacing w:after="0" w:line="273" w:lineRule="auto"/>
        <w:rPr>
          <w:sz w:val="20"/>
          <w:szCs w:val="20"/>
          <w:color w:val="auto"/>
        </w:rPr>
      </w:pPr>
      <w:r>
        <w:rPr>
          <w:rFonts w:ascii="Arial" w:cs="Arial" w:eastAsia="Arial" w:hAnsi="Arial"/>
          <w:sz w:val="17"/>
          <w:szCs w:val="17"/>
          <w:color w:val="auto"/>
        </w:rPr>
        <w:t>might cause these assumptions or estimates to differ significantly. In our discussion below of deferred taxes, the most significant asset subject to such assumptions and estimates, we have described the sensitivity of these assumptions or estimates to potential deviations in actual results. Actual results could differ from any of our estimates under different assumptions or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color w:val="auto"/>
        </w:rPr>
        <w:t>We believe the critical accounting policies listed below affect significant judgments and estimates used in the preparation of our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Revenue recognition</w:t>
      </w:r>
    </w:p>
    <w:p>
      <w:pPr>
        <w:spacing w:after="0" w:line="22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Company’s revenue is generated primarily by licensing its software products and providing support, training, consulting, technical, hosting and other professional services for those products. The Company recognizes revenue in accordance with the American Institute of Certified Public Accountants Statement of Position (“SOP”) 97-2, “Software Revenue Recognition”, as modified by SOPs 98-4 and 98-9, as well as Technical Practice Aids issued from time to time by the American Institute of Certified Public Accountants, and in accordance with the SEC Staff Accounting Bulletin No. 104, “Revenue Recognition in Financial Statements”.</w:t>
      </w:r>
    </w:p>
    <w:p>
      <w:pPr>
        <w:spacing w:after="0" w:line="18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Under these pronouncements, the Company recognizes revenue from the license of software when persuasive evidence of an arrangement exists, the product has been delivered, the fee is fixed and determinable and collection of the resulting receivable is probable. The Company uses a signed agreement as evidence of an arrangement. Delivery occurs when the product is delivered. The Company’s typical license agreement does not include customer acceptance provisions; if acceptance provisions are provided, delivery is deemed to occur upon acceptance. The Company considers the fee to be fixed or determinable unless the fee is subject to refund or adjustment or is not payable within the Company’s standard payment terms. The Company considers payment terms greater than 90 days to be beyond its customary payment terms. The Company deems collection probable if the Company expects that the customer will be able to pay amounts under the arrangement as they become due. If the Company determines that collection is not probable, the Company postpones recognition of the revenue until cash collection. The Company sells software licenses with maintenance and, often times, professional services. The Company allocates revenue to delivered components, normally the license component of the arrangement, using the residual value method based on objective evidence of the fair value of the undelivered elements, which is specific to the Company. Fair value for the maintenance services associated with the Company’s software licenses is based upon renewal rates stated in the Company’s agreements, which vary according to the level of the maintenance program. Fair value of professional services and other products and services is based on sales of these products and services to other customers when sold on a stand-alone basis.</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recognizes revenue from maintenance services ratably over the contract term, which is one year. Maintenance revenue also includes the right to unspecified product upgrades on an if-and-when available basis. Subscription revenue includes fees for hosted solutions, data enrichment services and hosted online training programs. Subscription-based revenue and any related set-up fees are recognized ratably over the twelve-month service period of the contracts, as there is no discernible pattern of usage.</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services, which include consulting, installation and implementation services, are generally billed based on hourly rates plus reimbursable travel and lodging related expenses. For small service engagements, less than $10,000, the Company frequently contracts for and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33" w:name="page34"/>
    <w:bookmarkEnd w:id="33"/>
    <w:p>
      <w:pPr>
        <w:ind w:right="60"/>
        <w:spacing w:after="0" w:line="266" w:lineRule="auto"/>
        <w:rPr>
          <w:sz w:val="20"/>
          <w:szCs w:val="20"/>
          <w:color w:val="auto"/>
        </w:rPr>
      </w:pPr>
      <w:r>
        <w:rPr>
          <w:rFonts w:ascii="Arial" w:cs="Arial" w:eastAsia="Arial" w:hAnsi="Arial"/>
          <w:sz w:val="17"/>
          <w:szCs w:val="17"/>
          <w:color w:val="auto"/>
        </w:rPr>
        <w:t>bills based on a fixed fee plus reimbursable travel and lodging related expenses. The Company recognizes this revenue upon completion of the work performed. When the Company’s services include software customization, these services are provided to support customer requests for assistance in creating special reports and other minor enhancements that will assist with efforts to improve operational efficiency and/or to support business process improvements. These services are not essential to the functionality of the Company’s software and rarely exceed three months in duration. The Company recognizes revenue as these services are performed.</w:t>
      </w:r>
    </w:p>
    <w:p>
      <w:pPr>
        <w:spacing w:after="0" w:line="187"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The Company sells training at a fixed rate for each specific class, at a per attendee price, or at a packaged price for several attendees, and revenue is recognized only upon the customer attending and completing training. The Company recognizes revenue from donor prospect research and data modeling service engagements upon delivery.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that the Company’s customers pay for the above-described services in advance of delivery, the amounts are recorded in deferred revenue.</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Deferred sales commission costs</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Prior to July 1, 2004 we paid commissions to our sales representatives based on signing a contract for the sale of both software and services arrangements, other than training. This method was changed effective July 1, 2004 such that at the time the software and services are delivered and revenue is recognized, we pay commissions to our sales representatives on the services performed. Deferred sales commission costs relate to services not yet provided for which sales representatives were paid commissions prior to July 1, 2004.</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Sales returns and allowance for doubtful accounts</w:t>
      </w:r>
    </w:p>
    <w:p>
      <w:pPr>
        <w:spacing w:after="0" w:line="22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provide customers a 30-day right of return and maintain a reserve for returns. We estimate the amount of this reserve based on historical experience. Provisions for sales returns are charged against the related revenue items.</w:t>
      </w:r>
    </w:p>
    <w:p>
      <w:pPr>
        <w:spacing w:after="0" w:line="16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We maintain an allowance for doubtful accounts at an amount we estimate to be sufficient to provide adequate protection against losses resulting from extending credit to our customers. In judging the adequacy of the allowance for doubtful accounts, we consider multiple factors including historical bad debt experience, the general economic environment, the need for specific customer reserves and the aging of our receivables. Any necessary provision is reflected in general and administrative expense. A considerable amount of judgment is required in assessing these factors and if any receivables were to deteriorate, an additional provision for doubtful accounts could be required.</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Valuation of long-lived and intangible assets and goodwill</w:t>
      </w:r>
    </w:p>
    <w:p>
      <w:pPr>
        <w:spacing w:after="0" w:line="2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review identifiable intangible and other long-lived assets for impairment when events change or circumstances indicate the carrying amount may not be recoverable. Events or changes in circumstances that indicate the carrying amount may not be recoverable include, but are not limited to, a significant decrease in the market value of the business or asset acquired, a significant adverse change in the extent or manner in which the business or asset acquired is used or significant adverse change in the business climate. If such events or changes in circumstances are present, the undiscounted cash flow method is used to determine whether the asset is impaired. Cash flows would include the estimated terminal value of the asset and exclude any interest charges. To the extent that the carrying value of the asset exceeds the undiscounted cash flows over the estimated remaining life of the asset, the impairment is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34" w:name="page35"/>
    <w:bookmarkEnd w:id="34"/>
    <w:p>
      <w:pPr>
        <w:ind w:right="160"/>
        <w:spacing w:after="0" w:line="265" w:lineRule="auto"/>
        <w:rPr>
          <w:sz w:val="20"/>
          <w:szCs w:val="20"/>
          <w:color w:val="auto"/>
        </w:rPr>
      </w:pPr>
      <w:r>
        <w:rPr>
          <w:rFonts w:ascii="Arial" w:cs="Arial" w:eastAsia="Arial" w:hAnsi="Arial"/>
          <w:sz w:val="17"/>
          <w:szCs w:val="17"/>
          <w:color w:val="auto"/>
        </w:rPr>
        <w:t>measured using discounted cash flows. The discount rate utilized would be based on our best estimate of the related risks and return at the time the impairment assessment is made. In accordance with Statement of Financial Accounting Standard, or SFAS, No. 142, “Goodwill and Other Intangible Assets”, we test goodwill for impairment annually, or more frequently if events or changes in circumstances indicate that the asset might be impaired. The impairment test compares the fair value of the asset with its carrying amount. If the carrying amount of an intangible asset exceeds its fair value, an impairment loss shall be recognized in an amount equal to that excess, which could materially adversely impact our financial position and results of operations. All of our goodwill was associated with a single acquisition and was assigned to a single reporting unit.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option compensation</w:t>
      </w:r>
    </w:p>
    <w:p>
      <w:pPr>
        <w:spacing w:after="0" w:line="227" w:lineRule="exact"/>
        <w:rPr>
          <w:sz w:val="20"/>
          <w:szCs w:val="20"/>
          <w:color w:val="auto"/>
        </w:rPr>
      </w:pPr>
    </w:p>
    <w:p>
      <w:pPr>
        <w:ind w:right="60"/>
        <w:spacing w:after="0" w:line="295" w:lineRule="auto"/>
        <w:rPr>
          <w:sz w:val="20"/>
          <w:szCs w:val="20"/>
          <w:color w:val="auto"/>
        </w:rPr>
      </w:pPr>
      <w:r>
        <w:rPr>
          <w:rFonts w:ascii="Arial" w:cs="Arial" w:eastAsia="Arial" w:hAnsi="Arial"/>
          <w:sz w:val="15"/>
          <w:szCs w:val="15"/>
          <w:color w:val="auto"/>
        </w:rPr>
        <w:t>We account for stock option compensation under the provisions of Accounting Principles Board Opinion, or APB, No. 25, “Accounting for Stock Issued to Employees”. Under this pronouncement, there is generally no cost associated with options that are granted with an exercise price equal to or above the fair value per share of our common stock on the date of grant. Because there was no public market for our stock prior to our initial public offering in July 2004, our board of directors estimated the fair value of our common stock by considering a number of factors, including our operating performance, significant events in our history, trends in the broad market for technology stocks and the expected valuation we would obtain in an initial public offering. Grants under two of our option plans, covering approximately 6.5 million shares, contain provisions that result in them being treated as variable awards under APB No. 25. The effect of this accounting is that an amount equal to the difference between the exercise price of the options and the estimated current fair value is charged to deferred compensation and amortized as an expense over the related vesting periods of the grants using the accelerated method outlined in FASB Financial Interpretation Number 28, or</w:t>
      </w:r>
    </w:p>
    <w:p>
      <w:pPr>
        <w:spacing w:after="0" w:line="3"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FIN No. 28, “Accounting for Stock Appreciation Rights and Other Variable Stock Option or Awards Plans”. Under variable award accounting, the affected option grants continue to be marked to market until such time as the amount of related compensation is deemed fixed. Options for approximately 3.0 million shares are no longer being accounted for as variable awards following the occurrence of our initial public offering in July 2004. The remaining 3.5 million options, which are held by our Chief Executive Officer, will continue to be accounted for as a variable award until the options are fully exercised.</w:t>
      </w:r>
    </w:p>
    <w:p>
      <w:pPr>
        <w:spacing w:after="0" w:line="170"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We have separately disclosed stock option compensation throughout this discussion and in our financial statements and we have shown a reconciliation of stock option compensation as it relates to sales and marketing, research and development, and general and administrative expenses on the statements of operations because, in managing our operations, we believe such costs significantly affect our ability to better understand and manage other operating expenses and cash needs.</w:t>
      </w:r>
    </w:p>
    <w:p>
      <w:pPr>
        <w:spacing w:after="0" w:line="146"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We have also disclosed in note 1 of the Notes to the consolidated financial statements the pro forma effects of accounting for our stock option compensation in accordance with SFAS No. 123, “Accounting for Stock 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Deferred taxes</w:t>
      </w:r>
    </w:p>
    <w:p>
      <w:pPr>
        <w:spacing w:after="0" w:line="22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Significant judgment is required in determining our interim income taxes in each of the jurisdictions in which we operate. This process involves estimating our actual current tax</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35" w:name="page36"/>
    <w:bookmarkEnd w:id="35"/>
    <w:p>
      <w:pPr>
        <w:ind w:right="60"/>
        <w:spacing w:after="0" w:line="268" w:lineRule="auto"/>
        <w:rPr>
          <w:sz w:val="20"/>
          <w:szCs w:val="20"/>
          <w:color w:val="auto"/>
        </w:rPr>
      </w:pPr>
      <w:r>
        <w:rPr>
          <w:rFonts w:ascii="Arial" w:cs="Arial" w:eastAsia="Arial" w:hAnsi="Arial"/>
          <w:sz w:val="17"/>
          <w:szCs w:val="17"/>
          <w:color w:val="auto"/>
        </w:rPr>
        <w:t>exposure together with assessing temporary differences resulting from differing treatment of items, such as deferred revenue, for tax and accounting purposes. These differences result in a net deferred tax asset, which is included on our consolidated balance sheet. The final tax outcome of these matters might be different than that which is reflected in our historical income tax provisions, benefits and accruals. Any difference could have a material effect on our income tax provision and net income in the period in which such a determination is made.</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Prior to October 13, 1999, we were organized as an S corporation under the Internal Revenue Code and, therefore, were not subject to federal income taxes. We historically made distributions to our shareholders to cover the shareholders’ anticipated tax liability. In connection with the recapitalization agreement, we converted our U.S. taxable status from an S corporation to a C corporation. Accordingly, since October 14, 1999 we have been subject to federal and state income taxes. Upon the conversion and in connection with the recapitalization, we recorded a one-time benefit of $107.0 million to establish a deferred tax asset as a result of the recapitalization agreement.</w:t>
      </w:r>
    </w:p>
    <w:p>
      <w:pPr>
        <w:spacing w:after="0" w:line="18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must assess the likelihood that the net deferred tax asset will be recovered from future taxable income and to the extent we believe that recovery is not likely, we must establish a valuation allowance. To the extent we establish a valuation allowance, we must include an expense within the tax provision in the statement of operations. We have not recorded a valuation allowance as of September 30, 2004 or as of December 31, 2003, because we expect to be able to utilize all of our net deferred tax asset. The ability to utilize our net deferred tax asset is solely dependent on our ability to generate future taxable income. Based on current estimates of revenue and expenses, we expect future taxable income will be more than sufficient to recover the annual amount of tax amortization permitted. Even if actual results are significantly below our current estimates, the recovery still remains likely and no valuation allowance would be necessary.</w:t>
      </w:r>
    </w:p>
    <w:p>
      <w:pPr>
        <w:spacing w:after="0" w:line="175" w:lineRule="exact"/>
        <w:rPr>
          <w:sz w:val="20"/>
          <w:szCs w:val="20"/>
          <w:color w:val="auto"/>
        </w:rPr>
      </w:pPr>
    </w:p>
    <w:p>
      <w:pPr>
        <w:ind w:right="340"/>
        <w:spacing w:after="0" w:line="298" w:lineRule="auto"/>
        <w:rPr>
          <w:sz w:val="20"/>
          <w:szCs w:val="20"/>
          <w:color w:val="auto"/>
        </w:rPr>
      </w:pPr>
      <w:r>
        <w:rPr>
          <w:rFonts w:ascii="Arial" w:cs="Arial" w:eastAsia="Arial" w:hAnsi="Arial"/>
          <w:sz w:val="15"/>
          <w:szCs w:val="15"/>
          <w:color w:val="auto"/>
        </w:rPr>
        <w:t>Our deferred tax assets and liabilities are recorded at an amount based upon a U.S. Federal income tax rate of 34%. This rate is based on our expectation that our deductible and taxable temporary differences will reverse over a period of years during which we will have average annual taxable income not exceeding</w:t>
      </w:r>
    </w:p>
    <w:p>
      <w:pPr>
        <w:spacing w:after="0" w:line="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$10.0 million per year. If our results of operations improve in the future, such that our average annual taxable income will be expected to exceed $10.0 million, we will record our deferred tax assets and liabilities at an amount reflecting an average expected U.S. Federal income tax rate of up to 35%, consistent with the corresponding expectation of higher taxable income. If such change is determined to be appropriate, it will affect the provision for income taxes during the period that the determination is made.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Contingencies</w:t>
      </w:r>
    </w:p>
    <w:p>
      <w:pPr>
        <w:spacing w:after="0" w:line="227"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We are subject to the possibility of various loss contingencies in the normal course of business. We accrue for loss contingencies when a loss is estimable and probable.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Acquisitions</w:t>
      </w:r>
    </w:p>
    <w:p>
      <w:pPr>
        <w:spacing w:after="0" w:line="2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In July 2002, we acquired substantially all of the assets of AppealMaster Ltd., a software company located in the United Kingdom, for $500,000 and additional contingent payments based on future performance, which have been recorded as additional purchase price. This purchase price has been allocated to the assets acquired and liabilities assumed based upon their estimated fair values at the date of acquisition. The excess consideration above the fair value of net assets acquired of approximately $852,000 was recorded as goodwill in July 2002.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36" w:name="page37"/>
    <w:bookmarkEnd w:id="36"/>
    <w:p>
      <w:pPr>
        <w:ind w:right="180"/>
        <w:spacing w:after="0" w:line="273" w:lineRule="auto"/>
        <w:rPr>
          <w:sz w:val="20"/>
          <w:szCs w:val="20"/>
          <w:color w:val="auto"/>
        </w:rPr>
      </w:pPr>
      <w:r>
        <w:rPr>
          <w:rFonts w:ascii="Arial" w:cs="Arial" w:eastAsia="Arial" w:hAnsi="Arial"/>
          <w:sz w:val="17"/>
          <w:szCs w:val="17"/>
          <w:color w:val="auto"/>
        </w:rPr>
        <w:t>As a result of payments of contingent consideration of approximately $431,000 in 2003 and an increase of approximately $103,000 resulting from foreign currency translation in 2003, the balance of goodwill at December 31, 2003 was approximately $1,386,000. In addition, in 2002 we paid approximately $62,000 to the previous controlling shareholder for consulting services and recorded this amount as an expense.</w:t>
      </w:r>
    </w:p>
    <w:p>
      <w:pPr>
        <w:spacing w:after="0" w:line="180"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During the three-year period ended December 31, 2003 we made other acquisitions that were not significant. These acquisitions were accounted for under the purchase method of accounting and the results of operations of the acquirees have been included in the consolidated statement of operations since the acquisition dates. There were no acquisitions during the nine month period ended September 30, 2004.</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statements of operations data expressed as a percentage of total revenue for the periods indicated.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statements of operations, percent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3334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3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Nine months ended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gridSpan w:val="2"/>
          </w:tcPr>
          <w:p>
            <w:pPr>
              <w:jc w:val="right"/>
              <w:ind w:right="475"/>
              <w:spacing w:after="0" w:line="146" w:lineRule="exact"/>
              <w:rPr>
                <w:sz w:val="20"/>
                <w:szCs w:val="20"/>
                <w:color w:val="auto"/>
              </w:rPr>
            </w:pPr>
            <w:r>
              <w:rPr>
                <w:rFonts w:ascii="Arial" w:cs="Arial" w:eastAsia="Arial" w:hAnsi="Arial"/>
                <w:sz w:val="13"/>
                <w:szCs w:val="13"/>
                <w:b w:val="1"/>
                <w:bCs w:val="1"/>
                <w:color w:val="auto"/>
              </w:rPr>
              <w:t>Year ended December 31,</w:t>
            </w:r>
          </w:p>
        </w:tc>
        <w:tc>
          <w:tcPr>
            <w:tcW w:w="1000" w:type="dxa"/>
            <w:vAlign w:val="bottom"/>
          </w:tcPr>
          <w:p>
            <w:pPr>
              <w:spacing w:after="0"/>
              <w:rPr>
                <w:sz w:val="12"/>
                <w:szCs w:val="12"/>
                <w:color w:val="auto"/>
              </w:rPr>
            </w:pPr>
          </w:p>
        </w:tc>
        <w:tc>
          <w:tcPr>
            <w:tcW w:w="1240" w:type="dxa"/>
            <w:vAlign w:val="bottom"/>
            <w:gridSpan w:val="2"/>
          </w:tcPr>
          <w:p>
            <w:pPr>
              <w:jc w:val="right"/>
              <w:ind w:right="300"/>
              <w:spacing w:after="0" w:line="146" w:lineRule="exact"/>
              <w:rPr>
                <w:sz w:val="20"/>
                <w:szCs w:val="20"/>
                <w:color w:val="auto"/>
              </w:rPr>
            </w:pPr>
            <w:r>
              <w:rPr>
                <w:rFonts w:ascii="Arial" w:cs="Arial" w:eastAsia="Arial" w:hAnsi="Arial"/>
                <w:sz w:val="13"/>
                <w:szCs w:val="13"/>
                <w:b w:val="1"/>
                <w:bCs w:val="1"/>
                <w:color w:val="auto"/>
              </w:rPr>
              <w:t>September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00" w:type="dxa"/>
            <w:vAlign w:val="bottom"/>
          </w:tcPr>
          <w:p>
            <w:pPr>
              <w:jc w:val="right"/>
              <w:ind w:right="375"/>
              <w:spacing w:after="0"/>
              <w:rPr>
                <w:sz w:val="20"/>
                <w:szCs w:val="20"/>
                <w:color w:val="auto"/>
              </w:rPr>
            </w:pPr>
            <w:r>
              <w:rPr>
                <w:rFonts w:ascii="Arial" w:cs="Arial" w:eastAsia="Arial" w:hAnsi="Arial"/>
                <w:sz w:val="13"/>
                <w:szCs w:val="13"/>
                <w:b w:val="1"/>
                <w:bCs w:val="1"/>
                <w:color w:val="auto"/>
              </w:rPr>
              <w:t>2001</w:t>
            </w:r>
          </w:p>
        </w:tc>
        <w:tc>
          <w:tcPr>
            <w:tcW w:w="1200" w:type="dxa"/>
            <w:vAlign w:val="bottom"/>
          </w:tcPr>
          <w:p>
            <w:pPr>
              <w:jc w:val="right"/>
              <w:ind w:right="395"/>
              <w:spacing w:after="0"/>
              <w:rPr>
                <w:sz w:val="20"/>
                <w:szCs w:val="20"/>
                <w:color w:val="auto"/>
              </w:rPr>
            </w:pPr>
            <w:r>
              <w:rPr>
                <w:rFonts w:ascii="Arial" w:cs="Arial" w:eastAsia="Arial" w:hAnsi="Arial"/>
                <w:sz w:val="13"/>
                <w:szCs w:val="13"/>
                <w:b w:val="1"/>
                <w:bCs w:val="1"/>
                <w:color w:val="auto"/>
              </w:rPr>
              <w:t>2002</w:t>
            </w:r>
          </w:p>
        </w:tc>
        <w:tc>
          <w:tcPr>
            <w:tcW w:w="1280" w:type="dxa"/>
            <w:vAlign w:val="bottom"/>
          </w:tcPr>
          <w:p>
            <w:pPr>
              <w:jc w:val="right"/>
              <w:ind w:right="475"/>
              <w:spacing w:after="0"/>
              <w:rPr>
                <w:sz w:val="20"/>
                <w:szCs w:val="20"/>
                <w:color w:val="auto"/>
              </w:rPr>
            </w:pPr>
            <w:r>
              <w:rPr>
                <w:rFonts w:ascii="Arial" w:cs="Arial" w:eastAsia="Arial" w:hAnsi="Arial"/>
                <w:sz w:val="13"/>
                <w:szCs w:val="13"/>
                <w:b w:val="1"/>
                <w:bCs w:val="1"/>
                <w:color w:val="auto"/>
              </w:rPr>
              <w:t>2003</w:t>
            </w:r>
          </w:p>
        </w:tc>
        <w:tc>
          <w:tcPr>
            <w:tcW w:w="1000" w:type="dxa"/>
            <w:vAlign w:val="bottom"/>
          </w:tcPr>
          <w:p>
            <w:pPr>
              <w:jc w:val="right"/>
              <w:ind w:right="175"/>
              <w:spacing w:after="0"/>
              <w:rPr>
                <w:sz w:val="20"/>
                <w:szCs w:val="20"/>
                <w:color w:val="auto"/>
              </w:rPr>
            </w:pPr>
            <w:r>
              <w:rPr>
                <w:rFonts w:ascii="Arial" w:cs="Arial" w:eastAsia="Arial" w:hAnsi="Arial"/>
                <w:sz w:val="13"/>
                <w:szCs w:val="13"/>
                <w:b w:val="1"/>
                <w:bCs w:val="1"/>
                <w:color w:val="auto"/>
              </w:rPr>
              <w:t>2004</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2003</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4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Revenue</w:t>
            </w:r>
          </w:p>
        </w:tc>
        <w:tc>
          <w:tcPr>
            <w:tcW w:w="11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License fees</w:t>
            </w:r>
          </w:p>
        </w:tc>
        <w:tc>
          <w:tcPr>
            <w:tcW w:w="1100" w:type="dxa"/>
            <w:vAlign w:val="bottom"/>
          </w:tcPr>
          <w:p>
            <w:pPr>
              <w:jc w:val="right"/>
              <w:ind w:right="235"/>
              <w:spacing w:after="0"/>
              <w:rPr>
                <w:sz w:val="20"/>
                <w:szCs w:val="20"/>
                <w:color w:val="auto"/>
              </w:rPr>
            </w:pPr>
            <w:r>
              <w:rPr>
                <w:rFonts w:ascii="Arial" w:cs="Arial" w:eastAsia="Arial" w:hAnsi="Arial"/>
                <w:sz w:val="17"/>
                <w:szCs w:val="17"/>
                <w:color w:val="auto"/>
              </w:rPr>
              <w:t>21.4%</w:t>
            </w:r>
          </w:p>
        </w:tc>
        <w:tc>
          <w:tcPr>
            <w:tcW w:w="1200" w:type="dxa"/>
            <w:vAlign w:val="bottom"/>
          </w:tcPr>
          <w:p>
            <w:pPr>
              <w:jc w:val="right"/>
              <w:ind w:right="255"/>
              <w:spacing w:after="0"/>
              <w:rPr>
                <w:sz w:val="20"/>
                <w:szCs w:val="20"/>
                <w:color w:val="auto"/>
              </w:rPr>
            </w:pPr>
            <w:r>
              <w:rPr>
                <w:rFonts w:ascii="Arial" w:cs="Arial" w:eastAsia="Arial" w:hAnsi="Arial"/>
                <w:sz w:val="17"/>
                <w:szCs w:val="17"/>
                <w:color w:val="auto"/>
              </w:rPr>
              <w:t>19.5%</w:t>
            </w:r>
          </w:p>
        </w:tc>
        <w:tc>
          <w:tcPr>
            <w:tcW w:w="1280" w:type="dxa"/>
            <w:vAlign w:val="bottom"/>
          </w:tcPr>
          <w:p>
            <w:pPr>
              <w:jc w:val="right"/>
              <w:ind w:right="335"/>
              <w:spacing w:after="0"/>
              <w:rPr>
                <w:sz w:val="20"/>
                <w:szCs w:val="20"/>
                <w:color w:val="auto"/>
              </w:rPr>
            </w:pPr>
            <w:r>
              <w:rPr>
                <w:rFonts w:ascii="Arial" w:cs="Arial" w:eastAsia="Arial" w:hAnsi="Arial"/>
                <w:sz w:val="17"/>
                <w:szCs w:val="17"/>
                <w:color w:val="auto"/>
              </w:rPr>
              <w:t>18.1%</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18.1%</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Services</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20.9</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25.4</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28.8</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31.7</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29.6</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Maintenance and subscriptions</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52.2</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50.2</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49.4</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47.4</w:t>
            </w:r>
          </w:p>
        </w:tc>
        <w:tc>
          <w:tcPr>
            <w:tcW w:w="940" w:type="dxa"/>
            <w:vAlign w:val="bottom"/>
          </w:tcPr>
          <w:p>
            <w:pPr>
              <w:jc w:val="right"/>
              <w:spacing w:after="0"/>
              <w:rPr>
                <w:sz w:val="20"/>
                <w:szCs w:val="20"/>
                <w:color w:val="auto"/>
              </w:rPr>
            </w:pPr>
            <w:r>
              <w:rPr>
                <w:rFonts w:ascii="Arial" w:cs="Arial" w:eastAsia="Arial" w:hAnsi="Arial"/>
                <w:sz w:val="17"/>
                <w:szCs w:val="17"/>
                <w:color w:val="auto"/>
              </w:rPr>
              <w:t>49.5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Other revenue</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5.5</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4.9</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3.7</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2.8</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4460" w:type="dxa"/>
            <w:vAlign w:val="bottom"/>
            <w:vMerge w:val="restart"/>
          </w:tcPr>
          <w:p>
            <w:pPr>
              <w:ind w:left="760"/>
              <w:spacing w:after="0"/>
              <w:rPr>
                <w:sz w:val="20"/>
                <w:szCs w:val="20"/>
                <w:color w:val="auto"/>
              </w:rPr>
            </w:pPr>
            <w:r>
              <w:rPr>
                <w:rFonts w:ascii="Arial" w:cs="Arial" w:eastAsia="Arial" w:hAnsi="Arial"/>
                <w:sz w:val="17"/>
                <w:szCs w:val="17"/>
                <w:b w:val="1"/>
                <w:bCs w:val="1"/>
                <w:color w:val="auto"/>
              </w:rPr>
              <w:t>Total revenue</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100.0</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100.0</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100.0</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100.0</w:t>
            </w:r>
          </w:p>
        </w:tc>
        <w:tc>
          <w:tcPr>
            <w:tcW w:w="940" w:type="dxa"/>
            <w:vAlign w:val="bottom"/>
          </w:tcPr>
          <w:p>
            <w:pPr>
              <w:jc w:val="right"/>
              <w:spacing w:after="0"/>
              <w:rPr>
                <w:sz w:val="20"/>
                <w:szCs w:val="20"/>
                <w:color w:val="auto"/>
              </w:rPr>
            </w:pPr>
            <w:r>
              <w:rPr>
                <w:rFonts w:ascii="Arial" w:cs="Arial" w:eastAsia="Arial" w:hAnsi="Arial"/>
                <w:sz w:val="17"/>
                <w:szCs w:val="17"/>
                <w:color w:val="auto"/>
              </w:rPr>
              <w:t>100.0</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8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vMerge w:val="continue"/>
          </w:tcPr>
          <w:p>
            <w:pPr>
              <w:spacing w:after="0"/>
              <w:rPr>
                <w:sz w:val="18"/>
                <w:szCs w:val="18"/>
                <w:color w:val="auto"/>
              </w:rPr>
            </w:pPr>
          </w:p>
        </w:tc>
        <w:tc>
          <w:tcPr>
            <w:tcW w:w="446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Cost of revenue</w:t>
            </w:r>
          </w:p>
        </w:tc>
        <w:tc>
          <w:tcPr>
            <w:tcW w:w="110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Cost of license fees</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1.9</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2.4</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2.4</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2.7</w:t>
            </w:r>
          </w:p>
        </w:tc>
        <w:tc>
          <w:tcPr>
            <w:tcW w:w="940" w:type="dxa"/>
            <w:vAlign w:val="bottom"/>
          </w:tcPr>
          <w:p>
            <w:pPr>
              <w:jc w:val="right"/>
              <w:spacing w:after="0"/>
              <w:rPr>
                <w:sz w:val="20"/>
                <w:szCs w:val="20"/>
                <w:color w:val="auto"/>
              </w:rPr>
            </w:pPr>
            <w:r>
              <w:rPr>
                <w:rFonts w:ascii="Arial" w:cs="Arial" w:eastAsia="Arial" w:hAnsi="Arial"/>
                <w:sz w:val="17"/>
                <w:szCs w:val="17"/>
                <w:color w:val="auto"/>
              </w:rPr>
              <w:t>2.4</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Cost of services</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11.4</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13.5</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17.8</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15.5</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17.5</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Cost of maintenance and subscriptions</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13.0</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10.1</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10.0</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7.6</w:t>
            </w:r>
          </w:p>
        </w:tc>
        <w:tc>
          <w:tcPr>
            <w:tcW w:w="940" w:type="dxa"/>
            <w:vAlign w:val="bottom"/>
          </w:tcPr>
          <w:p>
            <w:pPr>
              <w:jc w:val="right"/>
              <w:spacing w:after="0"/>
              <w:rPr>
                <w:sz w:val="20"/>
                <w:szCs w:val="20"/>
                <w:color w:val="auto"/>
              </w:rPr>
            </w:pPr>
            <w:r>
              <w:rPr>
                <w:rFonts w:ascii="Arial" w:cs="Arial" w:eastAsia="Arial" w:hAnsi="Arial"/>
                <w:sz w:val="17"/>
                <w:szCs w:val="17"/>
                <w:color w:val="auto"/>
              </w:rPr>
              <w:t>10.3</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Cost of other revenue</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3.1</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3.4</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3.1</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2.5</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3.0</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80" w:type="dxa"/>
            <w:vAlign w:val="bottom"/>
          </w:tcPr>
          <w:p>
            <w:pPr>
              <w:spacing w:after="0"/>
              <w:rPr>
                <w:sz w:val="9"/>
                <w:szCs w:val="9"/>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Total cost of revenue</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8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29.4</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29.4</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33.3</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28.3</w:t>
            </w:r>
          </w:p>
        </w:tc>
        <w:tc>
          <w:tcPr>
            <w:tcW w:w="940" w:type="dxa"/>
            <w:vAlign w:val="bottom"/>
          </w:tcPr>
          <w:p>
            <w:pPr>
              <w:jc w:val="right"/>
              <w:spacing w:after="0"/>
              <w:rPr>
                <w:sz w:val="20"/>
                <w:szCs w:val="20"/>
                <w:color w:val="auto"/>
              </w:rPr>
            </w:pPr>
            <w:r>
              <w:rPr>
                <w:rFonts w:ascii="Arial" w:cs="Arial" w:eastAsia="Arial" w:hAnsi="Arial"/>
                <w:sz w:val="17"/>
                <w:szCs w:val="17"/>
                <w:color w:val="auto"/>
              </w:rPr>
              <w:t>33.2</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500"/>
              <w:spacing w:after="0"/>
              <w:rPr>
                <w:sz w:val="20"/>
                <w:szCs w:val="20"/>
                <w:color w:val="auto"/>
              </w:rPr>
            </w:pPr>
            <w:r>
              <w:rPr>
                <w:rFonts w:ascii="Arial" w:cs="Arial" w:eastAsia="Arial" w:hAnsi="Arial"/>
                <w:sz w:val="17"/>
                <w:szCs w:val="17"/>
                <w:b w:val="1"/>
                <w:bCs w:val="1"/>
                <w:color w:val="auto"/>
              </w:rPr>
              <w:t>Gross Profit</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70.6</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70.6</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66.7</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71.7</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66.8</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4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Operating Expenses</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Sales and marketing</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16.9</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18.2</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18.5</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20.0</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18.3</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16.4</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13.7</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13.1</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12.9</w:t>
            </w:r>
          </w:p>
        </w:tc>
        <w:tc>
          <w:tcPr>
            <w:tcW w:w="940" w:type="dxa"/>
            <w:vAlign w:val="bottom"/>
          </w:tcPr>
          <w:p>
            <w:pPr>
              <w:jc w:val="right"/>
              <w:spacing w:after="0"/>
              <w:rPr>
                <w:sz w:val="20"/>
                <w:szCs w:val="20"/>
                <w:color w:val="auto"/>
              </w:rPr>
            </w:pPr>
            <w:r>
              <w:rPr>
                <w:rFonts w:ascii="Arial" w:cs="Arial" w:eastAsia="Arial" w:hAnsi="Arial"/>
                <w:sz w:val="17"/>
                <w:szCs w:val="17"/>
                <w:color w:val="auto"/>
              </w:rPr>
              <w:t>13.2</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General and administrative</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10.0</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10.1</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9.4</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8.8</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9.1</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Amortization</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2.5</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1.0</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0.7</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0.0</w:t>
            </w:r>
          </w:p>
        </w:tc>
        <w:tc>
          <w:tcPr>
            <w:tcW w:w="940" w:type="dxa"/>
            <w:vAlign w:val="bottom"/>
          </w:tcPr>
          <w:p>
            <w:pPr>
              <w:jc w:val="right"/>
              <w:spacing w:after="0"/>
              <w:rPr>
                <w:sz w:val="20"/>
                <w:szCs w:val="20"/>
                <w:color w:val="auto"/>
              </w:rPr>
            </w:pPr>
            <w:r>
              <w:rPr>
                <w:rFonts w:ascii="Arial" w:cs="Arial" w:eastAsia="Arial" w:hAnsi="Arial"/>
                <w:sz w:val="17"/>
                <w:szCs w:val="17"/>
                <w:color w:val="auto"/>
              </w:rPr>
              <w:t>0.9</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Cost of initial public offering</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2.4</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0.0</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Stock option compensation</w:t>
            </w: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20.1</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0.1</w:t>
            </w:r>
          </w:p>
        </w:tc>
        <w:tc>
          <w:tcPr>
            <w:tcW w:w="940" w:type="dxa"/>
            <w:vAlign w:val="bottom"/>
          </w:tcPr>
          <w:p>
            <w:pPr>
              <w:jc w:val="right"/>
              <w:spacing w:after="0"/>
              <w:rPr>
                <w:sz w:val="20"/>
                <w:szCs w:val="20"/>
                <w:color w:val="auto"/>
              </w:rPr>
            </w:pPr>
            <w:r>
              <w:rPr>
                <w:rFonts w:ascii="Arial" w:cs="Arial" w:eastAsia="Arial" w:hAnsi="Arial"/>
                <w:sz w:val="17"/>
                <w:szCs w:val="17"/>
                <w:color w:val="auto"/>
              </w:rPr>
              <w:t>19.8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5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80" w:type="dxa"/>
            <w:vAlign w:val="bottom"/>
          </w:tcPr>
          <w:p>
            <w:pPr>
              <w:spacing w:after="0"/>
              <w:rPr>
                <w:sz w:val="8"/>
                <w:szCs w:val="8"/>
                <w:color w:val="auto"/>
              </w:rPr>
            </w:pPr>
          </w:p>
        </w:tc>
        <w:tc>
          <w:tcPr>
            <w:tcW w:w="44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500"/>
              <w:spacing w:after="0"/>
              <w:rPr>
                <w:sz w:val="20"/>
                <w:szCs w:val="20"/>
                <w:color w:val="auto"/>
              </w:rPr>
            </w:pPr>
            <w:r>
              <w:rPr>
                <w:rFonts w:ascii="Arial" w:cs="Arial" w:eastAsia="Arial" w:hAnsi="Arial"/>
                <w:sz w:val="17"/>
                <w:szCs w:val="17"/>
                <w:b w:val="1"/>
                <w:bCs w:val="1"/>
                <w:color w:val="auto"/>
              </w:rPr>
              <w:t>Total operating expenses</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45.8</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43.0</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61.8</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44.2</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61.3</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4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Income from operations</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gridSpan w:val="2"/>
            <w:vMerge w:val="continue"/>
          </w:tcPr>
          <w:p>
            <w:pPr>
              <w:spacing w:after="0"/>
              <w:rPr>
                <w:sz w:val="24"/>
                <w:szCs w:val="24"/>
                <w:color w:val="auto"/>
              </w:rPr>
            </w:pP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24.8</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27.6</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4.9</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27.5</w:t>
            </w:r>
          </w:p>
        </w:tc>
        <w:tc>
          <w:tcPr>
            <w:tcW w:w="940" w:type="dxa"/>
            <w:vAlign w:val="bottom"/>
          </w:tcPr>
          <w:p>
            <w:pPr>
              <w:jc w:val="right"/>
              <w:spacing w:after="0"/>
              <w:rPr>
                <w:sz w:val="20"/>
                <w:szCs w:val="20"/>
                <w:color w:val="auto"/>
              </w:rPr>
            </w:pPr>
            <w:r>
              <w:rPr>
                <w:rFonts w:ascii="Arial" w:cs="Arial" w:eastAsia="Arial" w:hAnsi="Arial"/>
                <w:sz w:val="17"/>
                <w:szCs w:val="17"/>
                <w:color w:val="auto"/>
              </w:rPr>
              <w:t>5.5</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Interest income</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0.1</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0.1</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0.1</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0.1</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0.0</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7"/>
                <w:szCs w:val="17"/>
                <w:color w:val="auto"/>
              </w:rPr>
              <w:t>Interest expense</w:t>
            </w:r>
          </w:p>
        </w:tc>
        <w:tc>
          <w:tcPr>
            <w:tcW w:w="1100" w:type="dxa"/>
            <w:vAlign w:val="bottom"/>
          </w:tcPr>
          <w:p>
            <w:pPr>
              <w:jc w:val="right"/>
              <w:ind w:right="315"/>
              <w:spacing w:after="0"/>
              <w:rPr>
                <w:sz w:val="20"/>
                <w:szCs w:val="20"/>
                <w:color w:val="auto"/>
              </w:rPr>
            </w:pPr>
            <w:r>
              <w:rPr>
                <w:rFonts w:ascii="Arial" w:cs="Arial" w:eastAsia="Arial" w:hAnsi="Arial"/>
                <w:sz w:val="17"/>
                <w:szCs w:val="17"/>
                <w:color w:val="auto"/>
              </w:rPr>
              <w:t>(8.9)</w:t>
            </w:r>
          </w:p>
        </w:tc>
        <w:tc>
          <w:tcPr>
            <w:tcW w:w="1200" w:type="dxa"/>
            <w:vAlign w:val="bottom"/>
          </w:tcPr>
          <w:p>
            <w:pPr>
              <w:jc w:val="right"/>
              <w:ind w:right="355"/>
              <w:spacing w:after="0"/>
              <w:rPr>
                <w:sz w:val="20"/>
                <w:szCs w:val="20"/>
                <w:color w:val="auto"/>
              </w:rPr>
            </w:pPr>
            <w:r>
              <w:rPr>
                <w:rFonts w:ascii="Arial" w:cs="Arial" w:eastAsia="Arial" w:hAnsi="Arial"/>
                <w:sz w:val="17"/>
                <w:szCs w:val="17"/>
                <w:color w:val="auto"/>
              </w:rPr>
              <w:t>(4.2)</w:t>
            </w:r>
          </w:p>
        </w:tc>
        <w:tc>
          <w:tcPr>
            <w:tcW w:w="1280" w:type="dxa"/>
            <w:vAlign w:val="bottom"/>
          </w:tcPr>
          <w:p>
            <w:pPr>
              <w:jc w:val="right"/>
              <w:ind w:right="415"/>
              <w:spacing w:after="0"/>
              <w:rPr>
                <w:sz w:val="20"/>
                <w:szCs w:val="20"/>
                <w:color w:val="auto"/>
              </w:rPr>
            </w:pPr>
            <w:r>
              <w:rPr>
                <w:rFonts w:ascii="Arial" w:cs="Arial" w:eastAsia="Arial" w:hAnsi="Arial"/>
                <w:sz w:val="17"/>
                <w:szCs w:val="17"/>
                <w:color w:val="auto"/>
              </w:rPr>
              <w:t>(2.2)</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(0.2)</w:t>
            </w: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rPr>
              <w:t>(2.5)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Other income (expenses), net</w:t>
            </w:r>
          </w:p>
        </w:tc>
        <w:tc>
          <w:tcPr>
            <w:tcW w:w="110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(0.1)</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0.1</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0.2</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0.3</w:t>
            </w: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7"/>
                <w:szCs w:val="17"/>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4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Income before provision for income taxes</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5040" w:type="dxa"/>
            <w:vAlign w:val="bottom"/>
            <w:gridSpan w:val="2"/>
            <w:vMerge w:val="continue"/>
          </w:tcPr>
          <w:p>
            <w:pPr>
              <w:spacing w:after="0"/>
              <w:rPr>
                <w:sz w:val="24"/>
                <w:szCs w:val="24"/>
                <w:color w:val="auto"/>
              </w:rPr>
            </w:pPr>
          </w:p>
        </w:tc>
        <w:tc>
          <w:tcPr>
            <w:tcW w:w="1100" w:type="dxa"/>
            <w:vAlign w:val="bottom"/>
          </w:tcPr>
          <w:p>
            <w:pPr>
              <w:jc w:val="right"/>
              <w:ind w:right="375"/>
              <w:spacing w:after="0"/>
              <w:rPr>
                <w:sz w:val="20"/>
                <w:szCs w:val="20"/>
                <w:color w:val="auto"/>
              </w:rPr>
            </w:pPr>
            <w:r>
              <w:rPr>
                <w:rFonts w:ascii="Arial" w:cs="Arial" w:eastAsia="Arial" w:hAnsi="Arial"/>
                <w:sz w:val="17"/>
                <w:szCs w:val="17"/>
                <w:color w:val="auto"/>
              </w:rPr>
              <w:t>15.9</w:t>
            </w:r>
          </w:p>
        </w:tc>
        <w:tc>
          <w:tcPr>
            <w:tcW w:w="1200" w:type="dxa"/>
            <w:vAlign w:val="bottom"/>
          </w:tcPr>
          <w:p>
            <w:pPr>
              <w:jc w:val="right"/>
              <w:ind w:right="395"/>
              <w:spacing w:after="0"/>
              <w:rPr>
                <w:sz w:val="20"/>
                <w:szCs w:val="20"/>
                <w:color w:val="auto"/>
              </w:rPr>
            </w:pPr>
            <w:r>
              <w:rPr>
                <w:rFonts w:ascii="Arial" w:cs="Arial" w:eastAsia="Arial" w:hAnsi="Arial"/>
                <w:sz w:val="17"/>
                <w:szCs w:val="17"/>
                <w:color w:val="auto"/>
              </w:rPr>
              <w:t>23.6</w:t>
            </w:r>
          </w:p>
        </w:tc>
        <w:tc>
          <w:tcPr>
            <w:tcW w:w="1280" w:type="dxa"/>
            <w:vAlign w:val="bottom"/>
          </w:tcPr>
          <w:p>
            <w:pPr>
              <w:jc w:val="right"/>
              <w:ind w:right="475"/>
              <w:spacing w:after="0"/>
              <w:rPr>
                <w:sz w:val="20"/>
                <w:szCs w:val="20"/>
                <w:color w:val="auto"/>
              </w:rPr>
            </w:pPr>
            <w:r>
              <w:rPr>
                <w:rFonts w:ascii="Arial" w:cs="Arial" w:eastAsia="Arial" w:hAnsi="Arial"/>
                <w:sz w:val="17"/>
                <w:szCs w:val="17"/>
                <w:color w:val="auto"/>
              </w:rPr>
              <w:t>3.0</w:t>
            </w: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27.7</w:t>
            </w:r>
          </w:p>
        </w:tc>
        <w:tc>
          <w:tcPr>
            <w:tcW w:w="940" w:type="dxa"/>
            <w:vAlign w:val="bottom"/>
          </w:tcPr>
          <w:p>
            <w:pPr>
              <w:jc w:val="right"/>
              <w:spacing w:after="0"/>
              <w:rPr>
                <w:sz w:val="20"/>
                <w:szCs w:val="20"/>
                <w:color w:val="auto"/>
              </w:rPr>
            </w:pPr>
            <w:r>
              <w:rPr>
                <w:rFonts w:ascii="Arial" w:cs="Arial" w:eastAsia="Arial" w:hAnsi="Arial"/>
                <w:sz w:val="17"/>
                <w:szCs w:val="17"/>
                <w:color w:val="auto"/>
              </w:rPr>
              <w:t>2.9</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460" w:type="dxa"/>
            <w:vAlign w:val="bottom"/>
            <w:shd w:val="clear" w:color="auto" w:fill="EEEEEE"/>
          </w:tcPr>
          <w:p>
            <w:pPr>
              <w:ind w:left="240"/>
              <w:spacing w:after="0"/>
              <w:rPr>
                <w:sz w:val="20"/>
                <w:szCs w:val="20"/>
                <w:color w:val="auto"/>
              </w:rPr>
            </w:pPr>
            <w:r>
              <w:rPr>
                <w:rFonts w:ascii="Arial" w:cs="Arial" w:eastAsia="Arial" w:hAnsi="Arial"/>
                <w:sz w:val="17"/>
                <w:szCs w:val="17"/>
                <w:color w:val="auto"/>
              </w:rPr>
              <w:t>Income tax provision</w:t>
            </w:r>
          </w:p>
        </w:tc>
        <w:tc>
          <w:tcPr>
            <w:tcW w:w="110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6.1</w:t>
            </w:r>
          </w:p>
        </w:tc>
        <w:tc>
          <w:tcPr>
            <w:tcW w:w="120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8.7</w:t>
            </w:r>
          </w:p>
        </w:tc>
        <w:tc>
          <w:tcPr>
            <w:tcW w:w="1280" w:type="dxa"/>
            <w:vAlign w:val="bottom"/>
            <w:shd w:val="clear" w:color="auto" w:fill="EEEEEE"/>
          </w:tcPr>
          <w:p>
            <w:pPr>
              <w:jc w:val="right"/>
              <w:ind w:right="475"/>
              <w:spacing w:after="0"/>
              <w:rPr>
                <w:sz w:val="20"/>
                <w:szCs w:val="20"/>
                <w:color w:val="auto"/>
              </w:rPr>
            </w:pPr>
            <w:r>
              <w:rPr>
                <w:rFonts w:ascii="Arial" w:cs="Arial" w:eastAsia="Arial" w:hAnsi="Arial"/>
                <w:sz w:val="17"/>
                <w:szCs w:val="17"/>
                <w:color w:val="auto"/>
              </w:rPr>
              <w:t>3.3</w:t>
            </w:r>
          </w:p>
        </w:tc>
        <w:tc>
          <w:tcPr>
            <w:tcW w:w="100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11.3</w:t>
            </w:r>
          </w:p>
        </w:tc>
        <w:tc>
          <w:tcPr>
            <w:tcW w:w="9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3.3</w:t>
            </w:r>
          </w:p>
        </w:tc>
        <w:tc>
          <w:tcPr>
            <w:tcW w:w="30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040" w:type="dxa"/>
            <w:vAlign w:val="bottom"/>
            <w:gridSpan w:val="2"/>
            <w:vMerge w:val="restart"/>
          </w:tcPr>
          <w:p>
            <w:pPr>
              <w:ind w:left="580"/>
              <w:spacing w:after="0"/>
              <w:rPr>
                <w:sz w:val="20"/>
                <w:szCs w:val="20"/>
                <w:color w:val="auto"/>
              </w:rPr>
            </w:pPr>
            <w:r>
              <w:rPr>
                <w:rFonts w:ascii="Arial" w:cs="Arial" w:eastAsia="Arial" w:hAnsi="Arial"/>
                <w:sz w:val="17"/>
                <w:szCs w:val="17"/>
                <w:b w:val="1"/>
                <w:bCs w:val="1"/>
                <w:color w:val="auto"/>
              </w:rPr>
              <w:t>Net income (loss)</w:t>
            </w: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gridSpan w:val="2"/>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040" w:type="dxa"/>
            <w:vAlign w:val="bottom"/>
            <w:gridSpan w:val="2"/>
            <w:vMerge w:val="continue"/>
          </w:tcPr>
          <w:p>
            <w:pPr>
              <w:spacing w:after="0"/>
              <w:rPr>
                <w:sz w:val="24"/>
                <w:szCs w:val="24"/>
                <w:color w:val="auto"/>
              </w:rPr>
            </w:pPr>
          </w:p>
        </w:tc>
        <w:tc>
          <w:tcPr>
            <w:tcW w:w="1100" w:type="dxa"/>
            <w:vAlign w:val="bottom"/>
          </w:tcPr>
          <w:p>
            <w:pPr>
              <w:jc w:val="right"/>
              <w:ind w:right="235"/>
              <w:spacing w:after="0"/>
              <w:rPr>
                <w:sz w:val="20"/>
                <w:szCs w:val="20"/>
                <w:color w:val="auto"/>
              </w:rPr>
            </w:pPr>
            <w:r>
              <w:rPr>
                <w:rFonts w:ascii="Arial" w:cs="Arial" w:eastAsia="Arial" w:hAnsi="Arial"/>
                <w:sz w:val="17"/>
                <w:szCs w:val="17"/>
                <w:color w:val="auto"/>
              </w:rPr>
              <w:t>9.8%</w:t>
            </w:r>
          </w:p>
        </w:tc>
        <w:tc>
          <w:tcPr>
            <w:tcW w:w="1200" w:type="dxa"/>
            <w:vAlign w:val="bottom"/>
          </w:tcPr>
          <w:p>
            <w:pPr>
              <w:jc w:val="right"/>
              <w:ind w:right="255"/>
              <w:spacing w:after="0"/>
              <w:rPr>
                <w:sz w:val="20"/>
                <w:szCs w:val="20"/>
                <w:color w:val="auto"/>
              </w:rPr>
            </w:pPr>
            <w:r>
              <w:rPr>
                <w:rFonts w:ascii="Arial" w:cs="Arial" w:eastAsia="Arial" w:hAnsi="Arial"/>
                <w:sz w:val="17"/>
                <w:szCs w:val="17"/>
                <w:color w:val="auto"/>
              </w:rPr>
              <w:t>14.9%</w:t>
            </w:r>
          </w:p>
        </w:tc>
        <w:tc>
          <w:tcPr>
            <w:tcW w:w="1280" w:type="dxa"/>
            <w:vAlign w:val="bottom"/>
          </w:tcPr>
          <w:p>
            <w:pPr>
              <w:jc w:val="right"/>
              <w:ind w:right="275"/>
              <w:spacing w:after="0"/>
              <w:rPr>
                <w:sz w:val="20"/>
                <w:szCs w:val="20"/>
                <w:color w:val="auto"/>
              </w:rPr>
            </w:pPr>
            <w:r>
              <w:rPr>
                <w:rFonts w:ascii="Arial" w:cs="Arial" w:eastAsia="Arial" w:hAnsi="Arial"/>
                <w:sz w:val="17"/>
                <w:szCs w:val="17"/>
                <w:color w:val="auto"/>
              </w:rPr>
              <w:t>(0.3%)</w:t>
            </w: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16.4%</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(0.4%)</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58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00" w:type="dxa"/>
            <w:vAlign w:val="bottom"/>
          </w:tcPr>
          <w:p>
            <w:pPr>
              <w:jc w:val="right"/>
              <w:ind w:right="255"/>
              <w:spacing w:after="0"/>
              <w:rPr>
                <w:sz w:val="20"/>
                <w:szCs w:val="20"/>
                <w:color w:val="auto"/>
              </w:rPr>
            </w:pPr>
            <w:r>
              <w:rPr>
                <w:rFonts w:ascii="Arial" w:cs="Arial" w:eastAsia="Arial" w:hAnsi="Arial"/>
                <w:sz w:val="17"/>
                <w:szCs w:val="17"/>
                <w:color w:val="auto"/>
              </w:rPr>
              <w:t>32</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37" w:name="page38"/>
    <w:bookmarkEnd w:id="37"/>
    <w:p>
      <w:pPr>
        <w:spacing w:after="0"/>
        <w:rPr>
          <w:sz w:val="20"/>
          <w:szCs w:val="20"/>
          <w:color w:val="auto"/>
        </w:rPr>
      </w:pPr>
      <w:r>
        <w:rPr>
          <w:rFonts w:ascii="Arial" w:cs="Arial" w:eastAsia="Arial" w:hAnsi="Arial"/>
          <w:sz w:val="21"/>
          <w:szCs w:val="21"/>
          <w:b w:val="1"/>
          <w:bCs w:val="1"/>
          <w:color w:val="auto"/>
        </w:rPr>
        <w:t>Comparison of the nine months ended September 30, 2004 and 2003</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234"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Total revenue of $103.0 million for the nine months ended September 30, 2004 increased by $15.5 million, or 17.7%, compared with $87.5 million for the nine months ended September 30, 2003. The increase is the result of increases in sales of services and license fees from the sale of software to new and existing customers. Also contributing to the growth are increases in maintenance revenue resulting from maintenance contracts associated with the new license agreements and subscription revenue associated with expanded subscription offerings.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fees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Revenue from license fees is derived from the sale of our software products, typically under a perpetual license agreement. Revenue from license fees of</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$18.6 million in the nine months ended September 30, 2004 increased by $3.2 million, or 20.8%, compared with $15.4 million in the nine months ended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2003. These amounts represent 18.1% and 17.6% of total revenue for the nine months ended September 30, 2004 and 2003, respectively. The increase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in license fees in the nine months ended September 30, 2004 is attributable to $1.4 million of product sales to our installed customer base and $1.8 million of product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sales to new customers. The prices charged for our license fees have remained unchanged for this period. New software products introduced in 2004 include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Blackbaud Analytics Research Center, which is integrated with The Raiser’s Edge and gives the customer a holistic view of each donor; and a significantly updated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version of The Education Edge, a comprehensive student information system. We introduced a new ticketing solution, The Patron Edge, late in the second quarter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2004.</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Revenue for services includes fees received from customers for consulting, installation, implementation, training, donor prospect research and data modeling</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services. Revenue from services of $32.7 million for the nine month period ended September 30, 2004 increased by $6.8 million, or 26.3%, compared with</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$25.9 million for the nine month period ended September 30, 2003. These amounts represent 31.7% and 29.6% of total revenue for the nine month period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2004 and 2003, respectively. This increase in services revenue is attributable to an increase in sales of consulting, installation, implementation, donor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prospect research and data modeling services and customer training. In the nine months ended September 30, 2004, sales of these services to new and existing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customers increased 34% and 18%, respectively, compared to the nine months ended September 30, 2003. The rates charged for our service offerings have remained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relatively constant over this time period and, as such, the increases resulted from an increase in volume of services provided. Consulting, installation and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implementation services involve converting data from a customer’s existing system, assistance in file set up and system configuration, and/or process re-engineering.</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These services account for $17.4 million and $13.0 million of revenues in the nine months ended September 30, 2004 and 2003, respectively, representing 53.2%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50.1% of total services revenue in those nine month periods. Donor prospect research and data modeling services involve the performance of assessments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customer donor (current and prospective) information, the end product of which enables the customer to more effectively target its fundraising activities. These</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assessments are performed using our proprietary analytical tools. These services account for $3.9 million and $2.8 million of revenues in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2004 and 2003, respectively, representing 12.0% and 10.6% of total services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6" w:right="259" w:bottom="1440" w:gutter="0" w:footer="0" w:header="0"/>
        </w:sectPr>
      </w:pPr>
    </w:p>
    <w:bookmarkStart w:id="38" w:name="page39"/>
    <w:bookmarkEnd w:id="38"/>
    <w:p>
      <w:pPr>
        <w:ind w:right="200"/>
        <w:spacing w:after="0" w:line="286" w:lineRule="auto"/>
        <w:rPr>
          <w:sz w:val="20"/>
          <w:szCs w:val="20"/>
          <w:color w:val="auto"/>
        </w:rPr>
      </w:pPr>
      <w:r>
        <w:rPr>
          <w:rFonts w:ascii="Arial" w:cs="Arial" w:eastAsia="Arial" w:hAnsi="Arial"/>
          <w:sz w:val="17"/>
          <w:szCs w:val="17"/>
          <w:color w:val="auto"/>
        </w:rPr>
        <w:t>revenue for those nine month periods. Also contributing to this increase is customer training revenue of $11.4 million and $10.2 million in the nine month periods ended September 30, 2004 and 2003, respectively, representing 34.8% and 39.3%, respectively, of total services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Maintenance and subscriptions</w:t>
      </w:r>
    </w:p>
    <w:p>
      <w:pPr>
        <w:spacing w:after="0" w:line="228"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color w:val="auto"/>
        </w:rPr>
        <w:t>Revenue from maintenance and subscriptions is predominantly comprised of annual fees derived from new maintenance contracts associated with new software licenses and annual renewals of existing maintenance contracts. These contracts provide customers updates, enhancements, upgrades to our software products, and online, telephone and email support. Also included is revenue derived from our subscription-based services, principally hosted fundraising software solutions and certain data services. Maintenance and subscriptions revenue of $48.9 million in the nine month period ended September 30, 2004 increased by $5.6 million, or 12.9%, compared with $43.3 million in the nine month period ended September 30, 2003. These amounts represent 47.4% and 49.5% of our total revenue for the</w:t>
      </w:r>
    </w:p>
    <w:p>
      <w:pPr>
        <w:spacing w:after="0"/>
        <w:rPr>
          <w:sz w:val="20"/>
          <w:szCs w:val="20"/>
          <w:color w:val="auto"/>
        </w:rPr>
      </w:pPr>
      <w:r>
        <w:rPr>
          <w:rFonts w:ascii="Arial" w:cs="Arial" w:eastAsia="Arial" w:hAnsi="Arial"/>
          <w:sz w:val="16"/>
          <w:szCs w:val="16"/>
          <w:color w:val="auto"/>
        </w:rPr>
        <w:t>nine month periods ended September 30, 2004 and 2003, respectively. The increase in maintenance and subscription revenue for the nine months ended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2004, over the same period in 2003, consists of $5.0 million from new maintenance contracts associated with new license agreements, $1.0 million of</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incremental subscriptions and $1.3 million from inflationary rate adjustments, offset by $1.7 million of maintenance contracts that were not renewed.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w:t>
      </w:r>
    </w:p>
    <w:p>
      <w:pPr>
        <w:spacing w:after="0" w:line="228"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Other revenue includes the sale of business forms that are used in conjunction with our software products; reimbursement of travel and related expense, primarily incurred during the performance of services at customer locations; fees from user conferences; and the sale of computer-based training modules. Other revenue of $2.8 million in the nine month period ended September 30, 2004 decreased by $0.1 million, or 3.4% compared with $2.9 million in the nine month period ended September 30, 2003. These amounts represent 2.8% and 3.3% of total revenue for the nine month periods ended September 30, 2004 and 2003, respectively. The reduction in other revenue is due to the decrease in sales of computer-based training modules, which are being replaced by web-based training offerings sold as subscriptions.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license fees</w:t>
      </w:r>
    </w:p>
    <w:p>
      <w:pPr>
        <w:spacing w:after="0" w:line="228"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Cost of license fees includes third-party software royalties, variable reseller commissions and costs of shipping software products to our customers. Cost of license fees of $2.7 million in the nine month period ended September 30, 2004 increased by $0.6 million, or 28.6%, compared with $2.1 million in the nine month period ended September 30, 2003. These amounts represent 14.7% and 13.7% of license fee revenue in the nine month periods ended September 30, 2004 and 2003, respectively. The increase in the nine month period ended September 30, 2004 over the nine month period ended September 30, 2003 was due to royalties paid for The Patron Edge software and increases in variable commissions paid to resellers of The Financial Edge as a result of increased sales of this product. Also contributing to the increased cost of license fees is the increased cost of proprietary software, which varies with license fees.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39" w:name="page40"/>
    <w:bookmarkEnd w:id="39"/>
    <w:p>
      <w:pPr>
        <w:spacing w:after="0"/>
        <w:rPr>
          <w:sz w:val="20"/>
          <w:szCs w:val="20"/>
          <w:color w:val="auto"/>
        </w:rPr>
      </w:pPr>
      <w:r>
        <w:rPr>
          <w:rFonts w:ascii="Arial" w:cs="Arial" w:eastAsia="Arial" w:hAnsi="Arial"/>
          <w:sz w:val="17"/>
          <w:szCs w:val="17"/>
          <w:i w:val="1"/>
          <w:iCs w:val="1"/>
          <w:color w:val="auto"/>
        </w:rPr>
        <w:t>Cost of services</w:t>
      </w:r>
    </w:p>
    <w:p>
      <w:pPr>
        <w:spacing w:after="0" w:line="228"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Cost of services is primarily comprised of salary and benefits, including non-cash stock-based compensation charges; third-party contractor expenses; data expenses and classroom rentals. Additionally, cost of services includes an allocation of facilities and depreciation expense and other costs incurred in providing consulting, installation, implementation, donor prospect research and data modeling services and customer training. Cost of services of $16.0 million in the nine month period ended September 30, 2004 increased $0.7 million, or 4.6%, compared with $15.3 million in the nine month period ended September 30, 2003. These amounts represent 48.9% and 59.3% of total services revenue in the nine month periods ended September 30, 2004 and 2003, respectively. The margin improvement results primarily from the decrease in the stock option compensation component of cost of services from an expense of $2.6 million in the 2003 period to a benefit of $0.6 million in the comparable period in 2004. Offsetting this expense reduction are costs associated with increased headcount.</w:t>
      </w:r>
    </w:p>
    <w:p>
      <w:pPr>
        <w:spacing w:after="0" w:line="17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Further analysis of cost of services is provided below; however the costs presented are before the inclusion of various allocable corporate costs and stock option compensation. For a tabular presentation of these items, see note 14 of the Notes to the consolidated financial statements.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Cost of revenue in providing consulting, installation, and implementation services was $9.0 million and $6.6 million for the nine month periods ended September 30, 2004 and 2003, respectively. These amounts represent 51.9% and 50.9% of the related revenue in the nine month periods ended September 30, 2004 and 2003, respectively. The expense increase is related to headcount growth, and the resulting higher human resource costs, required to meet our clients’ growing consulting demands.</w:t>
      </w:r>
    </w:p>
    <w:p>
      <w:pPr>
        <w:spacing w:after="0" w:line="18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Cost of revenue in providing donor prospect research and data modeling services (analytic services) was $1.6 million and $1.1 million in the nine month periods ended September 30, 2004 and 2003, respectively, representing 41.0% and 39.5% of the related revenue for the nine month periods ended September 30, 2004 and 2003, respectively. Higher data related expenses of $0.2 million are primarily responsible for the year over year increase.</w:t>
      </w:r>
    </w:p>
    <w:p>
      <w:pPr>
        <w:spacing w:after="0" w:line="164" w:lineRule="exact"/>
        <w:rPr>
          <w:sz w:val="20"/>
          <w:szCs w:val="20"/>
          <w:color w:val="auto"/>
        </w:rPr>
      </w:pPr>
    </w:p>
    <w:p>
      <w:pPr>
        <w:jc w:val="both"/>
        <w:ind w:right="440"/>
        <w:spacing w:after="0" w:line="268" w:lineRule="auto"/>
        <w:rPr>
          <w:sz w:val="20"/>
          <w:szCs w:val="20"/>
          <w:color w:val="auto"/>
        </w:rPr>
      </w:pPr>
      <w:r>
        <w:rPr>
          <w:rFonts w:ascii="Arial" w:cs="Arial" w:eastAsia="Arial" w:hAnsi="Arial"/>
          <w:sz w:val="17"/>
          <w:szCs w:val="17"/>
          <w:color w:val="auto"/>
        </w:rPr>
        <w:t>Cost of revenue in providing customer training and education was $3.6 million in the nine month period ended September 30, 2004 and $3.3 million in the nine month period ended September 30, 2003, representing 31.6% and 32.4% of the related revenue in the nine-month periods ended September 30, 2004 and 2003, respectively. The margin growth is the result of continued focus on the reduction of costs associated with providing training at our headquarters and in regional training sessions.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maintenance and subscriptions</w:t>
      </w:r>
    </w:p>
    <w:p>
      <w:pPr>
        <w:spacing w:after="0" w:line="22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Cost of maintenance and subscriptions is primarily comprised of salary and benefits, including non-cash stock-based compensation; third-party contractor expenses; data expenses; an allocation of our facilities and depreciation expenses; and other costs incurred in providing support and services to our customers. Cost of maintenance and subscriptions of $7.9 million in the nine month period ended September 30, 2004 decreased $1.1 million, or 12.2%, compared with $9.0 million in the nine month period ended September 30, 2003. These amounts represent 16.1% and 20.9% of related revenue in the nine month periods ended September 30, 2004 and 2003, respectively. The reduction in expenses is principally due to costs in 2003 associated with our attempts to develop a subscription-based patron management business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the change in the stock option compensation from an expense of $0.3 million in the 2003 period to a benefit of $0.1 million in the comparable period in 2004.</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other revenue</w:t>
      </w: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Cost of other revenue includes salaries and benefits, costs of business forms, reimbursable expenses relating to the performance of services at customer locations, and an allocation of facilities and depreciation expenses. Cost of other revenue was $2.6 million in both the nine month periods ended September 30, 2004 and 2003. These amounts represent 90.5% and 88.0% of the related revenue in the nine month periods ended September 30, 2004 and 2003, respectively. The primary factor for reduced margin in 2004 is higher volume of reimbursable travel compared to the same period in 2003.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228"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Sales and marketing expenses include salaries and related human resource costs of our sales and marketing organizations, travel and entertainment expenses, sales commissions, advertising and marketing materials, public relations and an allocation of facilities and depreciation expenses. Sales and marketing costs of</w:t>
      </w:r>
    </w:p>
    <w:p>
      <w:pPr>
        <w:spacing w:after="0" w:line="1"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$20.6 million in the nine month period ended September 30, 2004 increased by $4.6 million, or 28.8%, compared with $16.0 million in the nine month period ended September 30, 2003. These amounts exclude a benefit of $0.2 million and an expense of $1.2 million of stock option compensation in the nine month periods ended September 30, 2004 and 2003, respectively, which is recorded as a separate item in total operating expenses. Sales and marketing expenses represent 20.0% and 18.3% of total revenue in the nine month periods ended September 30, 2004 and 2003, respectively. The increase is principally comprised of commissions of</w:t>
      </w:r>
    </w:p>
    <w:p>
      <w:pPr>
        <w:spacing w:after="0" w:line="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$1.6 million associated with increases in revenue and costs of increased headcount of $1.7 million as a result of a focused effort to increase the size and skill set of our sales force. Also contributing to the increase is $0.3 million in travel expenses and $0.2 million in marketing spending.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8" w:lineRule="exact"/>
        <w:rPr>
          <w:sz w:val="20"/>
          <w:szCs w:val="20"/>
          <w:color w:val="auto"/>
        </w:rPr>
      </w:pPr>
    </w:p>
    <w:p>
      <w:pPr>
        <w:ind w:right="60"/>
        <w:spacing w:after="0" w:line="304" w:lineRule="auto"/>
        <w:rPr>
          <w:sz w:val="20"/>
          <w:szCs w:val="20"/>
          <w:color w:val="auto"/>
        </w:rPr>
      </w:pPr>
      <w:r>
        <w:rPr>
          <w:rFonts w:ascii="Arial" w:cs="Arial" w:eastAsia="Arial" w:hAnsi="Arial"/>
          <w:sz w:val="15"/>
          <w:szCs w:val="15"/>
          <w:color w:val="auto"/>
        </w:rPr>
        <w:t>Research and development expenses include salaries and related human resource costs, third-party contractor expenses, software development tools, an allocation of facilities and depreciation expenses and other expenses in developing new products and upgrading and enhancing existing products. Research and development costs of $13.2 million in the nine month period ended September 30, 2004 increased $1.7 million, or 14.8%, compared with $11.5 million in the nine month period ended September 30, 2003. These amounts exclude a benefit of $0.5 million and an expense of $1.6 million of stock option compensation in the nine month periods ended September 30, 2004 and 2003, respectively. Research and development expenses represent 12.9% and 13.2% of total revenue in the nine month periods ended September 30, 2004 and 2003, respectively. The expense increase, in absolute dollars, was due to $0.8 million of new development work performed by offshore contractors and $1.6 million of salary and related human resource costs from growth in the number of research and development staff.</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2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General and administrative expenses consist primarily of salaries and related human resource costs for general corporate functions, including finance, accounting, legal, human resources,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41" w:name="page42"/>
    <w:bookmarkEnd w:id="41"/>
    <w:p>
      <w:pPr>
        <w:ind w:right="20"/>
        <w:spacing w:after="0" w:line="265" w:lineRule="auto"/>
        <w:rPr>
          <w:sz w:val="20"/>
          <w:szCs w:val="20"/>
          <w:color w:val="auto"/>
        </w:rPr>
      </w:pPr>
      <w:r>
        <w:rPr>
          <w:rFonts w:ascii="Arial" w:cs="Arial" w:eastAsia="Arial" w:hAnsi="Arial"/>
          <w:sz w:val="17"/>
          <w:szCs w:val="17"/>
          <w:color w:val="auto"/>
        </w:rPr>
        <w:t>facilities and corporate development; third-party professional fees; insurance; and other administrative expenses. General and administrative expenses of $9.1 million in the nine month period ended September 30, 2004 increased $1.1 million, or 13.8%, compared with $8.0 million in the nine month period ended September 30, 2003. This amount excludes $0.8 million and $14.5 million of stock option compensation expense in the nine month periods ended September 30, 2004 and 2003, respectively. General and administrative expenses represent 8.8% and 9.2% of total revenue in the nine month periods ended September 30, 2004 and 2003, respectively. The increase in general and administrative expenses is attributable to incremental insurance, accounting, and legal costs associated with operations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compensation</w:t>
      </w:r>
    </w:p>
    <w:p>
      <w:pPr>
        <w:spacing w:after="0" w:line="22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Stock option compensation, included in operating expenses, represents the benefit or charge taken for the difference between the estimated fair value of our common stock and the exercise price of the stock option grants to personnel in sales and marketing, research and development, and general and administrative functions. The value of these variable grants is adjusted each reporting period based upon the closing trading price of our common stock at each balance sheet date. Decreases in the Company’s closing trading price from one reporting period to the next will likely result in a benefit to the Company, and increases in the Company’s closing trading price will likely result in charges to expense. We have separately disclosed stock option compensation benefit and expense throughout this discussion and in our financial statements and we have shown a reconciliation of stock option compensation as it relates to sales and marketing, research and development, and general and administrative expenses on the statement of operations because, in managing our operations, we believe these benefits and costs significantly affect our ability to better understand and manage other operating expenses and cash needs. We are amortizing the deferred compensation costs over the vesting periods of the applicable options using the accelerated method as prescribed in FIN 28. Stock option compensation was a benefit of $0.7 million for the nine months ended September 30, 2004 compared to an expense of $20.0 million for the nine months ended September 30, 2003, a decrease of $20.7 million. The decrease is principally the result of adjusting the deferred compensation associated with approximately 3.0 million options to the initial public offering price of $8.00 per share, down from the previously estimated value of $9.60 per share used at the end of the second quarter 2004. Because the provisions in these particular grants that require variable accounting expire at an IPO, these options are no longer subject to variable accounting treatment. The remaining 3.5 million shares held by our CEO have been adjusted from $9.60 per share to our closing stock price of $9.80 per share at September 30, 2004 and will continue to be accounted for as a variable award until such options are fully exercised.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Costs of initial public offering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$2.5 million in costs of our initial public offering include professional fees such as attorney and accountant fees, printing costs and filing fees.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2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Interest expense of $0.3 million in the nine month period ended September 30, 2004 decreased $1.9 million, or 86.4%, compared with $2.2 million in the nine month period ended September 30, 2003, representing 0.2% and 2.5% of total revenue in the nine month periods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ended September 30, 2004 and 2003, respectively. The decrease in interest expense was due to repayment of our term loan.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22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Other (expense) income consists of foreign exchange gains or losses and miscellaneous non-operating income and expense items. Other (expense) income increased $0.4 million to income of $0.3 million in the nine month period ended September 30, 2004 from an expense of $0.1 million in the nine month period ended September 30, 2003. The settlement of a dollar-denominated debt by our foreign operations during 2004 generated the increase.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provision</w:t>
      </w:r>
    </w:p>
    <w:p>
      <w:pPr>
        <w:spacing w:after="0" w:line="22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effective tax rate has changed to 40.7% in the nine month period ended September 30, 2004 compared to 113.8% in the nine month period ended September 30, 2003. In 2003, the unusual rate was attributable principally to permanent differences resulting from the portion of stock option compensation associated with incentive stock options. The stock option compensation charge associated with incentive stock options was substantially lower in 2004 compared with 2003. We expect that our effective tax rate will be less significantly impacted by these matters in the future.</w:t>
      </w:r>
    </w:p>
    <w:p>
      <w:pPr>
        <w:spacing w:after="0" w:line="185"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Significant judgment is required in determining the provision for income taxes. During the ordinary course of business, there are many transactions and calculations for which the ultimate tax determination is uncertain. Our deferred tax assets and liabilities are recorded based on an expectation that our deductible and taxable temporary differences will reverse over a period of years during which we will have average annual taxable income not exceeding $10.0 million per year. If our results of operations improve in the future, such that our average annual taxable income will be expected to exceed $10.0 million, we will record our deferred tax assets and liabilities at an amount reflecting an average expected U.S. Federal income tax rate of up to 35%, consistent with the corresponding expectation of higher taxable income. If such change is determined to be appropriate, it will affect the provision for income taxes during the period that the determination is made.</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Comparison of years ended December 31, 2001, 2002 and 2003</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Total revenue increased by $15.2 million, or 16.9%, from $90.0 million in 2001 to $105.2 million in 2002, and by $12.9 million, or 12.3%, in 2003 to $118.1 million. The increase in 2002 was attributable to increases in sales of services to our customer base and license fees arising from the sale of software to new and existing customers. These product sales also drove increases in maintenance revenues. The increase in 2003 was primarily due to further growth in services and continued growth in maintenance and subscriptions. No single customer accounted for more than 2.0% of our total revenue during 2001, 2002 or 2003.</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License Fees</w:t>
      </w:r>
    </w:p>
    <w:p>
      <w:pPr>
        <w:spacing w:after="0" w:line="228" w:lineRule="exact"/>
        <w:rPr>
          <w:sz w:val="20"/>
          <w:szCs w:val="20"/>
          <w:color w:val="auto"/>
        </w:rPr>
      </w:pPr>
    </w:p>
    <w:p>
      <w:pPr>
        <w:ind w:right="80"/>
        <w:spacing w:after="0" w:line="325" w:lineRule="auto"/>
        <w:rPr>
          <w:sz w:val="20"/>
          <w:szCs w:val="20"/>
          <w:color w:val="auto"/>
        </w:rPr>
      </w:pPr>
      <w:r>
        <w:rPr>
          <w:rFonts w:ascii="Arial" w:cs="Arial" w:eastAsia="Arial" w:hAnsi="Arial"/>
          <w:sz w:val="15"/>
          <w:szCs w:val="15"/>
          <w:color w:val="auto"/>
        </w:rPr>
        <w:t>Revenue from license fees increased by $1.3 million, or 6.7%, from $19.3 million in 2001 to $20.6 million in 2002. These amounts represented 21.4% and 19.5% of total revenue for 2001 and 2002, respectively. Revenue from license fees increased by $0.7 million, or 3.4%, from $20.6 million in 2002 to $21.3 million in 2003. This amount represented 18.0% of total revenue in 2003. The increase in license fees in 2002 was attributable to product sales to new customers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3" w:name="page44"/>
    <w:bookmarkEnd w:id="43"/>
    <w:p>
      <w:pPr>
        <w:ind w:right="80"/>
        <w:spacing w:after="0" w:line="273" w:lineRule="auto"/>
        <w:rPr>
          <w:sz w:val="20"/>
          <w:szCs w:val="20"/>
          <w:color w:val="auto"/>
        </w:rPr>
      </w:pPr>
      <w:r>
        <w:rPr>
          <w:rFonts w:ascii="Arial" w:cs="Arial" w:eastAsia="Arial" w:hAnsi="Arial"/>
          <w:sz w:val="17"/>
          <w:szCs w:val="17"/>
          <w:color w:val="auto"/>
        </w:rPr>
        <w:t>and to our installed customer base representing $0.7 million and $0.6 million, respectively. In 2003, the increase of $0.7 million in license fees was derived from product sales, in equal proportion, to both new customers and to the installed customer base. The prices charged for our license fees have remained constant over the last three years.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Services</w:t>
      </w:r>
    </w:p>
    <w:p>
      <w:pPr>
        <w:spacing w:after="0" w:line="228"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Revenue from services increased by $7.9 million, or 42.0%, from $18.8 million in 2001 to $26.7 million in 2002. These amounts represented 20.9% and 25.4% of total revenue for 2001 and 2002, respectively. Revenue from services increased by $7.3 million, or 27.3%, from $26.7 million in 2002 to $34.0 million in 2003. This amount represented 28.8% of total revenue in 2003. The increase in services revenue in both years was due to an increase in sales of consulting, installation, implementation, donor prospect research and data modeling services and customer training. Sales to new customers increased 50% and 21% in 2002 and 2003, respectively, and sales to existing customers increased 28% and 22% in 2002 and 2003, respectively. The rates charged for our service offerings have remained relatively constant over this time period and, as such, the increases resulted from an increase in volume of services provided. Additionally, our ability to better penetrate larger nonprofit entities increased the demand for our service offerings, and contracts with these customers include a higher percentage of total revenue from services. Consulting, installation and implementation services accounted for $7.9 million, $11.9 million and $17.5 million, in the years ended December 31, 2001, 2002 and 2003, respectively, representing 42.0%, 44.5% and 51.4% of total services revenue for those years. Donor prospect research and data modeling services accounted for $0.6 million, $2.2 million and $3.6 million, in the years ended December 31, 2001, 2002 and 2003, respectively, and represented 3.2%, 8.2% and 10.6% of total services revenue for those years. Also contributing to this increase was customer training revenue of $10.3 million, $12.7 million and</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$12.9 million in the years ended December 31, 2001, 2002 and 2003, respectively, representing 54.8%, 47.5% and 37.9% of total services revenue for those years.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Maintenance and subscriptions</w:t>
      </w:r>
    </w:p>
    <w:p>
      <w:pPr>
        <w:spacing w:after="0" w:line="22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Maintenance and subscriptions revenue increased by $5.8 million, or 12.3%, from $47.0 million in 2001 to $52.8 million in 2002. These amounts represented 52.2% and 50.2% of our total revenue for 2001 and 2002, respectively. Maintenance and subscriptions revenue increased by $5.6 million, or 10.6%, from $52.8 million in 2002 to $58.4 million in 2003. This amount represented 49.4% of our total revenue in 2003.</w:t>
      </w:r>
    </w:p>
    <w:p>
      <w:pPr>
        <w:spacing w:after="0" w:line="180" w:lineRule="exact"/>
        <w:rPr>
          <w:sz w:val="20"/>
          <w:szCs w:val="20"/>
          <w:color w:val="auto"/>
        </w:rPr>
      </w:pPr>
    </w:p>
    <w:p>
      <w:pPr>
        <w:ind w:right="180"/>
        <w:spacing w:after="0" w:line="310" w:lineRule="auto"/>
        <w:rPr>
          <w:sz w:val="20"/>
          <w:szCs w:val="20"/>
          <w:color w:val="auto"/>
        </w:rPr>
      </w:pPr>
      <w:r>
        <w:rPr>
          <w:rFonts w:ascii="Arial" w:cs="Arial" w:eastAsia="Arial" w:hAnsi="Arial"/>
          <w:sz w:val="15"/>
          <w:szCs w:val="15"/>
          <w:color w:val="auto"/>
        </w:rPr>
        <w:t>The increases are attributable to the sales of new software licenses and the addition of new offerings that can be sold as renewable subscriptions, slightly offset by non-renewed maintenance contracts. The 2002 maintenance and subscription revenue increase over 2001 of $5.8 million is comprised of $5.7 million from new maintenance contracts associated with new license agreements, $1.2 million of incremental subscriptions, offset by $1.1 million of maintenance contracts that were not renewed. Maintenance and subscription revenue growth in 2003 over 2002 of $5.6 million is comprised of $6.0 million from new maintenance contracts associated with new license agreements, $0.6 million of additional subscription revenue, offset by $1.0 million of maintenance contracts that were not renewed.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revenue</w:t>
      </w:r>
    </w:p>
    <w:p>
      <w:pPr>
        <w:spacing w:after="0" w:line="22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Other revenue increased by $0.2 million, or 4.1%, from $4.9 million in 2001 to $5.1 million in 2002. These amounts represented approximately 5.5% of total revenue for 2001 and 4.9% for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44" w:name="page45"/>
    <w:bookmarkEnd w:id="44"/>
    <w:p>
      <w:pPr>
        <w:spacing w:after="0"/>
        <w:rPr>
          <w:sz w:val="20"/>
          <w:szCs w:val="20"/>
          <w:color w:val="auto"/>
        </w:rPr>
      </w:pPr>
      <w:r>
        <w:rPr>
          <w:rFonts w:ascii="Arial" w:cs="Arial" w:eastAsia="Arial" w:hAnsi="Arial"/>
          <w:sz w:val="15"/>
          <w:szCs w:val="15"/>
          <w:color w:val="auto"/>
        </w:rPr>
        <w:t>2002. Other revenue decreased by $0.7 million, or 15.7%, from $5.1 million in 2002 to $4.4 million in 2003. This amount represented 3.7% of total revenue in 2003.</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This decrease was due to a decrease in sales of computer-based training modules that we are transitioning to web-based subscription offerings.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license fees</w:t>
      </w:r>
    </w:p>
    <w:p>
      <w:pPr>
        <w:spacing w:after="0" w:line="22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Cost of license fees increased by $0.8 million, or 47.0%, from $1.7 million in 2001 to $2.5 million in 2002. These amounts represented 9% and 12% of license fee revenue in 2001 and 2002, respectively. The cost of license fees increased by $0.3 million, or 12.0%, from $2.5 million in 2002 to $2.8 million in 2003. This amount represented 13% of license fee revenue in 2003. In 2002, we decided to stop incorporating certain third-party software in our products. We had previously paid a royalty for that software and were recognizing it over the period over which we expected to incorporate the software. Therefore, we accelerated recognition of the remaining amount in 2002, which is why the 2002 increase was larger than the 2003 increase. The increase in 2003, and the remainder of the 2002 increase, was due to variable commissions paid to resellers of The Financial Edge.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services</w:t>
      </w:r>
    </w:p>
    <w:p>
      <w:pPr>
        <w:spacing w:after="0" w:line="22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Cost of services increased by $3.9 million, or 38.8%, from $10.3 million in 2001 to $14.2 million in 2002. These amounts represented 54.5% and 53.2% of our services revenue in 2001 and 2002, respectively. Cost of services increased by $6.8 million, or 47.6%, from $14.2 million in 2002 to $21.0 million in 2003. This amount represented 61.8% of services revenue in 2003. The increase in both years was due to increased headcount associated with providing the services. The margin decrease in 2003 was attributable to $3.3 million in stock option compensation.</w:t>
      </w:r>
    </w:p>
    <w:p>
      <w:pPr>
        <w:spacing w:after="0" w:line="185" w:lineRule="exact"/>
        <w:rPr>
          <w:sz w:val="20"/>
          <w:szCs w:val="20"/>
          <w:color w:val="auto"/>
        </w:rPr>
      </w:pPr>
    </w:p>
    <w:p>
      <w:pPr>
        <w:ind w:right="380"/>
        <w:spacing w:after="0" w:line="319" w:lineRule="auto"/>
        <w:rPr>
          <w:sz w:val="20"/>
          <w:szCs w:val="20"/>
          <w:color w:val="auto"/>
        </w:rPr>
      </w:pPr>
      <w:r>
        <w:rPr>
          <w:rFonts w:ascii="Arial" w:cs="Arial" w:eastAsia="Arial" w:hAnsi="Arial"/>
          <w:sz w:val="16"/>
          <w:szCs w:val="16"/>
          <w:color w:val="auto"/>
        </w:rPr>
        <w:t>Further analysis of cost of services is provided below; however the costs presented are before the inclusion of various allocable corporate costs and stock option compensation. For a tabular presentation of these costs, see note 14 of the Notes to consolidated financial statements beginning on page F-27.</w:t>
      </w:r>
    </w:p>
    <w:p>
      <w:pPr>
        <w:spacing w:after="0" w:line="146" w:lineRule="exact"/>
        <w:rPr>
          <w:sz w:val="20"/>
          <w:szCs w:val="20"/>
          <w:color w:val="auto"/>
        </w:rPr>
      </w:pPr>
    </w:p>
    <w:p>
      <w:pPr>
        <w:spacing w:after="0" w:line="325" w:lineRule="auto"/>
        <w:rPr>
          <w:sz w:val="20"/>
          <w:szCs w:val="20"/>
          <w:color w:val="auto"/>
        </w:rPr>
      </w:pPr>
      <w:r>
        <w:rPr>
          <w:rFonts w:ascii="Arial" w:cs="Arial" w:eastAsia="Arial" w:hAnsi="Arial"/>
          <w:sz w:val="15"/>
          <w:szCs w:val="15"/>
          <w:color w:val="auto"/>
        </w:rPr>
        <w:t>Cost of revenue in providing consulting, installation and implementation services was $5.0 million, $6.6 million and $8.8 million in the years ended December 31, 2001, 2002 and 2003, respectively, representing 63.5%, 55.5% and 50.6% of the related revenue for 2001, 2002 and 2003, respectively. The absolute dollars increased in both years as a result of increased headcount associated with providing the services; however, the margin increased as a result of operational efficiencies.</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Cost of revenue in providing donor prospect research and data modeling services was $0.4 million, $0.9 million and $1.8 million in the years ended December 31, 2001, 2002 and 2003, respectively, representing 66.2%, 40.9% and 51.1% of the related revenue for 2001, 2002 and 2003, respectively. The increase of $0.5 million from 2001 to 2002 was primarily a result of increased headcount associated with this new service. The increase of $0.9 million from 2002 to 2003 was primarily due to data-related expenses for our WealthPoint service launched in July 2003.</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Cost of revenue in providing customer training and education was $3.1 million, $4.3 million and $4.2 million in the year ended December 31, 2001, 2002 and 2003, respectively, representing 30.1%, 33.9% and 32.1% of the related revenue for 2001, 2002 and 2003,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t>respectively. The increase of $1.2 million from 2001 to 2002 was the result of increased headcount to provide training.</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maintenance and subscriptions</w:t>
      </w:r>
    </w:p>
    <w:p>
      <w:pPr>
        <w:spacing w:after="0" w:line="228"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color w:val="auto"/>
        </w:rPr>
        <w:t>Cost of maintenance and subscriptions decreased by $1.1 million, or 9.4%, from $11.7 million in 2001 to $10.6 million in 2002. These amounts represented 24.9% and 20.1% of maintenance and subscriptions revenue in 2001 and 2002, respectively. The decrease in absolute terms in 2002 resulted primarily from reduced customer support headcount achieved through efficiency initiatives. Cost of maintenance and subscriptions increased by $1.2 million, or 11.3%, from $10.6 million in 2002 to $11.8 million in 2003. This amount represented 20.2% of maintenance and subscriptions revenue in 2003. The increase in costs and the related margin decrease in 2003 was primarily attributable to costs associated with our attempts to develop a subscription-based patron management business.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other revenue</w:t>
      </w:r>
    </w:p>
    <w:p>
      <w:pPr>
        <w:spacing w:after="0" w:line="228"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Cost of other revenue increased by $0.8 million, or 28.6%, from $2.8 million in 2001 to $3.6 million in 2002. These amounts represented 56% and 71% of other revenue in 2001 and 2002, respectively. This increase was primarily due to increases in reimbursable costs associated with the growth of our services business. Cost of other revenue increased by $0.1 million, or 2.8%, from $3.6 million in 2002 to $3.7 million in 2003, representing 85% of our other revenue in 2003.</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22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Sales and marketing costs increased by $4.0 million, or 26.3%, from $15.2 million in 2001 to $19.2 million in 2002. These amounts represented 16.9% and 18.2% of our total revenue in 2001 and 2002, respectively. Sales and marketing costs increased by $2.7 million, or 14.1%, from $19.2 million in 2002 to $21.9 million in 2003. The latter amount excludes $1.8 million of stock option compensation, which is recorded as a separate item in total operating expenses, in 2003. Sales and marketing expenses represented 18.5% of total revenue in 2003. The increases in 2002 and 2003 were principally comprised of increases in sales commissions of $2.3 million and $0.5 million, respectively, which are attributable to increased revenue from license fees and services. The increases in 2002 and 2003 were also the result of $1.7 million and $1.9 million, respectively, of costs associated with increases in the number of people in our sales force.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Research and development costs decreased from $14.8 million to $14.4 million in 2001 and 2002, respectively, representing 16.4% and 13.7% of our total revenue in 2001 and 2002, respectively. Research and development costs increased by $1.1 million, or 7.6%, from $14.4 million in 2002 to $15.5 million in 2003. The latter amount excludes $2.3 million of stock option compensation, which is recorded as a separate item in total operating expenses. Research and development expenses represented 13.1% of total revenue in 2003. The $1.1 million increase in 2003 resulted from $0.8 million of salary and related human resources costs related to the next release of The Education Edge and $0.3 million associated with transferring a portion of our development work offshore.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6" w:name="page47"/>
    <w:bookmarkEnd w:id="46"/>
    <w:p>
      <w:pPr>
        <w:spacing w:after="0"/>
        <w:rPr>
          <w:sz w:val="20"/>
          <w:szCs w:val="20"/>
          <w:color w:val="auto"/>
        </w:rPr>
      </w:pPr>
      <w:r>
        <w:rPr>
          <w:rFonts w:ascii="Arial" w:cs="Arial" w:eastAsia="Arial" w:hAnsi="Arial"/>
          <w:sz w:val="17"/>
          <w:szCs w:val="17"/>
          <w:i w:val="1"/>
          <w:iCs w:val="1"/>
          <w:color w:val="auto"/>
        </w:rPr>
        <w:t>General and administrative</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General and administrative expenses increased by $1.6 million, or 20.5%, from $9.0 million in 2001 to $10.6 million in 2002. These amounts represented 10.0% and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10.1% of total revenue in 2001 and 2002, respectively. General and administrative expenses increased by $0.5 million, or 4.7%, from $10.6 million in 2002 to</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$11.1 million in 2003. The latter amount excludes $19.5 million of stock option compensation, which is recorded as a separate item in total operating expenses,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2003. General and administrative expenses represented 9.4% of our total revenue in 2003. The increase in absolute dollars in 2002 resulted from establishing 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corporate development function to investigate merger and acquisitions and research adjacent markets, partially offset by $0.4 million of 401(k) forfeitures. The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amount of forfeitures in 2003 was substantially less than in 2002. We expect general and administrative expenses to increase as a result of the costs of being a public</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company.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Amortization</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Amortization decreased by $1.2 million, or 54.6%, from $2.2 million in 2001 to $1.0 million in 2002. These amounts represented 2.5% and 1.0% of our total revenue in 2001 and 2002, respectively. Amortization decreased by $0.2 million, or 20.0%, from $1.0 million in 2002 to $0.8 million in 2003. This amount represented less than 1% of our total revenue in 2003.</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 compensation</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Stock option compensation represents the charge taken for the difference between the estimated fair value of our common stock and the exercise price of stock option grants to personnel in sales and marketing, research and development, and general and administrative. We have separately disclosed stock option compensation throughout this discussion and in our financial statements and we have shown a reconciliation of stock option compensation as it relates to sales and marketing, research and development, and general and administrative expenses on the statement of operations because in managing our operations we believe such costs significantly affect our ability to better understand and manage other operating expenses and cash needs. We are amortizing these amounts over the vesting periods of the applicable options using the accelerated method as prescribed in FIN 28. The increase from $0 in 2001 and 2002 to $23.7 million in 2003 was primarily due to an increase in the estimated fair value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income</w:t>
      </w:r>
    </w:p>
    <w:p>
      <w:pPr>
        <w:spacing w:after="0" w:line="228"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Interest income was approximately $0.1 million in each of 2001, 2002 and 2003. A slight increase in 2002 was attributable to larger average cash balances throughout the year. A slight decrease in 2003 was due to the decrease in cash and cash equivalents during 2003 driven by the repayment of $45.0 million in debt incurred in the October 1999 recapitalization.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2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color w:val="auto"/>
        </w:rPr>
        <w:t>Interest expense decreased by $3.6 million, or 45.0%, from $8.0 million in 2001 to $4.4 million in 2002. These amounts represented 8.9% and 4.2% of our total revenue in 2001 and 2002, respectively. Interest expense decreased by $1.8 million, or 40.9%, from $4.4 million in 2002 to $2.6 million in 2003. This amount represented 2.2% of our total revenue in 2003. The decreases in interest expense were directly related to repayment of debt.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income</w:t>
      </w:r>
    </w:p>
    <w:p>
      <w:pPr>
        <w:spacing w:after="0" w:line="228"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Other (expense) income consists of foreign exchange gains or losses and miscellaneous non-operating income and expense items. Other (expense) income was ($0.1) million, $0.1 million and $0.2 million in 2001, 2002 and 2003,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color w:val="auto"/>
        </w:rPr>
        <w:t>Income tax provision</w:t>
      </w:r>
    </w:p>
    <w:p>
      <w:pPr>
        <w:spacing w:after="0" w:line="228" w:lineRule="exact"/>
        <w:rPr>
          <w:sz w:val="20"/>
          <w:szCs w:val="20"/>
          <w:color w:val="auto"/>
        </w:rPr>
      </w:pPr>
    </w:p>
    <w:p>
      <w:pPr>
        <w:ind w:right="20"/>
        <w:spacing w:after="0" w:line="325" w:lineRule="auto"/>
        <w:rPr>
          <w:sz w:val="20"/>
          <w:szCs w:val="20"/>
          <w:color w:val="auto"/>
        </w:rPr>
      </w:pPr>
      <w:r>
        <w:rPr>
          <w:rFonts w:ascii="Arial" w:cs="Arial" w:eastAsia="Arial" w:hAnsi="Arial"/>
          <w:sz w:val="15"/>
          <w:szCs w:val="15"/>
          <w:color w:val="auto"/>
        </w:rPr>
        <w:t>We had an effective tax rate of 38.1%, 37.0% and 113.8% in 2001, 2002 and 2003, respectively. In 2003, the unusual rate was attributable primarily to permanent differences resulting from the portion of stock option compensation associated with incentive stock options. The effect on the 2003 effective rate was due to the stock option compensation charge taken in 2003 versus prior years. We expect that our effective tax rate will be less significantly impacted by these matters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results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7249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w w:val="94"/>
              </w:rPr>
              <w:t>Quarter ended</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820" w:type="dxa"/>
            <w:vAlign w:val="bottom"/>
            <w:tcBorders>
              <w:bottom w:val="single" w:sz="8" w:color="808080"/>
            </w:tcBorders>
            <w:gridSpan w:val="2"/>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780" w:type="dxa"/>
            <w:vAlign w:val="bottom"/>
            <w:tcBorders>
              <w:bottom w:val="single" w:sz="8" w:color="808080"/>
            </w:tcBorders>
            <w:gridSpan w:val="2"/>
          </w:tcPr>
          <w:p>
            <w:pPr>
              <w:spacing w:after="0"/>
              <w:rPr>
                <w:sz w:val="8"/>
                <w:szCs w:val="8"/>
                <w:color w:val="auto"/>
              </w:rPr>
            </w:pPr>
          </w:p>
        </w:tc>
        <w:tc>
          <w:tcPr>
            <w:tcW w:w="740" w:type="dxa"/>
            <w:vAlign w:val="bottom"/>
            <w:tcBorders>
              <w:bottom w:val="single" w:sz="8" w:color="808080"/>
            </w:tcBorders>
            <w:gridSpan w:val="2"/>
          </w:tcPr>
          <w:p>
            <w:pPr>
              <w:spacing w:after="0"/>
              <w:rPr>
                <w:sz w:val="8"/>
                <w:szCs w:val="8"/>
                <w:color w:val="auto"/>
              </w:rPr>
            </w:pPr>
          </w:p>
        </w:tc>
        <w:tc>
          <w:tcPr>
            <w:tcW w:w="94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gridSpan w:val="2"/>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900" w:type="dxa"/>
            <w:vAlign w:val="bottom"/>
            <w:tcBorders>
              <w:bottom w:val="single" w:sz="8" w:color="808080"/>
            </w:tcBorders>
            <w:gridSpan w:val="2"/>
          </w:tcPr>
          <w:p>
            <w:pPr>
              <w:spacing w:after="0"/>
              <w:rPr>
                <w:sz w:val="8"/>
                <w:szCs w:val="8"/>
                <w:color w:val="auto"/>
              </w:rPr>
            </w:pPr>
          </w:p>
        </w:tc>
        <w:tc>
          <w:tcPr>
            <w:tcW w:w="760" w:type="dxa"/>
            <w:vAlign w:val="bottom"/>
            <w:tcBorders>
              <w:bottom w:val="single" w:sz="8" w:color="808080"/>
            </w:tcBorders>
            <w:gridSpan w:val="2"/>
          </w:tcPr>
          <w:p>
            <w:pPr>
              <w:spacing w:after="0"/>
              <w:rPr>
                <w:sz w:val="8"/>
                <w:szCs w:val="8"/>
                <w:color w:val="auto"/>
              </w:rPr>
            </w:pPr>
          </w:p>
        </w:tc>
        <w:tc>
          <w:tcPr>
            <w:tcW w:w="72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2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March 31,</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w:t>
            </w:r>
          </w:p>
        </w:tc>
        <w:tc>
          <w:tcPr>
            <w:tcW w:w="780" w:type="dxa"/>
            <w:vAlign w:val="bottom"/>
            <w:gridSpan w:val="2"/>
          </w:tcPr>
          <w:p>
            <w:pPr>
              <w:ind w:left="160"/>
              <w:spacing w:after="0"/>
              <w:rPr>
                <w:sz w:val="20"/>
                <w:szCs w:val="20"/>
                <w:color w:val="auto"/>
              </w:rPr>
            </w:pPr>
            <w:r>
              <w:rPr>
                <w:rFonts w:ascii="Arial" w:cs="Arial" w:eastAsia="Arial" w:hAnsi="Arial"/>
                <w:sz w:val="13"/>
                <w:szCs w:val="13"/>
                <w:b w:val="1"/>
                <w:bCs w:val="1"/>
                <w:color w:val="auto"/>
              </w:rPr>
              <w:t>Sept. 30,</w:t>
            </w:r>
          </w:p>
        </w:tc>
        <w:tc>
          <w:tcPr>
            <w:tcW w:w="78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Dec. 31,</w:t>
            </w:r>
          </w:p>
        </w:tc>
        <w:tc>
          <w:tcPr>
            <w:tcW w:w="740" w:type="dxa"/>
            <w:vAlign w:val="bottom"/>
            <w:gridSpan w:val="2"/>
          </w:tcPr>
          <w:p>
            <w:pPr>
              <w:jc w:val="right"/>
              <w:spacing w:after="0"/>
              <w:rPr>
                <w:sz w:val="20"/>
                <w:szCs w:val="20"/>
                <w:color w:val="auto"/>
              </w:rPr>
            </w:pPr>
            <w:r>
              <w:rPr>
                <w:rFonts w:ascii="Arial" w:cs="Arial" w:eastAsia="Arial" w:hAnsi="Arial"/>
                <w:sz w:val="13"/>
                <w:szCs w:val="13"/>
                <w:b w:val="1"/>
                <w:bCs w:val="1"/>
                <w:color w:val="auto"/>
              </w:rPr>
              <w:t>March 31,</w:t>
            </w: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June 30,</w:t>
            </w:r>
          </w:p>
        </w:tc>
        <w:tc>
          <w:tcPr>
            <w:tcW w:w="70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 30,</w:t>
            </w:r>
          </w:p>
        </w:tc>
        <w:tc>
          <w:tcPr>
            <w:tcW w:w="76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Dec. 31,</w:t>
            </w:r>
          </w:p>
        </w:tc>
        <w:tc>
          <w:tcPr>
            <w:tcW w:w="900" w:type="dxa"/>
            <w:vAlign w:val="bottom"/>
            <w:gridSpan w:val="2"/>
          </w:tcPr>
          <w:p>
            <w:pPr>
              <w:jc w:val="right"/>
              <w:ind w:right="94"/>
              <w:spacing w:after="0"/>
              <w:rPr>
                <w:sz w:val="20"/>
                <w:szCs w:val="20"/>
                <w:color w:val="auto"/>
              </w:rPr>
            </w:pPr>
            <w:r>
              <w:rPr>
                <w:rFonts w:ascii="Arial" w:cs="Arial" w:eastAsia="Arial" w:hAnsi="Arial"/>
                <w:sz w:val="13"/>
                <w:szCs w:val="13"/>
                <w:b w:val="1"/>
                <w:bCs w:val="1"/>
                <w:color w:val="auto"/>
              </w:rPr>
              <w:t>March 31,</w:t>
            </w:r>
          </w:p>
        </w:tc>
        <w:tc>
          <w:tcPr>
            <w:tcW w:w="76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7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Sept.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740" w:type="dxa"/>
            <w:vAlign w:val="bottom"/>
          </w:tcPr>
          <w:p>
            <w:pPr>
              <w:ind w:left="240"/>
              <w:spacing w:after="0"/>
              <w:rPr>
                <w:sz w:val="20"/>
                <w:szCs w:val="20"/>
                <w:color w:val="auto"/>
              </w:rPr>
            </w:pPr>
            <w:r>
              <w:rPr>
                <w:rFonts w:ascii="Arial" w:cs="Arial" w:eastAsia="Arial" w:hAnsi="Arial"/>
                <w:sz w:val="13"/>
                <w:szCs w:val="13"/>
                <w:b w:val="1"/>
                <w:bCs w:val="1"/>
                <w:color w:val="auto"/>
              </w:rPr>
              <w:t>(in thousands, except per share data)</w:t>
            </w:r>
          </w:p>
        </w:tc>
        <w:tc>
          <w:tcPr>
            <w:tcW w:w="180" w:type="dxa"/>
            <w:vAlign w:val="bottom"/>
          </w:tcPr>
          <w:p>
            <w:pPr>
              <w:spacing w:after="0"/>
              <w:rPr>
                <w:sz w:val="14"/>
                <w:szCs w:val="14"/>
                <w:color w:val="auto"/>
              </w:rPr>
            </w:pPr>
          </w:p>
        </w:tc>
        <w:tc>
          <w:tcPr>
            <w:tcW w:w="640" w:type="dxa"/>
            <w:vAlign w:val="bottom"/>
          </w:tcPr>
          <w:p>
            <w:pPr>
              <w:jc w:val="right"/>
              <w:ind w:right="234"/>
              <w:spacing w:after="0"/>
              <w:rPr>
                <w:sz w:val="20"/>
                <w:szCs w:val="20"/>
                <w:color w:val="auto"/>
              </w:rPr>
            </w:pPr>
            <w:r>
              <w:rPr>
                <w:rFonts w:ascii="Arial" w:cs="Arial" w:eastAsia="Arial" w:hAnsi="Arial"/>
                <w:sz w:val="13"/>
                <w:szCs w:val="13"/>
                <w:b w:val="1"/>
                <w:bCs w:val="1"/>
                <w:color w:val="auto"/>
              </w:rPr>
              <w:t>2002</w:t>
            </w:r>
          </w:p>
        </w:tc>
        <w:tc>
          <w:tcPr>
            <w:tcW w:w="20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2002</w:t>
            </w:r>
          </w:p>
        </w:tc>
        <w:tc>
          <w:tcPr>
            <w:tcW w:w="24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b w:val="1"/>
                <w:bCs w:val="1"/>
                <w:color w:val="auto"/>
              </w:rPr>
              <w:t>2003</w:t>
            </w:r>
          </w:p>
        </w:tc>
        <w:tc>
          <w:tcPr>
            <w:tcW w:w="320" w:type="dxa"/>
            <w:vAlign w:val="bottom"/>
          </w:tcPr>
          <w:p>
            <w:pPr>
              <w:spacing w:after="0"/>
              <w:rPr>
                <w:sz w:val="14"/>
                <w:szCs w:val="14"/>
                <w:color w:val="auto"/>
              </w:rPr>
            </w:pPr>
          </w:p>
        </w:tc>
        <w:tc>
          <w:tcPr>
            <w:tcW w:w="620" w:type="dxa"/>
            <w:vAlign w:val="bottom"/>
          </w:tcPr>
          <w:p>
            <w:pPr>
              <w:jc w:val="right"/>
              <w:ind w:right="254"/>
              <w:spacing w:after="0"/>
              <w:rPr>
                <w:sz w:val="20"/>
                <w:szCs w:val="20"/>
                <w:color w:val="auto"/>
              </w:rPr>
            </w:pPr>
            <w:r>
              <w:rPr>
                <w:rFonts w:ascii="Arial" w:cs="Arial" w:eastAsia="Arial" w:hAnsi="Arial"/>
                <w:sz w:val="13"/>
                <w:szCs w:val="13"/>
                <w:b w:val="1"/>
                <w:bCs w:val="1"/>
                <w:color w:val="auto"/>
                <w:w w:val="96"/>
              </w:rPr>
              <w:t>2003</w:t>
            </w:r>
          </w:p>
        </w:tc>
        <w:tc>
          <w:tcPr>
            <w:tcW w:w="12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3"/>
                <w:szCs w:val="13"/>
                <w:b w:val="1"/>
                <w:bCs w:val="1"/>
                <w:color w:val="auto"/>
              </w:rPr>
              <w:t>2003</w:t>
            </w:r>
          </w:p>
        </w:tc>
        <w:tc>
          <w:tcPr>
            <w:tcW w:w="200" w:type="dxa"/>
            <w:vAlign w:val="bottom"/>
          </w:tcPr>
          <w:p>
            <w:pPr>
              <w:spacing w:after="0"/>
              <w:rPr>
                <w:sz w:val="14"/>
                <w:szCs w:val="14"/>
                <w:color w:val="auto"/>
              </w:rPr>
            </w:pPr>
          </w:p>
        </w:tc>
        <w:tc>
          <w:tcPr>
            <w:tcW w:w="560" w:type="dxa"/>
            <w:vAlign w:val="bottom"/>
          </w:tcPr>
          <w:p>
            <w:pPr>
              <w:jc w:val="right"/>
              <w:ind w:right="174"/>
              <w:spacing w:after="0"/>
              <w:rPr>
                <w:sz w:val="20"/>
                <w:szCs w:val="20"/>
                <w:color w:val="auto"/>
              </w:rPr>
            </w:pPr>
            <w:r>
              <w:rPr>
                <w:rFonts w:ascii="Arial" w:cs="Arial" w:eastAsia="Arial" w:hAnsi="Arial"/>
                <w:sz w:val="13"/>
                <w:szCs w:val="13"/>
                <w:b w:val="1"/>
                <w:bCs w:val="1"/>
                <w:color w:val="auto"/>
              </w:rPr>
              <w:t>2003</w:t>
            </w:r>
          </w:p>
        </w:tc>
        <w:tc>
          <w:tcPr>
            <w:tcW w:w="900" w:type="dxa"/>
            <w:vAlign w:val="bottom"/>
            <w:gridSpan w:val="2"/>
          </w:tcPr>
          <w:p>
            <w:pPr>
              <w:jc w:val="right"/>
              <w:ind w:right="254"/>
              <w:spacing w:after="0"/>
              <w:rPr>
                <w:sz w:val="20"/>
                <w:szCs w:val="20"/>
                <w:color w:val="auto"/>
              </w:rPr>
            </w:pPr>
            <w:r>
              <w:rPr>
                <w:rFonts w:ascii="Arial" w:cs="Arial" w:eastAsia="Arial" w:hAnsi="Arial"/>
                <w:sz w:val="13"/>
                <w:szCs w:val="13"/>
                <w:b w:val="1"/>
                <w:bCs w:val="1"/>
                <w:color w:val="auto"/>
              </w:rPr>
              <w:t>2004</w:t>
            </w:r>
          </w:p>
        </w:tc>
        <w:tc>
          <w:tcPr>
            <w:tcW w:w="220" w:type="dxa"/>
            <w:vAlign w:val="bottom"/>
          </w:tcPr>
          <w:p>
            <w:pPr>
              <w:spacing w:after="0"/>
              <w:rPr>
                <w:sz w:val="14"/>
                <w:szCs w:val="14"/>
                <w:color w:val="auto"/>
              </w:rPr>
            </w:pPr>
          </w:p>
        </w:tc>
        <w:tc>
          <w:tcPr>
            <w:tcW w:w="540" w:type="dxa"/>
            <w:vAlign w:val="bottom"/>
          </w:tcPr>
          <w:p>
            <w:pPr>
              <w:jc w:val="right"/>
              <w:ind w:right="174"/>
              <w:spacing w:after="0"/>
              <w:rPr>
                <w:sz w:val="20"/>
                <w:szCs w:val="20"/>
                <w:color w:val="auto"/>
              </w:rPr>
            </w:pPr>
            <w:r>
              <w:rPr>
                <w:rFonts w:ascii="Arial" w:cs="Arial" w:eastAsia="Arial" w:hAnsi="Arial"/>
                <w:sz w:val="13"/>
                <w:szCs w:val="13"/>
                <w:b w:val="1"/>
                <w:bCs w:val="1"/>
                <w:color w:val="auto"/>
                <w:w w:val="96"/>
              </w:rPr>
              <w:t>2004</w:t>
            </w:r>
          </w:p>
        </w:tc>
        <w:tc>
          <w:tcPr>
            <w:tcW w:w="220" w:type="dxa"/>
            <w:vAlign w:val="bottom"/>
          </w:tcPr>
          <w:p>
            <w:pPr>
              <w:spacing w:after="0"/>
              <w:rPr>
                <w:sz w:val="14"/>
                <w:szCs w:val="14"/>
                <w:color w:val="auto"/>
              </w:rPr>
            </w:pPr>
          </w:p>
        </w:tc>
        <w:tc>
          <w:tcPr>
            <w:tcW w:w="500" w:type="dxa"/>
            <w:vAlign w:val="bottom"/>
          </w:tcPr>
          <w:p>
            <w:pPr>
              <w:jc w:val="right"/>
              <w:ind w:right="114"/>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Revenue</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License fees</w:t>
            </w:r>
          </w:p>
        </w:tc>
        <w:tc>
          <w:tcPr>
            <w:tcW w:w="18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5,105</w:t>
            </w:r>
          </w:p>
        </w:tc>
        <w:tc>
          <w:tcPr>
            <w:tcW w:w="200" w:type="dxa"/>
            <w:vAlign w:val="bottom"/>
          </w:tcPr>
          <w:p>
            <w:pPr>
              <w:ind w:left="120"/>
              <w:spacing w:after="0" w:line="146" w:lineRule="exact"/>
              <w:rPr>
                <w:sz w:val="20"/>
                <w:szCs w:val="20"/>
                <w:color w:val="auto"/>
              </w:rPr>
            </w:pPr>
            <w:r>
              <w:rPr>
                <w:rFonts w:ascii="Arial" w:cs="Arial" w:eastAsia="Arial" w:hAnsi="Arial"/>
                <w:sz w:val="13"/>
                <w:szCs w:val="13"/>
                <w:color w:val="auto"/>
                <w:w w:val="82"/>
              </w:rPr>
              <w:t>$</w:t>
            </w: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6,177</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4,622</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4,668</w:t>
            </w:r>
          </w:p>
        </w:tc>
        <w:tc>
          <w:tcPr>
            <w:tcW w:w="2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4,504</w:t>
            </w:r>
          </w:p>
        </w:tc>
        <w:tc>
          <w:tcPr>
            <w:tcW w:w="320" w:type="dxa"/>
            <w:vAlign w:val="bottom"/>
          </w:tcPr>
          <w:p>
            <w:pPr>
              <w:ind w:left="240"/>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5,671</w:t>
            </w:r>
          </w:p>
        </w:tc>
        <w:tc>
          <w:tcPr>
            <w:tcW w:w="120" w:type="dxa"/>
            <w:vAlign w:val="bottom"/>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5,252</w:t>
            </w:r>
          </w:p>
        </w:tc>
        <w:tc>
          <w:tcPr>
            <w:tcW w:w="2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5,912</w:t>
            </w:r>
          </w:p>
        </w:tc>
        <w:tc>
          <w:tcPr>
            <w:tcW w:w="3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5,077</w:t>
            </w:r>
          </w:p>
        </w:tc>
        <w:tc>
          <w:tcPr>
            <w:tcW w:w="220" w:type="dxa"/>
            <w:vAlign w:val="bottom"/>
          </w:tcPr>
          <w:p>
            <w:pPr>
              <w:ind w:left="140"/>
              <w:spacing w:after="0" w:line="146"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7,293</w:t>
            </w:r>
          </w:p>
        </w:tc>
        <w:tc>
          <w:tcPr>
            <w:tcW w:w="22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6,244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Services</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5,424</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6,902</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7,614</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6,799</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7,744</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8,629</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9,515</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8,154</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9,545</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w w:val="85"/>
              </w:rPr>
              <w:t>11,071</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90"/>
              </w:rPr>
              <w:t>12,062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Maintenance and subscriptions</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w w:val="95"/>
              </w:rPr>
              <w:t>12,562</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w w:val="95"/>
              </w:rPr>
              <w:t>12,861</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85"/>
              </w:rPr>
              <w:t>13,530</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w w:val="95"/>
              </w:rPr>
              <w:t>13,835</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w w:val="90"/>
              </w:rPr>
              <w:t>14,099</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w w:val="85"/>
              </w:rPr>
              <w:t>14,390</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w w:val="90"/>
              </w:rPr>
              <w:t>14,782</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w w:val="90"/>
              </w:rPr>
              <w:t>15,089</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w w:val="90"/>
              </w:rPr>
              <w:t>15,779</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w w:val="85"/>
              </w:rPr>
              <w:t>16,151</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w w:val="90"/>
              </w:rPr>
              <w:t>16,956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Other revenue</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1,112</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1,208</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1,085</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1,725</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962</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1,150</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795</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1,445</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954</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974</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40" w:type="dxa"/>
            <w:vAlign w:val="bottom"/>
          </w:tcPr>
          <w:p>
            <w:pPr>
              <w:ind w:left="480"/>
              <w:spacing w:after="0"/>
              <w:rPr>
                <w:sz w:val="20"/>
                <w:szCs w:val="20"/>
                <w:color w:val="auto"/>
              </w:rPr>
            </w:pPr>
            <w:r>
              <w:rPr>
                <w:rFonts w:ascii="Arial" w:cs="Arial" w:eastAsia="Arial" w:hAnsi="Arial"/>
                <w:sz w:val="13"/>
                <w:szCs w:val="13"/>
                <w:color w:val="auto"/>
              </w:rPr>
              <w:t>Total revenue</w:t>
            </w:r>
          </w:p>
        </w:tc>
        <w:tc>
          <w:tcPr>
            <w:tcW w:w="180" w:type="dxa"/>
            <w:vAlign w:val="bottom"/>
          </w:tcPr>
          <w:p>
            <w:pPr>
              <w:spacing w:after="0"/>
              <w:rPr>
                <w:sz w:val="21"/>
                <w:szCs w:val="21"/>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24,203</w:t>
            </w:r>
          </w:p>
        </w:tc>
        <w:tc>
          <w:tcPr>
            <w:tcW w:w="2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27,148</w:t>
            </w:r>
          </w:p>
        </w:tc>
        <w:tc>
          <w:tcPr>
            <w:tcW w:w="220" w:type="dxa"/>
            <w:vAlign w:val="bottom"/>
          </w:tcPr>
          <w:p>
            <w:pPr>
              <w:spacing w:after="0"/>
              <w:rPr>
                <w:sz w:val="21"/>
                <w:szCs w:val="21"/>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w w:val="85"/>
              </w:rPr>
              <w:t>26,851</w:t>
            </w:r>
          </w:p>
        </w:tc>
        <w:tc>
          <w:tcPr>
            <w:tcW w:w="22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27,027</w:t>
            </w:r>
          </w:p>
        </w:tc>
        <w:tc>
          <w:tcPr>
            <w:tcW w:w="24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27,309</w:t>
            </w:r>
          </w:p>
        </w:tc>
        <w:tc>
          <w:tcPr>
            <w:tcW w:w="320" w:type="dxa"/>
            <w:vAlign w:val="bottom"/>
          </w:tcPr>
          <w:p>
            <w:pPr>
              <w:spacing w:after="0"/>
              <w:rPr>
                <w:sz w:val="21"/>
                <w:szCs w:val="21"/>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w w:val="85"/>
              </w:rPr>
              <w:t>29,840</w:t>
            </w:r>
          </w:p>
        </w:tc>
        <w:tc>
          <w:tcPr>
            <w:tcW w:w="120" w:type="dxa"/>
            <w:vAlign w:val="bottom"/>
          </w:tcPr>
          <w:p>
            <w:pPr>
              <w:spacing w:after="0"/>
              <w:rPr>
                <w:sz w:val="21"/>
                <w:szCs w:val="21"/>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w w:val="90"/>
              </w:rPr>
              <w:t>30,344</w:t>
            </w:r>
          </w:p>
        </w:tc>
        <w:tc>
          <w:tcPr>
            <w:tcW w:w="20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30,600</w:t>
            </w:r>
          </w:p>
        </w:tc>
        <w:tc>
          <w:tcPr>
            <w:tcW w:w="34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31,355</w:t>
            </w:r>
          </w:p>
        </w:tc>
        <w:tc>
          <w:tcPr>
            <w:tcW w:w="220" w:type="dxa"/>
            <w:vAlign w:val="bottom"/>
          </w:tcPr>
          <w:p>
            <w:pPr>
              <w:spacing w:after="0"/>
              <w:rPr>
                <w:sz w:val="21"/>
                <w:szCs w:val="21"/>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35,489</w:t>
            </w:r>
          </w:p>
        </w:tc>
        <w:tc>
          <w:tcPr>
            <w:tcW w:w="22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36,183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Cost of revenue</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Cost of license fees</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519</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722</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628</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678</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567</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890</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653</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709</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729</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951</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1,053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shd w:val="clear" w:color="auto" w:fill="EEEEEE"/>
          </w:tcPr>
          <w:p>
            <w:pPr>
              <w:ind w:left="220"/>
              <w:spacing w:after="0" w:line="172" w:lineRule="exact"/>
              <w:rPr>
                <w:sz w:val="20"/>
                <w:szCs w:val="20"/>
                <w:color w:val="auto"/>
              </w:rPr>
            </w:pPr>
            <w:r>
              <w:rPr>
                <w:rFonts w:ascii="Arial" w:cs="Arial" w:eastAsia="Arial" w:hAnsi="Arial"/>
                <w:sz w:val="12"/>
                <w:szCs w:val="12"/>
                <w:color w:val="auto"/>
              </w:rPr>
              <w:t>Cost of services</w:t>
            </w:r>
            <w:r>
              <w:rPr>
                <w:rFonts w:ascii="Arial" w:cs="Arial" w:eastAsia="Arial" w:hAnsi="Arial"/>
                <w:sz w:val="19"/>
                <w:szCs w:val="19"/>
                <w:color w:val="auto"/>
                <w:vertAlign w:val="superscript"/>
              </w:rPr>
              <w:t>(1)</w:t>
            </w:r>
          </w:p>
        </w:tc>
        <w:tc>
          <w:tcPr>
            <w:tcW w:w="180" w:type="dxa"/>
            <w:vAlign w:val="bottom"/>
            <w:shd w:val="clear" w:color="auto" w:fill="EEEEEE"/>
          </w:tcPr>
          <w:p>
            <w:pPr>
              <w:spacing w:after="0"/>
              <w:rPr>
                <w:sz w:val="14"/>
                <w:szCs w:val="14"/>
                <w:color w:val="auto"/>
              </w:rPr>
            </w:pPr>
          </w:p>
        </w:tc>
        <w:tc>
          <w:tcPr>
            <w:tcW w:w="64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3,169</w:t>
            </w:r>
          </w:p>
        </w:tc>
        <w:tc>
          <w:tcPr>
            <w:tcW w:w="20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3,268</w:t>
            </w:r>
          </w:p>
        </w:tc>
        <w:tc>
          <w:tcPr>
            <w:tcW w:w="22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3,801</w:t>
            </w:r>
          </w:p>
        </w:tc>
        <w:tc>
          <w:tcPr>
            <w:tcW w:w="22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3,996</w:t>
            </w:r>
          </w:p>
        </w:tc>
        <w:tc>
          <w:tcPr>
            <w:tcW w:w="240" w:type="dxa"/>
            <w:vAlign w:val="bottom"/>
            <w:shd w:val="clear" w:color="auto" w:fill="EEEEEE"/>
          </w:tcPr>
          <w:p>
            <w:pPr>
              <w:spacing w:after="0"/>
              <w:rPr>
                <w:sz w:val="14"/>
                <w:szCs w:val="14"/>
                <w:color w:val="auto"/>
              </w:rPr>
            </w:pPr>
          </w:p>
        </w:tc>
        <w:tc>
          <w:tcPr>
            <w:tcW w:w="50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4,911</w:t>
            </w:r>
          </w:p>
        </w:tc>
        <w:tc>
          <w:tcPr>
            <w:tcW w:w="320" w:type="dxa"/>
            <w:vAlign w:val="bottom"/>
            <w:shd w:val="clear" w:color="auto" w:fill="EEEEEE"/>
          </w:tcPr>
          <w:p>
            <w:pPr>
              <w:spacing w:after="0"/>
              <w:rPr>
                <w:sz w:val="14"/>
                <w:szCs w:val="14"/>
                <w:color w:val="auto"/>
              </w:rPr>
            </w:pPr>
          </w:p>
        </w:tc>
        <w:tc>
          <w:tcPr>
            <w:tcW w:w="620" w:type="dxa"/>
            <w:vAlign w:val="bottom"/>
            <w:shd w:val="clear" w:color="auto" w:fill="EEEEEE"/>
          </w:tcPr>
          <w:p>
            <w:pPr>
              <w:jc w:val="right"/>
              <w:ind w:right="194"/>
              <w:spacing w:after="0"/>
              <w:rPr>
                <w:sz w:val="20"/>
                <w:szCs w:val="20"/>
                <w:color w:val="auto"/>
              </w:rPr>
            </w:pPr>
            <w:r>
              <w:rPr>
                <w:rFonts w:ascii="Arial" w:cs="Arial" w:eastAsia="Arial" w:hAnsi="Arial"/>
                <w:sz w:val="13"/>
                <w:szCs w:val="13"/>
                <w:color w:val="auto"/>
              </w:rPr>
              <w:t>5,181</w:t>
            </w:r>
          </w:p>
        </w:tc>
        <w:tc>
          <w:tcPr>
            <w:tcW w:w="120" w:type="dxa"/>
            <w:vAlign w:val="bottom"/>
            <w:shd w:val="clear" w:color="auto" w:fill="EEEEEE"/>
          </w:tcPr>
          <w:p>
            <w:pPr>
              <w:spacing w:after="0"/>
              <w:rPr>
                <w:sz w:val="14"/>
                <w:szCs w:val="14"/>
                <w:color w:val="auto"/>
              </w:rPr>
            </w:pPr>
          </w:p>
        </w:tc>
        <w:tc>
          <w:tcPr>
            <w:tcW w:w="58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5,255</w:t>
            </w:r>
          </w:p>
        </w:tc>
        <w:tc>
          <w:tcPr>
            <w:tcW w:w="20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5,659</w:t>
            </w:r>
          </w:p>
        </w:tc>
        <w:tc>
          <w:tcPr>
            <w:tcW w:w="340" w:type="dxa"/>
            <w:vAlign w:val="bottom"/>
            <w:shd w:val="clear" w:color="auto" w:fill="EEEEEE"/>
          </w:tcPr>
          <w:p>
            <w:pPr>
              <w:spacing w:after="0"/>
              <w:rPr>
                <w:sz w:val="14"/>
                <w:szCs w:val="14"/>
                <w:color w:val="auto"/>
              </w:rPr>
            </w:pPr>
          </w:p>
        </w:tc>
        <w:tc>
          <w:tcPr>
            <w:tcW w:w="56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5,378</w:t>
            </w:r>
          </w:p>
        </w:tc>
        <w:tc>
          <w:tcPr>
            <w:tcW w:w="220" w:type="dxa"/>
            <w:vAlign w:val="bottom"/>
            <w:shd w:val="clear" w:color="auto" w:fill="EEEEEE"/>
          </w:tcPr>
          <w:p>
            <w:pPr>
              <w:spacing w:after="0"/>
              <w:rPr>
                <w:sz w:val="14"/>
                <w:szCs w:val="14"/>
                <w:color w:val="auto"/>
              </w:rPr>
            </w:pPr>
          </w:p>
        </w:tc>
        <w:tc>
          <w:tcPr>
            <w:tcW w:w="54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5,815</w:t>
            </w:r>
          </w:p>
        </w:tc>
        <w:tc>
          <w:tcPr>
            <w:tcW w:w="220" w:type="dxa"/>
            <w:vAlign w:val="bottom"/>
            <w:shd w:val="clear" w:color="auto" w:fill="EEEEEE"/>
          </w:tcPr>
          <w:p>
            <w:pPr>
              <w:spacing w:after="0"/>
              <w:rPr>
                <w:sz w:val="14"/>
                <w:szCs w:val="14"/>
                <w:color w:val="auto"/>
              </w:rPr>
            </w:pPr>
          </w:p>
        </w:tc>
        <w:tc>
          <w:tcPr>
            <w:tcW w:w="50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4,795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40" w:type="dxa"/>
            <w:vAlign w:val="bottom"/>
          </w:tcPr>
          <w:p>
            <w:pPr>
              <w:ind w:left="220"/>
              <w:spacing w:after="0" w:line="172" w:lineRule="exact"/>
              <w:rPr>
                <w:sz w:val="20"/>
                <w:szCs w:val="20"/>
                <w:color w:val="auto"/>
              </w:rPr>
            </w:pPr>
            <w:r>
              <w:rPr>
                <w:rFonts w:ascii="Arial" w:cs="Arial" w:eastAsia="Arial" w:hAnsi="Arial"/>
                <w:sz w:val="12"/>
                <w:szCs w:val="12"/>
                <w:color w:val="auto"/>
              </w:rPr>
              <w:t>Cost of maintenance and subscriptions</w:t>
            </w:r>
            <w:r>
              <w:rPr>
                <w:rFonts w:ascii="Arial" w:cs="Arial" w:eastAsia="Arial" w:hAnsi="Arial"/>
                <w:sz w:val="19"/>
                <w:szCs w:val="19"/>
                <w:color w:val="auto"/>
                <w:vertAlign w:val="superscript"/>
              </w:rPr>
              <w:t>(1)</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2,693</w:t>
            </w:r>
          </w:p>
        </w:tc>
        <w:tc>
          <w:tcPr>
            <w:tcW w:w="2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2,676</w:t>
            </w:r>
          </w:p>
        </w:tc>
        <w:tc>
          <w:tcPr>
            <w:tcW w:w="22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rPr>
              <w:t>2,618</w:t>
            </w:r>
          </w:p>
        </w:tc>
        <w:tc>
          <w:tcPr>
            <w:tcW w:w="22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2,601</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2,835</w:t>
            </w:r>
          </w:p>
        </w:tc>
        <w:tc>
          <w:tcPr>
            <w:tcW w:w="3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2,972</w:t>
            </w:r>
          </w:p>
        </w:tc>
        <w:tc>
          <w:tcPr>
            <w:tcW w:w="12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3,225</w:t>
            </w:r>
          </w:p>
        </w:tc>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2,805</w:t>
            </w:r>
          </w:p>
        </w:tc>
        <w:tc>
          <w:tcPr>
            <w:tcW w:w="3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2,660</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2,738</w:t>
            </w:r>
          </w:p>
        </w:tc>
        <w:tc>
          <w:tcPr>
            <w:tcW w:w="2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2,466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Cost of other revenue</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539</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814</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852</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1,406</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805</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908</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843</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1,156</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860</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915</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802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740" w:type="dxa"/>
            <w:vAlign w:val="bottom"/>
          </w:tcPr>
          <w:p>
            <w:pPr>
              <w:ind w:left="480"/>
              <w:spacing w:after="0"/>
              <w:rPr>
                <w:sz w:val="20"/>
                <w:szCs w:val="20"/>
                <w:color w:val="auto"/>
              </w:rPr>
            </w:pPr>
            <w:r>
              <w:rPr>
                <w:rFonts w:ascii="Arial" w:cs="Arial" w:eastAsia="Arial" w:hAnsi="Arial"/>
                <w:sz w:val="13"/>
                <w:szCs w:val="13"/>
                <w:color w:val="auto"/>
              </w:rPr>
              <w:t>Total cost of revenue</w:t>
            </w:r>
          </w:p>
        </w:tc>
        <w:tc>
          <w:tcPr>
            <w:tcW w:w="180" w:type="dxa"/>
            <w:vAlign w:val="bottom"/>
          </w:tcPr>
          <w:p>
            <w:pPr>
              <w:spacing w:after="0"/>
              <w:rPr>
                <w:sz w:val="21"/>
                <w:szCs w:val="21"/>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6,920</w:t>
            </w:r>
          </w:p>
        </w:tc>
        <w:tc>
          <w:tcPr>
            <w:tcW w:w="2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7,480</w:t>
            </w:r>
          </w:p>
        </w:tc>
        <w:tc>
          <w:tcPr>
            <w:tcW w:w="220" w:type="dxa"/>
            <w:vAlign w:val="bottom"/>
          </w:tcPr>
          <w:p>
            <w:pPr>
              <w:spacing w:after="0"/>
              <w:rPr>
                <w:sz w:val="21"/>
                <w:szCs w:val="21"/>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rPr>
              <w:t>7,899</w:t>
            </w:r>
          </w:p>
        </w:tc>
        <w:tc>
          <w:tcPr>
            <w:tcW w:w="22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8,681</w:t>
            </w:r>
          </w:p>
        </w:tc>
        <w:tc>
          <w:tcPr>
            <w:tcW w:w="24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9,118</w:t>
            </w:r>
          </w:p>
        </w:tc>
        <w:tc>
          <w:tcPr>
            <w:tcW w:w="320" w:type="dxa"/>
            <w:vAlign w:val="bottom"/>
          </w:tcPr>
          <w:p>
            <w:pPr>
              <w:spacing w:after="0"/>
              <w:rPr>
                <w:sz w:val="21"/>
                <w:szCs w:val="21"/>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9,951</w:t>
            </w:r>
          </w:p>
        </w:tc>
        <w:tc>
          <w:tcPr>
            <w:tcW w:w="120" w:type="dxa"/>
            <w:vAlign w:val="bottom"/>
          </w:tcPr>
          <w:p>
            <w:pPr>
              <w:spacing w:after="0"/>
              <w:rPr>
                <w:sz w:val="21"/>
                <w:szCs w:val="21"/>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9,976</w:t>
            </w:r>
          </w:p>
        </w:tc>
        <w:tc>
          <w:tcPr>
            <w:tcW w:w="20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10,329</w:t>
            </w:r>
          </w:p>
        </w:tc>
        <w:tc>
          <w:tcPr>
            <w:tcW w:w="34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9,627</w:t>
            </w:r>
          </w:p>
        </w:tc>
        <w:tc>
          <w:tcPr>
            <w:tcW w:w="220" w:type="dxa"/>
            <w:vAlign w:val="bottom"/>
          </w:tcPr>
          <w:p>
            <w:pPr>
              <w:spacing w:after="0"/>
              <w:rPr>
                <w:sz w:val="21"/>
                <w:szCs w:val="21"/>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10,419</w:t>
            </w:r>
          </w:p>
        </w:tc>
        <w:tc>
          <w:tcPr>
            <w:tcW w:w="220" w:type="dxa"/>
            <w:vAlign w:val="bottom"/>
          </w:tcPr>
          <w:p>
            <w:pPr>
              <w:spacing w:after="0"/>
              <w:rPr>
                <w:sz w:val="21"/>
                <w:szCs w:val="21"/>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9,116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Gross profit</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w w:val="95"/>
              </w:rPr>
              <w:t>17,283</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w w:val="95"/>
              </w:rPr>
              <w:t>19,668</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85"/>
              </w:rPr>
              <w:t>18,952</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w w:val="95"/>
              </w:rPr>
              <w:t>18,346</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90"/>
              </w:rPr>
              <w:t>18,191</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w w:val="85"/>
              </w:rPr>
              <w:t>19,889</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w w:val="90"/>
              </w:rPr>
              <w:t>20,368</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w w:val="90"/>
              </w:rPr>
              <w:t>20,271</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w w:val="90"/>
              </w:rPr>
              <w:t>21,728</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w w:val="85"/>
              </w:rPr>
              <w:t>25,070</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90"/>
              </w:rPr>
              <w:t>27,067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Sales and marketing</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4,213</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4,644</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4,887</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5,429</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5,062</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5,475</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5,454</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5,892</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6,360</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7,293</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6,993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Research and development</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3,614</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3,659</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3,635</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3,477</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3,620</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3,585</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4,302</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4,009</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4,276</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4,428</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4,541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General and administrative</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2,269</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2,539</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2,999</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2,824</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2,823</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2,529</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2,690</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3,043</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2,851</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3,061</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3,181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Amortization</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560</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389</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48</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48</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48</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85</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667</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48</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32</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Cost of initial public offering</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950</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700</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Stock option compensation</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5,446</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5,768</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6,112</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6,365</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667</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526</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87"/>
              </w:rPr>
              <w:t>(1,138)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740" w:type="dxa"/>
            <w:vAlign w:val="bottom"/>
          </w:tcPr>
          <w:p>
            <w:pPr>
              <w:ind w:left="480"/>
              <w:spacing w:after="0"/>
              <w:rPr>
                <w:sz w:val="20"/>
                <w:szCs w:val="20"/>
                <w:color w:val="auto"/>
              </w:rPr>
            </w:pPr>
            <w:r>
              <w:rPr>
                <w:rFonts w:ascii="Arial" w:cs="Arial" w:eastAsia="Arial" w:hAnsi="Arial"/>
                <w:sz w:val="13"/>
                <w:szCs w:val="13"/>
                <w:color w:val="auto"/>
              </w:rPr>
              <w:t>Total operating expenses</w:t>
            </w:r>
          </w:p>
        </w:tc>
        <w:tc>
          <w:tcPr>
            <w:tcW w:w="180" w:type="dxa"/>
            <w:vAlign w:val="bottom"/>
          </w:tcPr>
          <w:p>
            <w:pPr>
              <w:spacing w:after="0"/>
              <w:rPr>
                <w:sz w:val="22"/>
                <w:szCs w:val="22"/>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w w:val="95"/>
              </w:rPr>
              <w:t>10,656</w:t>
            </w:r>
          </w:p>
        </w:tc>
        <w:tc>
          <w:tcPr>
            <w:tcW w:w="200" w:type="dxa"/>
            <w:vAlign w:val="bottom"/>
          </w:tcPr>
          <w:p>
            <w:pPr>
              <w:spacing w:after="0"/>
              <w:rPr>
                <w:sz w:val="22"/>
                <w:szCs w:val="22"/>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11,231</w:t>
            </w:r>
          </w:p>
        </w:tc>
        <w:tc>
          <w:tcPr>
            <w:tcW w:w="220" w:type="dxa"/>
            <w:vAlign w:val="bottom"/>
          </w:tcPr>
          <w:p>
            <w:pPr>
              <w:spacing w:after="0"/>
              <w:rPr>
                <w:sz w:val="22"/>
                <w:szCs w:val="22"/>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w w:val="85"/>
              </w:rPr>
              <w:t>11,569</w:t>
            </w:r>
          </w:p>
        </w:tc>
        <w:tc>
          <w:tcPr>
            <w:tcW w:w="220" w:type="dxa"/>
            <w:vAlign w:val="bottom"/>
          </w:tcPr>
          <w:p>
            <w:pPr>
              <w:spacing w:after="0"/>
              <w:rPr>
                <w:sz w:val="22"/>
                <w:szCs w:val="22"/>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11,778</w:t>
            </w:r>
          </w:p>
        </w:tc>
        <w:tc>
          <w:tcPr>
            <w:tcW w:w="240" w:type="dxa"/>
            <w:vAlign w:val="bottom"/>
          </w:tcPr>
          <w:p>
            <w:pPr>
              <w:spacing w:after="0"/>
              <w:rPr>
                <w:sz w:val="22"/>
                <w:szCs w:val="22"/>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16,999</w:t>
            </w:r>
          </w:p>
        </w:tc>
        <w:tc>
          <w:tcPr>
            <w:tcW w:w="320" w:type="dxa"/>
            <w:vAlign w:val="bottom"/>
          </w:tcPr>
          <w:p>
            <w:pPr>
              <w:spacing w:after="0"/>
              <w:rPr>
                <w:sz w:val="22"/>
                <w:szCs w:val="22"/>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w w:val="85"/>
              </w:rPr>
              <w:t>17,442</w:t>
            </w:r>
          </w:p>
        </w:tc>
        <w:tc>
          <w:tcPr>
            <w:tcW w:w="120" w:type="dxa"/>
            <w:vAlign w:val="bottom"/>
          </w:tcPr>
          <w:p>
            <w:pPr>
              <w:spacing w:after="0"/>
              <w:rPr>
                <w:sz w:val="22"/>
                <w:szCs w:val="22"/>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w w:val="90"/>
              </w:rPr>
              <w:t>19,225</w:t>
            </w:r>
          </w:p>
        </w:tc>
        <w:tc>
          <w:tcPr>
            <w:tcW w:w="20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19,357</w:t>
            </w:r>
          </w:p>
        </w:tc>
        <w:tc>
          <w:tcPr>
            <w:tcW w:w="340" w:type="dxa"/>
            <w:vAlign w:val="bottom"/>
          </w:tcPr>
          <w:p>
            <w:pPr>
              <w:spacing w:after="0"/>
              <w:rPr>
                <w:sz w:val="22"/>
                <w:szCs w:val="22"/>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15,136</w:t>
            </w:r>
          </w:p>
        </w:tc>
        <w:tc>
          <w:tcPr>
            <w:tcW w:w="220" w:type="dxa"/>
            <w:vAlign w:val="bottom"/>
          </w:tcPr>
          <w:p>
            <w:pPr>
              <w:spacing w:after="0"/>
              <w:rPr>
                <w:sz w:val="22"/>
                <w:szCs w:val="22"/>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16,008</w:t>
            </w:r>
          </w:p>
        </w:tc>
        <w:tc>
          <w:tcPr>
            <w:tcW w:w="220" w:type="dxa"/>
            <w:vAlign w:val="bottom"/>
          </w:tcPr>
          <w:p>
            <w:pPr>
              <w:spacing w:after="0"/>
              <w:rPr>
                <w:sz w:val="22"/>
                <w:szCs w:val="22"/>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14,382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Income from operations</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6,627</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8,437</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7,383</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6,568</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1,192</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2,447</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1,143</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914</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6,592</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9,062</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90"/>
              </w:rPr>
              <w:t>12,685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tcPr>
          <w:p>
            <w:pPr>
              <w:ind w:left="220"/>
              <w:spacing w:after="0" w:line="146" w:lineRule="exact"/>
              <w:rPr>
                <w:sz w:val="20"/>
                <w:szCs w:val="20"/>
                <w:color w:val="auto"/>
              </w:rPr>
            </w:pPr>
            <w:r>
              <w:rPr>
                <w:rFonts w:ascii="Arial" w:cs="Arial" w:eastAsia="Arial" w:hAnsi="Arial"/>
                <w:sz w:val="13"/>
                <w:szCs w:val="13"/>
                <w:color w:val="auto"/>
              </w:rPr>
              <w:t>Interest income</w:t>
            </w:r>
          </w:p>
        </w:tc>
        <w:tc>
          <w:tcPr>
            <w:tcW w:w="180" w:type="dxa"/>
            <w:vAlign w:val="bottom"/>
          </w:tcPr>
          <w:p>
            <w:pPr>
              <w:spacing w:after="0"/>
              <w:rPr>
                <w:sz w:val="12"/>
                <w:szCs w:val="12"/>
                <w:color w:val="auto"/>
              </w:rPr>
            </w:pPr>
          </w:p>
        </w:tc>
        <w:tc>
          <w:tcPr>
            <w:tcW w:w="64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27</w:t>
            </w:r>
          </w:p>
        </w:tc>
        <w:tc>
          <w:tcPr>
            <w:tcW w:w="220" w:type="dxa"/>
            <w:vAlign w:val="bottom"/>
          </w:tcPr>
          <w:p>
            <w:pPr>
              <w:spacing w:after="0"/>
              <w:rPr>
                <w:sz w:val="12"/>
                <w:szCs w:val="12"/>
                <w:color w:val="auto"/>
              </w:rPr>
            </w:pPr>
          </w:p>
        </w:tc>
        <w:tc>
          <w:tcPr>
            <w:tcW w:w="56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45</w:t>
            </w:r>
          </w:p>
        </w:tc>
        <w:tc>
          <w:tcPr>
            <w:tcW w:w="220" w:type="dxa"/>
            <w:vAlign w:val="bottom"/>
          </w:tcPr>
          <w:p>
            <w:pPr>
              <w:spacing w:after="0"/>
              <w:rPr>
                <w:sz w:val="12"/>
                <w:szCs w:val="12"/>
                <w:color w:val="auto"/>
              </w:rPr>
            </w:pPr>
          </w:p>
        </w:tc>
        <w:tc>
          <w:tcPr>
            <w:tcW w:w="56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44</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26</w:t>
            </w:r>
          </w:p>
        </w:tc>
        <w:tc>
          <w:tcPr>
            <w:tcW w:w="320" w:type="dxa"/>
            <w:vAlign w:val="bottom"/>
          </w:tcPr>
          <w:p>
            <w:pPr>
              <w:spacing w:after="0"/>
              <w:rPr>
                <w:sz w:val="12"/>
                <w:szCs w:val="12"/>
                <w:color w:val="auto"/>
              </w:rPr>
            </w:pPr>
          </w:p>
        </w:tc>
        <w:tc>
          <w:tcPr>
            <w:tcW w:w="6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22</w:t>
            </w:r>
          </w:p>
        </w:tc>
        <w:tc>
          <w:tcPr>
            <w:tcW w:w="120" w:type="dxa"/>
            <w:vAlign w:val="bottom"/>
          </w:tcPr>
          <w:p>
            <w:pPr>
              <w:spacing w:after="0"/>
              <w:rPr>
                <w:sz w:val="12"/>
                <w:szCs w:val="12"/>
                <w:color w:val="auto"/>
              </w:rPr>
            </w:pPr>
          </w:p>
        </w:tc>
        <w:tc>
          <w:tcPr>
            <w:tcW w:w="58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22</w:t>
            </w:r>
          </w:p>
        </w:tc>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27</w:t>
            </w:r>
          </w:p>
        </w:tc>
        <w:tc>
          <w:tcPr>
            <w:tcW w:w="3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25</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29</w:t>
            </w:r>
          </w:p>
        </w:tc>
        <w:tc>
          <w:tcPr>
            <w:tcW w:w="22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740" w:type="dxa"/>
            <w:vAlign w:val="bottom"/>
            <w:shd w:val="clear" w:color="auto" w:fill="EEEEEE"/>
          </w:tcPr>
          <w:p>
            <w:pPr>
              <w:ind w:left="220"/>
              <w:spacing w:after="0" w:line="146" w:lineRule="exact"/>
              <w:rPr>
                <w:sz w:val="20"/>
                <w:szCs w:val="20"/>
                <w:color w:val="auto"/>
              </w:rPr>
            </w:pPr>
            <w:r>
              <w:rPr>
                <w:rFonts w:ascii="Arial" w:cs="Arial" w:eastAsia="Arial" w:hAnsi="Arial"/>
                <w:sz w:val="13"/>
                <w:szCs w:val="13"/>
                <w:color w:val="auto"/>
              </w:rPr>
              <w:t>Interest expense</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w w:val="92"/>
              </w:rPr>
              <w:t>(1,106)</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w w:val="92"/>
              </w:rPr>
              <w:t>(1,026)</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(968)</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w w:val="92"/>
              </w:rPr>
              <w:t>(1,310)</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(863)</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(759)</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(594)</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(343)</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(213)</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(37)</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40" w:type="dxa"/>
            <w:vAlign w:val="bottom"/>
          </w:tcPr>
          <w:p>
            <w:pPr>
              <w:ind w:left="220"/>
              <w:spacing w:after="0"/>
              <w:rPr>
                <w:sz w:val="20"/>
                <w:szCs w:val="20"/>
                <w:color w:val="auto"/>
              </w:rPr>
            </w:pPr>
            <w:r>
              <w:rPr>
                <w:rFonts w:ascii="Arial" w:cs="Arial" w:eastAsia="Arial" w:hAnsi="Arial"/>
                <w:sz w:val="13"/>
                <w:szCs w:val="13"/>
                <w:color w:val="auto"/>
              </w:rPr>
              <w:t>Other income (expense), net</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15</w:t>
            </w:r>
          </w:p>
        </w:tc>
        <w:tc>
          <w:tcPr>
            <w:tcW w:w="3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(198)</w:t>
            </w:r>
          </w:p>
        </w:tc>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334</w:t>
            </w:r>
          </w:p>
        </w:tc>
        <w:tc>
          <w:tcPr>
            <w:tcW w:w="3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349</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Income before provision for income taxes</w:t>
            </w:r>
          </w:p>
        </w:tc>
        <w:tc>
          <w:tcPr>
            <w:tcW w:w="180" w:type="dxa"/>
            <w:vAlign w:val="bottom"/>
            <w:shd w:val="clear" w:color="auto" w:fill="EEEEEE"/>
          </w:tcPr>
          <w:p>
            <w:pPr>
              <w:spacing w:after="0"/>
              <w:rPr>
                <w:sz w:val="12"/>
                <w:szCs w:val="12"/>
                <w:color w:val="auto"/>
              </w:rPr>
            </w:pP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5,543</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7,438</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6,460</w:t>
            </w:r>
          </w:p>
        </w:tc>
        <w:tc>
          <w:tcPr>
            <w:tcW w:w="22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5,365</w:t>
            </w:r>
          </w:p>
        </w:tc>
        <w:tc>
          <w:tcPr>
            <w:tcW w:w="24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370</w:t>
            </w:r>
          </w:p>
        </w:tc>
        <w:tc>
          <w:tcPr>
            <w:tcW w:w="320" w:type="dxa"/>
            <w:vAlign w:val="bottom"/>
            <w:shd w:val="clear" w:color="auto" w:fill="EEEEEE"/>
          </w:tcPr>
          <w:p>
            <w:pPr>
              <w:spacing w:after="0"/>
              <w:rPr>
                <w:sz w:val="12"/>
                <w:szCs w:val="12"/>
                <w:color w:val="auto"/>
              </w:rPr>
            </w:pP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1,794</w:t>
            </w:r>
          </w:p>
        </w:tc>
        <w:tc>
          <w:tcPr>
            <w:tcW w:w="120" w:type="dxa"/>
            <w:vAlign w:val="bottom"/>
            <w:shd w:val="clear" w:color="auto" w:fill="EEEEEE"/>
          </w:tcPr>
          <w:p>
            <w:pPr>
              <w:spacing w:after="0"/>
              <w:rPr>
                <w:sz w:val="12"/>
                <w:szCs w:val="12"/>
                <w:color w:val="auto"/>
              </w:rPr>
            </w:pP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373</w:t>
            </w:r>
          </w:p>
        </w:tc>
        <w:tc>
          <w:tcPr>
            <w:tcW w:w="20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932</w:t>
            </w:r>
          </w:p>
        </w:tc>
        <w:tc>
          <w:tcPr>
            <w:tcW w:w="34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6,753</w:t>
            </w:r>
          </w:p>
        </w:tc>
        <w:tc>
          <w:tcPr>
            <w:tcW w:w="220" w:type="dxa"/>
            <w:vAlign w:val="bottom"/>
            <w:shd w:val="clear" w:color="auto" w:fill="EEEEEE"/>
          </w:tcPr>
          <w:p>
            <w:pPr>
              <w:spacing w:after="0"/>
              <w:rPr>
                <w:sz w:val="12"/>
                <w:szCs w:val="12"/>
                <w:color w:val="auto"/>
              </w:rPr>
            </w:pP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9,051</w:t>
            </w:r>
          </w:p>
        </w:tc>
        <w:tc>
          <w:tcPr>
            <w:tcW w:w="220" w:type="dxa"/>
            <w:vAlign w:val="bottom"/>
            <w:shd w:val="clear" w:color="auto" w:fill="EEEEEE"/>
          </w:tcPr>
          <w:p>
            <w:pPr>
              <w:spacing w:after="0"/>
              <w:rPr>
                <w:sz w:val="12"/>
                <w:szCs w:val="12"/>
                <w:color w:val="auto"/>
              </w:rPr>
            </w:pP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w w:val="90"/>
              </w:rPr>
              <w:t>12,742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740" w:type="dxa"/>
            <w:vAlign w:val="bottom"/>
          </w:tcPr>
          <w:p>
            <w:pPr>
              <w:ind w:left="220"/>
              <w:spacing w:after="0"/>
              <w:rPr>
                <w:sz w:val="20"/>
                <w:szCs w:val="20"/>
                <w:color w:val="auto"/>
              </w:rPr>
            </w:pPr>
            <w:r>
              <w:rPr>
                <w:rFonts w:ascii="Arial" w:cs="Arial" w:eastAsia="Arial" w:hAnsi="Arial"/>
                <w:sz w:val="13"/>
                <w:szCs w:val="13"/>
                <w:color w:val="auto"/>
              </w:rPr>
              <w:t>Income tax provision</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3"/>
                <w:szCs w:val="13"/>
                <w:color w:val="auto"/>
              </w:rPr>
              <w:t>2,065</w:t>
            </w:r>
          </w:p>
        </w:tc>
        <w:tc>
          <w:tcPr>
            <w:tcW w:w="20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2,750</w:t>
            </w:r>
          </w:p>
        </w:tc>
        <w:tc>
          <w:tcPr>
            <w:tcW w:w="220" w:type="dxa"/>
            <w:vAlign w:val="bottom"/>
          </w:tcPr>
          <w:p>
            <w:pPr>
              <w:spacing w:after="0"/>
              <w:rPr>
                <w:sz w:val="14"/>
                <w:szCs w:val="14"/>
                <w:color w:val="auto"/>
              </w:rPr>
            </w:pPr>
          </w:p>
        </w:tc>
        <w:tc>
          <w:tcPr>
            <w:tcW w:w="560" w:type="dxa"/>
            <w:vAlign w:val="bottom"/>
          </w:tcPr>
          <w:p>
            <w:pPr>
              <w:jc w:val="right"/>
              <w:ind w:right="134"/>
              <w:spacing w:after="0"/>
              <w:rPr>
                <w:sz w:val="20"/>
                <w:szCs w:val="20"/>
                <w:color w:val="auto"/>
              </w:rPr>
            </w:pPr>
            <w:r>
              <w:rPr>
                <w:rFonts w:ascii="Arial" w:cs="Arial" w:eastAsia="Arial" w:hAnsi="Arial"/>
                <w:sz w:val="13"/>
                <w:szCs w:val="13"/>
                <w:color w:val="auto"/>
              </w:rPr>
              <w:t>2,360</w:t>
            </w:r>
          </w:p>
        </w:tc>
        <w:tc>
          <w:tcPr>
            <w:tcW w:w="22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1,991</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421</w:t>
            </w:r>
          </w:p>
        </w:tc>
        <w:tc>
          <w:tcPr>
            <w:tcW w:w="32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3"/>
                <w:szCs w:val="13"/>
                <w:color w:val="auto"/>
              </w:rPr>
              <w:t>2,040</w:t>
            </w:r>
          </w:p>
        </w:tc>
        <w:tc>
          <w:tcPr>
            <w:tcW w:w="12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3"/>
                <w:szCs w:val="13"/>
                <w:color w:val="auto"/>
              </w:rPr>
              <w:t>425</w:t>
            </w:r>
          </w:p>
        </w:tc>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1,061</w:t>
            </w:r>
          </w:p>
        </w:tc>
        <w:tc>
          <w:tcPr>
            <w:tcW w:w="3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2,756</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3,708</w:t>
            </w:r>
          </w:p>
        </w:tc>
        <w:tc>
          <w:tcPr>
            <w:tcW w:w="2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5,155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3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74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income (loss)</w:t>
            </w:r>
          </w:p>
        </w:tc>
        <w:tc>
          <w:tcPr>
            <w:tcW w:w="18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3,478</w:t>
            </w:r>
          </w:p>
        </w:tc>
        <w:tc>
          <w:tcPr>
            <w:tcW w:w="200" w:type="dxa"/>
            <w:vAlign w:val="bottom"/>
            <w:shd w:val="clear" w:color="auto" w:fill="EEEEEE"/>
          </w:tcPr>
          <w:p>
            <w:pPr>
              <w:ind w:left="120"/>
              <w:spacing w:after="0" w:line="146" w:lineRule="exact"/>
              <w:rPr>
                <w:sz w:val="20"/>
                <w:szCs w:val="20"/>
                <w:color w:val="auto"/>
              </w:rPr>
            </w:pPr>
            <w:r>
              <w:rPr>
                <w:rFonts w:ascii="Arial" w:cs="Arial" w:eastAsia="Arial" w:hAnsi="Arial"/>
                <w:sz w:val="13"/>
                <w:szCs w:val="13"/>
                <w:color w:val="auto"/>
                <w:w w:val="82"/>
              </w:rPr>
              <w:t>$</w:t>
            </w: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4,688</w:t>
            </w:r>
          </w:p>
        </w:tc>
        <w:tc>
          <w:tcPr>
            <w:tcW w:w="220" w:type="dxa"/>
            <w:vAlign w:val="bottom"/>
            <w:shd w:val="clear" w:color="auto" w:fill="EEEEEE"/>
          </w:tcPr>
          <w:p>
            <w:pPr>
              <w:ind w:left="16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4,100</w:t>
            </w:r>
          </w:p>
        </w:tc>
        <w:tc>
          <w:tcPr>
            <w:tcW w:w="2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3,374</w:t>
            </w:r>
          </w:p>
        </w:tc>
        <w:tc>
          <w:tcPr>
            <w:tcW w:w="24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(51)</w:t>
            </w:r>
          </w:p>
        </w:tc>
        <w:tc>
          <w:tcPr>
            <w:tcW w:w="320" w:type="dxa"/>
            <w:vAlign w:val="bottom"/>
            <w:shd w:val="clear" w:color="auto" w:fill="EEEEEE"/>
          </w:tcPr>
          <w:p>
            <w:pPr>
              <w:ind w:left="240"/>
              <w:spacing w:after="0" w:line="146" w:lineRule="exact"/>
              <w:rPr>
                <w:sz w:val="20"/>
                <w:szCs w:val="20"/>
                <w:color w:val="auto"/>
              </w:rPr>
            </w:pPr>
            <w:r>
              <w:rPr>
                <w:rFonts w:ascii="Arial" w:cs="Arial" w:eastAsia="Arial" w:hAnsi="Arial"/>
                <w:sz w:val="13"/>
                <w:szCs w:val="13"/>
                <w:color w:val="auto"/>
                <w:w w:val="82"/>
              </w:rPr>
              <w:t>$</w:t>
            </w:r>
          </w:p>
        </w:tc>
        <w:tc>
          <w:tcPr>
            <w:tcW w:w="6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(246)</w:t>
            </w:r>
          </w:p>
        </w:tc>
        <w:tc>
          <w:tcPr>
            <w:tcW w:w="120" w:type="dxa"/>
            <w:vAlign w:val="bottom"/>
            <w:shd w:val="clear" w:color="auto" w:fill="EEEEEE"/>
          </w:tcPr>
          <w:p>
            <w:pPr>
              <w:ind w:left="6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(52)</w:t>
            </w:r>
          </w:p>
        </w:tc>
        <w:tc>
          <w:tcPr>
            <w:tcW w:w="2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(129)</w:t>
            </w:r>
          </w:p>
        </w:tc>
        <w:tc>
          <w:tcPr>
            <w:tcW w:w="34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3,997</w:t>
            </w:r>
          </w:p>
        </w:tc>
        <w:tc>
          <w:tcPr>
            <w:tcW w:w="220" w:type="dxa"/>
            <w:vAlign w:val="bottom"/>
            <w:shd w:val="clear" w:color="auto" w:fill="EEEEEE"/>
          </w:tcPr>
          <w:p>
            <w:pPr>
              <w:ind w:left="140"/>
              <w:spacing w:after="0" w:line="146"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5,343</w:t>
            </w:r>
          </w:p>
        </w:tc>
        <w:tc>
          <w:tcPr>
            <w:tcW w:w="22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7,587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-37465</wp:posOffset>
            </wp:positionV>
            <wp:extent cx="127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color w:val="auto"/>
        </w:rPr>
        <w:t>Earnings (loss) per share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Basic</w:t>
      </w:r>
    </w:p>
    <w:p>
      <w:pPr>
        <w:ind w:left="240"/>
        <w:spacing w:after="0" w:line="233" w:lineRule="auto"/>
        <w:rPr>
          <w:sz w:val="20"/>
          <w:szCs w:val="20"/>
          <w:color w:val="auto"/>
        </w:rPr>
      </w:pPr>
      <w:r>
        <w:rPr>
          <w:rFonts w:ascii="Arial" w:cs="Arial" w:eastAsia="Arial" w:hAnsi="Arial"/>
          <w:sz w:val="13"/>
          <w:szCs w:val="13"/>
          <w:color w:val="auto"/>
        </w:rPr>
        <w:t>Diluted</w:t>
      </w:r>
    </w:p>
    <w:p>
      <w:pPr>
        <w:spacing w:after="0"/>
        <w:rPr>
          <w:sz w:val="20"/>
          <w:szCs w:val="20"/>
          <w:color w:val="auto"/>
        </w:rPr>
      </w:pPr>
      <w:r>
        <w:rPr>
          <w:rFonts w:ascii="Arial" w:cs="Arial" w:eastAsia="Arial" w:hAnsi="Arial"/>
          <w:sz w:val="11"/>
          <w:szCs w:val="11"/>
          <w:color w:val="auto"/>
        </w:rPr>
        <w:t>Common shares and equivalents outstanding</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Basic weighted average shares</w:t>
      </w:r>
    </w:p>
    <w:p>
      <w:pPr>
        <w:ind w:left="240"/>
        <w:spacing w:after="0" w:line="233" w:lineRule="auto"/>
        <w:rPr>
          <w:sz w:val="20"/>
          <w:szCs w:val="20"/>
          <w:color w:val="auto"/>
        </w:rPr>
      </w:pPr>
      <w:r>
        <w:rPr>
          <w:rFonts w:ascii="Arial" w:cs="Arial" w:eastAsia="Arial" w:hAnsi="Arial"/>
          <w:sz w:val="13"/>
          <w:szCs w:val="13"/>
          <w:color w:val="auto"/>
        </w:rPr>
        <w:t>Diluted weighted average shares</w:t>
      </w:r>
    </w:p>
    <w:p>
      <w:pPr>
        <w:spacing w:after="0"/>
        <w:rPr>
          <w:sz w:val="20"/>
          <w:szCs w:val="20"/>
          <w:color w:val="auto"/>
        </w:rPr>
      </w:pPr>
      <w:r>
        <w:rPr>
          <w:rFonts w:ascii="Arial" w:cs="Arial" w:eastAsia="Arial" w:hAnsi="Arial"/>
          <w:sz w:val="12"/>
          <w:szCs w:val="12"/>
          <w:b w:val="1"/>
          <w:bCs w:val="1"/>
          <w:color w:val="auto"/>
        </w:rPr>
        <w:t>Summary of stock option compensation:</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3"/>
          <w:szCs w:val="13"/>
          <w:color w:val="auto"/>
        </w:rPr>
        <w:t>Cost of services</w:t>
      </w:r>
    </w:p>
    <w:p>
      <w:pPr>
        <w:ind w:left="240"/>
        <w:spacing w:after="0"/>
        <w:rPr>
          <w:sz w:val="20"/>
          <w:szCs w:val="20"/>
          <w:color w:val="auto"/>
        </w:rPr>
      </w:pPr>
      <w:r>
        <w:rPr>
          <w:rFonts w:ascii="Arial" w:cs="Arial" w:eastAsia="Arial" w:hAnsi="Arial"/>
          <w:sz w:val="12"/>
          <w:szCs w:val="12"/>
          <w:color w:val="auto"/>
        </w:rPr>
        <w:t>Cost of maintenance and subscriptions</w:t>
      </w:r>
    </w:p>
    <w:p>
      <w:pPr>
        <w:spacing w:after="0" w:line="22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cost of revenue</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Sales and marketing</w:t>
      </w:r>
    </w:p>
    <w:p>
      <w:pPr>
        <w:ind w:left="240"/>
        <w:spacing w:after="0" w:line="233" w:lineRule="auto"/>
        <w:rPr>
          <w:sz w:val="20"/>
          <w:szCs w:val="20"/>
          <w:color w:val="auto"/>
        </w:rPr>
      </w:pPr>
      <w:r>
        <w:rPr>
          <w:rFonts w:ascii="Arial" w:cs="Arial" w:eastAsia="Arial" w:hAnsi="Arial"/>
          <w:sz w:val="13"/>
          <w:szCs w:val="13"/>
          <w:color w:val="auto"/>
        </w:rPr>
        <w:t>Research and development</w:t>
      </w:r>
    </w:p>
    <w:p>
      <w:pPr>
        <w:ind w:left="240"/>
        <w:spacing w:after="0"/>
        <w:rPr>
          <w:sz w:val="20"/>
          <w:szCs w:val="20"/>
          <w:color w:val="auto"/>
        </w:rPr>
      </w:pPr>
      <w:r>
        <w:rPr>
          <w:rFonts w:ascii="Arial" w:cs="Arial" w:eastAsia="Arial" w:hAnsi="Arial"/>
          <w:sz w:val="13"/>
          <w:szCs w:val="13"/>
          <w:color w:val="auto"/>
        </w:rPr>
        <w:t>General and administrative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0.08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99"/>
              </w:rPr>
              <w:t>(0.01)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(0.00)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0.13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0.18</w:t>
            </w:r>
          </w:p>
        </w:tc>
      </w:tr>
      <w:tr>
        <w:trPr>
          <w:trHeight w:val="166"/>
        </w:trPr>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0.08</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0.11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0.10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(0.00)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99"/>
              </w:rPr>
              <w:t>(0.01)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(0.00)</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0.09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0.12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0.16</w:t>
            </w:r>
          </w:p>
        </w:tc>
      </w:tr>
      <w:tr>
        <w:trPr>
          <w:trHeight w:val="271"/>
        </w:trPr>
        <w:tc>
          <w:tcPr>
            <w:tcW w:w="200" w:type="dxa"/>
            <w:vAlign w:val="bottom"/>
          </w:tcPr>
          <w:p>
            <w:pPr>
              <w:spacing w:after="0"/>
              <w:rPr>
                <w:sz w:val="23"/>
                <w:szCs w:val="23"/>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42,360</w:t>
            </w:r>
          </w:p>
        </w:tc>
        <w:tc>
          <w:tcPr>
            <w:tcW w:w="280" w:type="dxa"/>
            <w:vAlign w:val="bottom"/>
          </w:tcPr>
          <w:p>
            <w:pPr>
              <w:spacing w:after="0"/>
              <w:rPr>
                <w:sz w:val="23"/>
                <w:szCs w:val="23"/>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42,360</w:t>
            </w:r>
          </w:p>
        </w:tc>
        <w:tc>
          <w:tcPr>
            <w:tcW w:w="220" w:type="dxa"/>
            <w:vAlign w:val="bottom"/>
          </w:tcPr>
          <w:p>
            <w:pPr>
              <w:spacing w:after="0"/>
              <w:rPr>
                <w:sz w:val="23"/>
                <w:szCs w:val="23"/>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42,360</w:t>
            </w:r>
          </w:p>
        </w:tc>
        <w:tc>
          <w:tcPr>
            <w:tcW w:w="260" w:type="dxa"/>
            <w:vAlign w:val="bottom"/>
          </w:tcPr>
          <w:p>
            <w:pPr>
              <w:spacing w:after="0"/>
              <w:rPr>
                <w:sz w:val="23"/>
                <w:szCs w:val="23"/>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42,360</w:t>
            </w:r>
          </w:p>
        </w:tc>
        <w:tc>
          <w:tcPr>
            <w:tcW w:w="240" w:type="dxa"/>
            <w:vAlign w:val="bottom"/>
          </w:tcPr>
          <w:p>
            <w:pPr>
              <w:spacing w:after="0"/>
              <w:rPr>
                <w:sz w:val="23"/>
                <w:szCs w:val="23"/>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42,360</w:t>
            </w:r>
          </w:p>
        </w:tc>
        <w:tc>
          <w:tcPr>
            <w:tcW w:w="26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85"/>
              </w:rPr>
              <w:t>42,404</w:t>
            </w:r>
          </w:p>
        </w:tc>
        <w:tc>
          <w:tcPr>
            <w:tcW w:w="220" w:type="dxa"/>
            <w:vAlign w:val="bottom"/>
          </w:tcPr>
          <w:p>
            <w:pPr>
              <w:spacing w:after="0"/>
              <w:rPr>
                <w:sz w:val="23"/>
                <w:szCs w:val="23"/>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42,409</w:t>
            </w:r>
          </w:p>
        </w:tc>
        <w:tc>
          <w:tcPr>
            <w:tcW w:w="240" w:type="dxa"/>
            <w:vAlign w:val="bottom"/>
          </w:tcPr>
          <w:p>
            <w:pPr>
              <w:spacing w:after="0"/>
              <w:rPr>
                <w:sz w:val="23"/>
                <w:szCs w:val="23"/>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90"/>
              </w:rPr>
              <w:t>42,409</w:t>
            </w:r>
          </w:p>
        </w:tc>
        <w:tc>
          <w:tcPr>
            <w:tcW w:w="300" w:type="dxa"/>
            <w:vAlign w:val="bottom"/>
          </w:tcPr>
          <w:p>
            <w:pPr>
              <w:spacing w:after="0"/>
              <w:rPr>
                <w:sz w:val="23"/>
                <w:szCs w:val="23"/>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42,411</w:t>
            </w:r>
          </w:p>
        </w:tc>
        <w:tc>
          <w:tcPr>
            <w:tcW w:w="240" w:type="dxa"/>
            <w:vAlign w:val="bottom"/>
          </w:tcPr>
          <w:p>
            <w:pPr>
              <w:spacing w:after="0"/>
              <w:rPr>
                <w:sz w:val="23"/>
                <w:szCs w:val="23"/>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85"/>
              </w:rPr>
              <w:t>42,491</w:t>
            </w:r>
          </w:p>
        </w:tc>
        <w:tc>
          <w:tcPr>
            <w:tcW w:w="240" w:type="dxa"/>
            <w:vAlign w:val="bottom"/>
          </w:tcPr>
          <w:p>
            <w:pPr>
              <w:spacing w:after="0"/>
              <w:rPr>
                <w:sz w:val="23"/>
                <w:szCs w:val="23"/>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42,537</w:t>
            </w:r>
          </w:p>
        </w:tc>
      </w:tr>
      <w:tr>
        <w:trPr>
          <w:trHeight w:val="166"/>
        </w:trPr>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42,360</w:t>
            </w:r>
          </w:p>
        </w:tc>
        <w:tc>
          <w:tcPr>
            <w:tcW w:w="2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42,360</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w w:val="85"/>
              </w:rPr>
              <w:t>42,360</w:t>
            </w:r>
          </w:p>
        </w:tc>
        <w:tc>
          <w:tcPr>
            <w:tcW w:w="2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42,360</w:t>
            </w:r>
          </w:p>
        </w:tc>
        <w:tc>
          <w:tcPr>
            <w:tcW w:w="2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w w:val="90"/>
              </w:rPr>
              <w:t>42,360</w:t>
            </w:r>
          </w:p>
        </w:tc>
        <w:tc>
          <w:tcPr>
            <w:tcW w:w="26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85"/>
              </w:rPr>
              <w:t>42,404</w:t>
            </w:r>
          </w:p>
        </w:tc>
        <w:tc>
          <w:tcPr>
            <w:tcW w:w="2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42,409</w:t>
            </w:r>
          </w:p>
        </w:tc>
        <w:tc>
          <w:tcPr>
            <w:tcW w:w="2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w w:val="90"/>
              </w:rPr>
              <w:t>42,409</w:t>
            </w:r>
          </w:p>
        </w:tc>
        <w:tc>
          <w:tcPr>
            <w:tcW w:w="3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w w:val="90"/>
              </w:rPr>
              <w:t>46,140</w:t>
            </w:r>
          </w:p>
        </w:tc>
        <w:tc>
          <w:tcPr>
            <w:tcW w:w="2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w w:val="85"/>
              </w:rPr>
              <w:t>45,984</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90"/>
              </w:rPr>
              <w:t>46,515</w:t>
            </w:r>
          </w:p>
        </w:tc>
      </w:tr>
      <w:tr>
        <w:trPr>
          <w:trHeight w:val="271"/>
        </w:trPr>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622</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777</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892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1,051</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294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273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87"/>
              </w:rPr>
              <w:t>(1,211)</w:t>
            </w:r>
          </w:p>
        </w:tc>
      </w:tr>
      <w:tr>
        <w:trPr>
          <w:trHeight w:val="166"/>
        </w:trPr>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93</w:t>
            </w:r>
          </w:p>
        </w:tc>
        <w:tc>
          <w:tcPr>
            <w:tcW w:w="26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116</w:t>
            </w:r>
          </w:p>
        </w:tc>
        <w:tc>
          <w:tcPr>
            <w:tcW w:w="2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136</w:t>
            </w:r>
          </w:p>
        </w:tc>
        <w:tc>
          <w:tcPr>
            <w:tcW w:w="2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160</w:t>
            </w:r>
          </w:p>
        </w:tc>
        <w:tc>
          <w:tcPr>
            <w:tcW w:w="3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37</w:t>
            </w:r>
          </w:p>
        </w:tc>
        <w:tc>
          <w:tcPr>
            <w:tcW w:w="2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25</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(168)</w:t>
            </w:r>
          </w:p>
        </w:tc>
      </w:tr>
      <w:tr>
        <w:trPr>
          <w:trHeight w:val="94"/>
        </w:trPr>
        <w:tc>
          <w:tcPr>
            <w:tcW w:w="2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r>
      <w:tr>
        <w:trPr>
          <w:trHeight w:val="236"/>
        </w:trPr>
        <w:tc>
          <w:tcPr>
            <w:tcW w:w="200" w:type="dxa"/>
            <w:vAlign w:val="bottom"/>
          </w:tcPr>
          <w:p>
            <w:pPr>
              <w:spacing w:after="0"/>
              <w:rPr>
                <w:sz w:val="20"/>
                <w:szCs w:val="20"/>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0"/>
                <w:szCs w:val="20"/>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0"/>
                <w:szCs w:val="20"/>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715</w:t>
            </w:r>
          </w:p>
        </w:tc>
        <w:tc>
          <w:tcPr>
            <w:tcW w:w="260" w:type="dxa"/>
            <w:vAlign w:val="bottom"/>
          </w:tcPr>
          <w:p>
            <w:pPr>
              <w:spacing w:after="0"/>
              <w:rPr>
                <w:sz w:val="20"/>
                <w:szCs w:val="20"/>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893</w:t>
            </w:r>
          </w:p>
        </w:tc>
        <w:tc>
          <w:tcPr>
            <w:tcW w:w="220" w:type="dxa"/>
            <w:vAlign w:val="bottom"/>
          </w:tcPr>
          <w:p>
            <w:pPr>
              <w:spacing w:after="0"/>
              <w:rPr>
                <w:sz w:val="20"/>
                <w:szCs w:val="20"/>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1,028</w:t>
            </w:r>
          </w:p>
        </w:tc>
        <w:tc>
          <w:tcPr>
            <w:tcW w:w="240" w:type="dxa"/>
            <w:vAlign w:val="bottom"/>
          </w:tcPr>
          <w:p>
            <w:pPr>
              <w:spacing w:after="0"/>
              <w:rPr>
                <w:sz w:val="20"/>
                <w:szCs w:val="20"/>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1,211</w:t>
            </w:r>
          </w:p>
        </w:tc>
        <w:tc>
          <w:tcPr>
            <w:tcW w:w="300" w:type="dxa"/>
            <w:vAlign w:val="bottom"/>
          </w:tcPr>
          <w:p>
            <w:pPr>
              <w:spacing w:after="0"/>
              <w:rPr>
                <w:sz w:val="20"/>
                <w:szCs w:val="20"/>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331</w:t>
            </w:r>
          </w:p>
        </w:tc>
        <w:tc>
          <w:tcPr>
            <w:tcW w:w="240" w:type="dxa"/>
            <w:vAlign w:val="bottom"/>
          </w:tcPr>
          <w:p>
            <w:pPr>
              <w:spacing w:after="0"/>
              <w:rPr>
                <w:sz w:val="20"/>
                <w:szCs w:val="20"/>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298</w:t>
            </w:r>
          </w:p>
        </w:tc>
        <w:tc>
          <w:tcPr>
            <w:tcW w:w="240" w:type="dxa"/>
            <w:vAlign w:val="bottom"/>
          </w:tcPr>
          <w:p>
            <w:pPr>
              <w:spacing w:after="0"/>
              <w:rPr>
                <w:sz w:val="20"/>
                <w:szCs w:val="20"/>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w w:val="87"/>
              </w:rPr>
              <w:t>(1,379)</w:t>
            </w:r>
          </w:p>
        </w:tc>
      </w:tr>
      <w:tr>
        <w:trPr>
          <w:trHeight w:val="146"/>
        </w:trPr>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336</w:t>
            </w:r>
          </w:p>
        </w:tc>
        <w:tc>
          <w:tcPr>
            <w:tcW w:w="260" w:type="dxa"/>
            <w:vAlign w:val="bottom"/>
          </w:tcPr>
          <w:p>
            <w:pPr>
              <w:spacing w:after="0"/>
              <w:rPr>
                <w:sz w:val="12"/>
                <w:szCs w:val="12"/>
                <w:color w:val="auto"/>
              </w:rPr>
            </w:pPr>
          </w:p>
        </w:tc>
        <w:tc>
          <w:tcPr>
            <w:tcW w:w="5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375</w:t>
            </w:r>
          </w:p>
        </w:tc>
        <w:tc>
          <w:tcPr>
            <w:tcW w:w="22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490</w:t>
            </w:r>
          </w:p>
        </w:tc>
        <w:tc>
          <w:tcPr>
            <w:tcW w:w="24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616</w:t>
            </w:r>
          </w:p>
        </w:tc>
        <w:tc>
          <w:tcPr>
            <w:tcW w:w="30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254</w:t>
            </w:r>
          </w:p>
        </w:tc>
        <w:tc>
          <w:tcPr>
            <w:tcW w:w="240" w:type="dxa"/>
            <w:vAlign w:val="bottom"/>
          </w:tcPr>
          <w:p>
            <w:pPr>
              <w:spacing w:after="0"/>
              <w:rPr>
                <w:sz w:val="12"/>
                <w:szCs w:val="12"/>
                <w:color w:val="auto"/>
              </w:rPr>
            </w:pPr>
          </w:p>
        </w:tc>
        <w:tc>
          <w:tcPr>
            <w:tcW w:w="5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222</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(670)</w:t>
            </w:r>
          </w:p>
        </w:tc>
      </w:tr>
      <w:tr>
        <w:trPr>
          <w:trHeight w:val="146"/>
        </w:trPr>
        <w:tc>
          <w:tcPr>
            <w:tcW w:w="20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5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6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456</w:t>
            </w:r>
          </w:p>
        </w:tc>
        <w:tc>
          <w:tcPr>
            <w:tcW w:w="260" w:type="dxa"/>
            <w:vAlign w:val="bottom"/>
          </w:tcPr>
          <w:p>
            <w:pPr>
              <w:spacing w:after="0"/>
              <w:rPr>
                <w:sz w:val="12"/>
                <w:szCs w:val="12"/>
                <w:color w:val="auto"/>
              </w:rPr>
            </w:pPr>
          </w:p>
        </w:tc>
        <w:tc>
          <w:tcPr>
            <w:tcW w:w="5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560</w:t>
            </w:r>
          </w:p>
        </w:tc>
        <w:tc>
          <w:tcPr>
            <w:tcW w:w="22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623</w:t>
            </w:r>
          </w:p>
        </w:tc>
        <w:tc>
          <w:tcPr>
            <w:tcW w:w="240" w:type="dxa"/>
            <w:vAlign w:val="bottom"/>
          </w:tcPr>
          <w:p>
            <w:pPr>
              <w:spacing w:after="0"/>
              <w:rPr>
                <w:sz w:val="12"/>
                <w:szCs w:val="12"/>
                <w:color w:val="auto"/>
              </w:rPr>
            </w:pPr>
          </w:p>
        </w:tc>
        <w:tc>
          <w:tcPr>
            <w:tcW w:w="60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702</w:t>
            </w:r>
          </w:p>
        </w:tc>
        <w:tc>
          <w:tcPr>
            <w:tcW w:w="300" w:type="dxa"/>
            <w:vAlign w:val="bottom"/>
          </w:tcPr>
          <w:p>
            <w:pPr>
              <w:spacing w:after="0"/>
              <w:rPr>
                <w:sz w:val="12"/>
                <w:szCs w:val="12"/>
                <w:color w:val="auto"/>
              </w:rPr>
            </w:pPr>
          </w:p>
        </w:tc>
        <w:tc>
          <w:tcPr>
            <w:tcW w:w="5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174</w:t>
            </w:r>
          </w:p>
        </w:tc>
        <w:tc>
          <w:tcPr>
            <w:tcW w:w="240" w:type="dxa"/>
            <w:vAlign w:val="bottom"/>
          </w:tcPr>
          <w:p>
            <w:pPr>
              <w:spacing w:after="0"/>
              <w:rPr>
                <w:sz w:val="12"/>
                <w:szCs w:val="12"/>
                <w:color w:val="auto"/>
              </w:rPr>
            </w:pPr>
          </w:p>
        </w:tc>
        <w:tc>
          <w:tcPr>
            <w:tcW w:w="5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142</w:t>
            </w:r>
          </w:p>
        </w:tc>
        <w:tc>
          <w:tcPr>
            <w:tcW w:w="240" w:type="dxa"/>
            <w:vAlign w:val="bottom"/>
          </w:tcPr>
          <w:p>
            <w:pPr>
              <w:spacing w:after="0"/>
              <w:rPr>
                <w:sz w:val="12"/>
                <w:szCs w:val="12"/>
                <w:color w:val="auto"/>
              </w:rPr>
            </w:pPr>
          </w:p>
        </w:tc>
        <w:tc>
          <w:tcPr>
            <w:tcW w:w="500" w:type="dxa"/>
            <w:vAlign w:val="bottom"/>
          </w:tcPr>
          <w:p>
            <w:pPr>
              <w:jc w:val="right"/>
              <w:ind w:right="54"/>
              <w:spacing w:after="0" w:line="146" w:lineRule="exact"/>
              <w:rPr>
                <w:sz w:val="20"/>
                <w:szCs w:val="20"/>
                <w:color w:val="auto"/>
              </w:rPr>
            </w:pPr>
            <w:r>
              <w:rPr>
                <w:rFonts w:ascii="Arial" w:cs="Arial" w:eastAsia="Arial" w:hAnsi="Arial"/>
                <w:sz w:val="13"/>
                <w:szCs w:val="13"/>
                <w:color w:val="auto"/>
              </w:rPr>
              <w:t>(833)</w:t>
            </w:r>
          </w:p>
        </w:tc>
      </w:tr>
      <w:tr>
        <w:trPr>
          <w:trHeight w:val="166"/>
        </w:trPr>
        <w:tc>
          <w:tcPr>
            <w:tcW w:w="20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3"/>
                <w:szCs w:val="13"/>
                <w:color w:val="auto"/>
              </w:rPr>
              <w:t>4,654</w:t>
            </w:r>
          </w:p>
        </w:tc>
        <w:tc>
          <w:tcPr>
            <w:tcW w:w="26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4,833</w:t>
            </w:r>
          </w:p>
        </w:tc>
        <w:tc>
          <w:tcPr>
            <w:tcW w:w="22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4,998</w:t>
            </w:r>
          </w:p>
        </w:tc>
        <w:tc>
          <w:tcPr>
            <w:tcW w:w="24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5,048</w:t>
            </w:r>
          </w:p>
        </w:tc>
        <w:tc>
          <w:tcPr>
            <w:tcW w:w="30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3"/>
                <w:szCs w:val="13"/>
                <w:color w:val="auto"/>
              </w:rPr>
              <w:t>239</w:t>
            </w:r>
          </w:p>
        </w:tc>
        <w:tc>
          <w:tcPr>
            <w:tcW w:w="2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3"/>
                <w:szCs w:val="13"/>
                <w:color w:val="auto"/>
              </w:rPr>
              <w:t>162</w:t>
            </w:r>
          </w:p>
        </w:tc>
        <w:tc>
          <w:tcPr>
            <w:tcW w:w="24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3"/>
                <w:szCs w:val="13"/>
                <w:color w:val="auto"/>
              </w:rPr>
              <w:t>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-1748155</wp:posOffset>
            </wp:positionH>
            <wp:positionV relativeFrom="paragraph">
              <wp:posOffset>-1258570</wp:posOffset>
            </wp:positionV>
            <wp:extent cx="7249160" cy="927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-1073785</wp:posOffset>
            </wp:positionV>
            <wp:extent cx="7249160" cy="927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-889000</wp:posOffset>
            </wp:positionV>
            <wp:extent cx="7249160" cy="927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-704215</wp:posOffset>
            </wp:positionV>
            <wp:extent cx="7249160" cy="927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-376555</wp:posOffset>
            </wp:positionV>
            <wp:extent cx="7249160" cy="927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-191770</wp:posOffset>
            </wp:positionV>
            <wp:extent cx="7249160" cy="927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9160" cy="927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59690</wp:posOffset>
            </wp:positionV>
            <wp:extent cx="550227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02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380"/>
            <w:col w:w="8660"/>
          </w:cols>
          <w:pgMar w:left="240" w:top="925" w:right="239" w:bottom="1440" w:gutter="0" w:footer="0" w:header="0"/>
          <w:type w:val="continuous"/>
        </w:sectPr>
      </w:pP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60" w:type="dxa"/>
            <w:vAlign w:val="bottom"/>
            <w:gridSpan w:val="2"/>
            <w:shd w:val="clear" w:color="auto" w:fill="EEEEEE"/>
          </w:tcPr>
          <w:p>
            <w:pPr>
              <w:ind w:left="500"/>
              <w:spacing w:after="0"/>
              <w:rPr>
                <w:sz w:val="20"/>
                <w:szCs w:val="20"/>
                <w:color w:val="auto"/>
              </w:rPr>
            </w:pPr>
            <w:r>
              <w:rPr>
                <w:rFonts w:ascii="Arial" w:cs="Arial" w:eastAsia="Arial" w:hAnsi="Arial"/>
                <w:sz w:val="13"/>
                <w:szCs w:val="13"/>
                <w:color w:val="auto"/>
              </w:rPr>
              <w:t>Total operating expenses</w:t>
            </w:r>
          </w:p>
        </w:tc>
        <w:tc>
          <w:tcPr>
            <w:tcW w:w="320" w:type="dxa"/>
            <w:vAlign w:val="bottom"/>
            <w:shd w:val="clear" w:color="auto" w:fill="EEEEEE"/>
          </w:tcPr>
          <w:p>
            <w:pPr>
              <w:spacing w:after="0"/>
              <w:rPr>
                <w:sz w:val="12"/>
                <w:szCs w:val="12"/>
                <w:color w:val="auto"/>
              </w:rPr>
            </w:pPr>
          </w:p>
        </w:tc>
        <w:tc>
          <w:tcPr>
            <w:tcW w:w="440" w:type="dxa"/>
            <w:vAlign w:val="bottom"/>
            <w:shd w:val="clear" w:color="auto" w:fill="EEEEEE"/>
          </w:tcPr>
          <w:p>
            <w:pPr>
              <w:ind w:left="120"/>
              <w:spacing w:after="0"/>
              <w:rPr>
                <w:sz w:val="20"/>
                <w:szCs w:val="20"/>
                <w:color w:val="auto"/>
              </w:rPr>
            </w:pPr>
            <w:r>
              <w:rPr>
                <w:rFonts w:ascii="Arial" w:cs="Arial" w:eastAsia="Arial" w:hAnsi="Arial"/>
                <w:sz w:val="13"/>
                <w:szCs w:val="13"/>
                <w:color w:val="auto"/>
              </w:rPr>
              <w:t>—</w:t>
            </w:r>
          </w:p>
        </w:tc>
        <w:tc>
          <w:tcPr>
            <w:tcW w:w="380" w:type="dxa"/>
            <w:vAlign w:val="bottom"/>
            <w:shd w:val="clear" w:color="auto" w:fill="EEEEEE"/>
          </w:tcPr>
          <w:p>
            <w:pPr>
              <w:spacing w:after="0"/>
              <w:rPr>
                <w:sz w:val="12"/>
                <w:szCs w:val="12"/>
                <w:color w:val="auto"/>
              </w:rPr>
            </w:pPr>
          </w:p>
        </w:tc>
        <w:tc>
          <w:tcPr>
            <w:tcW w:w="440" w:type="dxa"/>
            <w:vAlign w:val="bottom"/>
            <w:shd w:val="clear" w:color="auto" w:fill="EEEEEE"/>
          </w:tcPr>
          <w:p>
            <w:pPr>
              <w:ind w:left="140"/>
              <w:spacing w:after="0"/>
              <w:rPr>
                <w:sz w:val="20"/>
                <w:szCs w:val="20"/>
                <w:color w:val="auto"/>
              </w:rPr>
            </w:pPr>
            <w:r>
              <w:rPr>
                <w:rFonts w:ascii="Arial" w:cs="Arial" w:eastAsia="Arial" w:hAnsi="Arial"/>
                <w:sz w:val="13"/>
                <w:szCs w:val="13"/>
                <w:color w:val="auto"/>
              </w:rPr>
              <w:t>—</w:t>
            </w:r>
          </w:p>
        </w:tc>
        <w:tc>
          <w:tcPr>
            <w:tcW w:w="340" w:type="dxa"/>
            <w:vAlign w:val="bottom"/>
            <w:shd w:val="clear" w:color="auto" w:fill="EEEEEE"/>
          </w:tcPr>
          <w:p>
            <w:pPr>
              <w:spacing w:after="0"/>
              <w:rPr>
                <w:sz w:val="12"/>
                <w:szCs w:val="12"/>
                <w:color w:val="auto"/>
              </w:rPr>
            </w:pPr>
          </w:p>
        </w:tc>
        <w:tc>
          <w:tcPr>
            <w:tcW w:w="420" w:type="dxa"/>
            <w:vAlign w:val="bottom"/>
            <w:shd w:val="clear" w:color="auto" w:fill="EEEEEE"/>
          </w:tcPr>
          <w:p>
            <w:pPr>
              <w:ind w:left="120"/>
              <w:spacing w:after="0"/>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ind w:left="140"/>
              <w:spacing w:after="0"/>
              <w:rPr>
                <w:sz w:val="20"/>
                <w:szCs w:val="20"/>
                <w:color w:val="auto"/>
              </w:rPr>
            </w:pPr>
            <w:r>
              <w:rPr>
                <w:rFonts w:ascii="Arial" w:cs="Arial" w:eastAsia="Arial" w:hAnsi="Arial"/>
                <w:sz w:val="13"/>
                <w:szCs w:val="13"/>
                <w:color w:val="auto"/>
              </w:rPr>
              <w:t>—</w:t>
            </w:r>
          </w:p>
        </w:tc>
        <w:tc>
          <w:tcPr>
            <w:tcW w:w="800" w:type="dxa"/>
            <w:vAlign w:val="bottom"/>
            <w:shd w:val="clear" w:color="auto" w:fill="EEEEEE"/>
          </w:tcPr>
          <w:p>
            <w:pPr>
              <w:jc w:val="right"/>
              <w:ind w:right="114"/>
              <w:spacing w:after="0"/>
              <w:rPr>
                <w:sz w:val="20"/>
                <w:szCs w:val="20"/>
                <w:color w:val="auto"/>
              </w:rPr>
            </w:pPr>
            <w:r>
              <w:rPr>
                <w:rFonts w:ascii="Arial" w:cs="Arial" w:eastAsia="Arial" w:hAnsi="Arial"/>
                <w:sz w:val="13"/>
                <w:szCs w:val="13"/>
                <w:color w:val="auto"/>
              </w:rPr>
              <w:t>5,446</w:t>
            </w:r>
          </w:p>
        </w:tc>
        <w:tc>
          <w:tcPr>
            <w:tcW w:w="78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5,768</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6,112</w:t>
            </w:r>
          </w:p>
        </w:tc>
        <w:tc>
          <w:tcPr>
            <w:tcW w:w="84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6,365</w:t>
            </w:r>
          </w:p>
        </w:tc>
        <w:tc>
          <w:tcPr>
            <w:tcW w:w="84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667</w:t>
            </w:r>
          </w:p>
        </w:tc>
        <w:tc>
          <w:tcPr>
            <w:tcW w:w="7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526</w:t>
            </w:r>
          </w:p>
        </w:tc>
        <w:tc>
          <w:tcPr>
            <w:tcW w:w="740" w:type="dxa"/>
            <w:vAlign w:val="bottom"/>
            <w:shd w:val="clear" w:color="auto" w:fill="EEEEEE"/>
          </w:tcPr>
          <w:p>
            <w:pPr>
              <w:jc w:val="right"/>
              <w:ind w:right="54"/>
              <w:spacing w:after="0"/>
              <w:rPr>
                <w:sz w:val="20"/>
                <w:szCs w:val="20"/>
                <w:color w:val="auto"/>
              </w:rPr>
            </w:pPr>
            <w:r>
              <w:rPr>
                <w:rFonts w:ascii="Arial" w:cs="Arial" w:eastAsia="Arial" w:hAnsi="Arial"/>
                <w:sz w:val="13"/>
                <w:szCs w:val="13"/>
                <w:color w:val="auto"/>
              </w:rPr>
              <w:t>(1,138)</w:t>
            </w:r>
          </w:p>
        </w:tc>
      </w:tr>
      <w:tr>
        <w:trPr>
          <w:trHeight w:val="106"/>
        </w:trPr>
        <w:tc>
          <w:tcPr>
            <w:tcW w:w="2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r>
      <w:tr>
        <w:trPr>
          <w:trHeight w:val="256"/>
        </w:trPr>
        <w:tc>
          <w:tcPr>
            <w:tcW w:w="2760" w:type="dxa"/>
            <w:vAlign w:val="bottom"/>
            <w:gridSpan w:val="2"/>
          </w:tcPr>
          <w:p>
            <w:pPr>
              <w:ind w:left="500"/>
              <w:spacing w:after="0"/>
              <w:rPr>
                <w:sz w:val="20"/>
                <w:szCs w:val="20"/>
                <w:color w:val="auto"/>
              </w:rPr>
            </w:pPr>
            <w:r>
              <w:rPr>
                <w:rFonts w:ascii="Arial" w:cs="Arial" w:eastAsia="Arial" w:hAnsi="Arial"/>
                <w:sz w:val="13"/>
                <w:szCs w:val="13"/>
                <w:color w:val="auto"/>
              </w:rPr>
              <w:t>Total stock option compensation</w:t>
            </w:r>
          </w:p>
        </w:tc>
        <w:tc>
          <w:tcPr>
            <w:tcW w:w="32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440" w:type="dxa"/>
            <w:vAlign w:val="bottom"/>
          </w:tcPr>
          <w:p>
            <w:pPr>
              <w:ind w:left="12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ind w:left="14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20" w:type="dxa"/>
            <w:vAlign w:val="bottom"/>
          </w:tcPr>
          <w:p>
            <w:pPr>
              <w:ind w:left="12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54"/>
              <w:spacing w:after="0"/>
              <w:rPr>
                <w:sz w:val="20"/>
                <w:szCs w:val="20"/>
                <w:color w:val="auto"/>
              </w:rPr>
            </w:pPr>
            <w:r>
              <w:rPr>
                <w:rFonts w:ascii="Arial" w:cs="Arial" w:eastAsia="Arial" w:hAnsi="Arial"/>
                <w:sz w:val="13"/>
                <w:szCs w:val="13"/>
                <w:color w:val="auto"/>
              </w:rPr>
              <w:t>$</w:t>
            </w:r>
          </w:p>
        </w:tc>
        <w:tc>
          <w:tcPr>
            <w:tcW w:w="440" w:type="dxa"/>
            <w:vAlign w:val="bottom"/>
          </w:tcPr>
          <w:p>
            <w:pPr>
              <w:ind w:left="1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14"/>
              <w:spacing w:after="0"/>
              <w:rPr>
                <w:sz w:val="20"/>
                <w:szCs w:val="20"/>
                <w:color w:val="auto"/>
              </w:rPr>
            </w:pPr>
            <w:r>
              <w:rPr>
                <w:rFonts w:ascii="Arial" w:cs="Arial" w:eastAsia="Arial" w:hAnsi="Arial"/>
                <w:sz w:val="13"/>
                <w:szCs w:val="13"/>
                <w:color w:val="auto"/>
              </w:rPr>
              <w:t>$ 6,161</w:t>
            </w:r>
          </w:p>
        </w:tc>
        <w:tc>
          <w:tcPr>
            <w:tcW w:w="780" w:type="dxa"/>
            <w:vAlign w:val="bottom"/>
          </w:tcPr>
          <w:p>
            <w:pPr>
              <w:jc w:val="right"/>
              <w:ind w:right="94"/>
              <w:spacing w:after="0"/>
              <w:rPr>
                <w:sz w:val="20"/>
                <w:szCs w:val="20"/>
                <w:color w:val="auto"/>
              </w:rPr>
            </w:pPr>
            <w:r>
              <w:rPr>
                <w:rFonts w:ascii="Arial" w:cs="Arial" w:eastAsia="Arial" w:hAnsi="Arial"/>
                <w:sz w:val="13"/>
                <w:szCs w:val="13"/>
                <w:color w:val="auto"/>
              </w:rPr>
              <w:t>$ 6,661</w:t>
            </w:r>
          </w:p>
        </w:tc>
        <w:tc>
          <w:tcPr>
            <w:tcW w:w="760" w:type="dxa"/>
            <w:vAlign w:val="bottom"/>
          </w:tcPr>
          <w:p>
            <w:pPr>
              <w:jc w:val="right"/>
              <w:ind w:right="94"/>
              <w:spacing w:after="0"/>
              <w:rPr>
                <w:sz w:val="20"/>
                <w:szCs w:val="20"/>
                <w:color w:val="auto"/>
              </w:rPr>
            </w:pPr>
            <w:r>
              <w:rPr>
                <w:rFonts w:ascii="Arial" w:cs="Arial" w:eastAsia="Arial" w:hAnsi="Arial"/>
                <w:sz w:val="13"/>
                <w:szCs w:val="13"/>
                <w:color w:val="auto"/>
              </w:rPr>
              <w:t>$ 7,139</w:t>
            </w:r>
          </w:p>
        </w:tc>
        <w:tc>
          <w:tcPr>
            <w:tcW w:w="840" w:type="dxa"/>
            <w:vAlign w:val="bottom"/>
          </w:tcPr>
          <w:p>
            <w:pPr>
              <w:jc w:val="right"/>
              <w:ind w:right="154"/>
              <w:spacing w:after="0"/>
              <w:rPr>
                <w:sz w:val="20"/>
                <w:szCs w:val="20"/>
                <w:color w:val="auto"/>
              </w:rPr>
            </w:pPr>
            <w:r>
              <w:rPr>
                <w:rFonts w:ascii="Arial" w:cs="Arial" w:eastAsia="Arial" w:hAnsi="Arial"/>
                <w:sz w:val="13"/>
                <w:szCs w:val="13"/>
                <w:color w:val="auto"/>
              </w:rPr>
              <w:t>$ 7,577</w:t>
            </w:r>
          </w:p>
        </w:tc>
        <w:tc>
          <w:tcPr>
            <w:tcW w:w="840" w:type="dxa"/>
            <w:vAlign w:val="bottom"/>
          </w:tcPr>
          <w:p>
            <w:pPr>
              <w:jc w:val="right"/>
              <w:ind w:right="94"/>
              <w:spacing w:after="0"/>
              <w:rPr>
                <w:sz w:val="20"/>
                <w:szCs w:val="20"/>
                <w:color w:val="auto"/>
              </w:rPr>
            </w:pPr>
            <w:r>
              <w:rPr>
                <w:rFonts w:ascii="Arial" w:cs="Arial" w:eastAsia="Arial" w:hAnsi="Arial"/>
                <w:sz w:val="13"/>
                <w:szCs w:val="13"/>
                <w:color w:val="auto"/>
              </w:rPr>
              <w:t>$   998</w:t>
            </w:r>
          </w:p>
        </w:tc>
        <w:tc>
          <w:tcPr>
            <w:tcW w:w="760" w:type="dxa"/>
            <w:vAlign w:val="bottom"/>
          </w:tcPr>
          <w:p>
            <w:pPr>
              <w:jc w:val="right"/>
              <w:ind w:right="94"/>
              <w:spacing w:after="0"/>
              <w:rPr>
                <w:sz w:val="20"/>
                <w:szCs w:val="20"/>
                <w:color w:val="auto"/>
              </w:rPr>
            </w:pPr>
            <w:r>
              <w:rPr>
                <w:rFonts w:ascii="Arial" w:cs="Arial" w:eastAsia="Arial" w:hAnsi="Arial"/>
                <w:sz w:val="13"/>
                <w:szCs w:val="13"/>
                <w:color w:val="auto"/>
              </w:rPr>
              <w:t>$   824</w:t>
            </w:r>
          </w:p>
        </w:tc>
        <w:tc>
          <w:tcPr>
            <w:tcW w:w="740" w:type="dxa"/>
            <w:vAlign w:val="bottom"/>
          </w:tcPr>
          <w:p>
            <w:pPr>
              <w:jc w:val="right"/>
              <w:ind w:right="54"/>
              <w:spacing w:after="0"/>
              <w:rPr>
                <w:sz w:val="20"/>
                <w:szCs w:val="20"/>
                <w:color w:val="auto"/>
              </w:rPr>
            </w:pPr>
            <w:r>
              <w:rPr>
                <w:rFonts w:ascii="Arial" w:cs="Arial" w:eastAsia="Arial" w:hAnsi="Arial"/>
                <w:sz w:val="13"/>
                <w:szCs w:val="13"/>
                <w:color w:val="auto"/>
              </w:rPr>
              <w:t>$(2,517)</w:t>
            </w:r>
          </w:p>
        </w:tc>
      </w:tr>
      <w:tr>
        <w:trPr>
          <w:trHeight w:val="131"/>
        </w:trPr>
        <w:tc>
          <w:tcPr>
            <w:tcW w:w="2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r>
      <w:tr>
        <w:trPr>
          <w:trHeight w:val="208"/>
        </w:trPr>
        <w:tc>
          <w:tcPr>
            <w:tcW w:w="2080" w:type="dxa"/>
            <w:vAlign w:val="bottom"/>
            <w:tcBorders>
              <w:bottom w:val="single" w:sz="8" w:color="808080"/>
            </w:tcBorders>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-177800</wp:posOffset>
            </wp:positionV>
            <wp:extent cx="127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1748790</wp:posOffset>
            </wp:positionH>
            <wp:positionV relativeFrom="paragraph">
              <wp:posOffset>-177800</wp:posOffset>
            </wp:positionV>
            <wp:extent cx="127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83" w:lineRule="exact"/>
        <w:rPr>
          <w:sz w:val="20"/>
          <w:szCs w:val="20"/>
          <w:color w:val="auto"/>
        </w:rPr>
      </w:pPr>
    </w:p>
    <w:p>
      <w:pPr>
        <w:ind w:left="5620" w:right="5080" w:hanging="5614"/>
        <w:spacing w:after="0" w:line="445" w:lineRule="auto"/>
        <w:tabs>
          <w:tab w:leader="none" w:pos="241"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stock option compensation set forth in Summary of stock option compensation.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337820</wp:posOffset>
            </wp:positionV>
            <wp:extent cx="725360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Quarterly results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313690</wp:posOffset>
            </wp:positionV>
            <wp:extent cx="7249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Quarter ended</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60" w:type="dxa"/>
            <w:vAlign w:val="bottom"/>
          </w:tcPr>
          <w:p>
            <w:pPr>
              <w:jc w:val="right"/>
              <w:ind w:right="134"/>
              <w:spacing w:after="0"/>
              <w:rPr>
                <w:sz w:val="20"/>
                <w:szCs w:val="20"/>
                <w:color w:val="auto"/>
              </w:rPr>
            </w:pPr>
            <w:r>
              <w:rPr>
                <w:rFonts w:ascii="Arial" w:cs="Arial" w:eastAsia="Arial" w:hAnsi="Arial"/>
                <w:sz w:val="13"/>
                <w:szCs w:val="13"/>
                <w:b w:val="1"/>
                <w:bCs w:val="1"/>
                <w:color w:val="auto"/>
              </w:rPr>
              <w:t>March 31,</w:t>
            </w:r>
          </w:p>
        </w:tc>
        <w:tc>
          <w:tcPr>
            <w:tcW w:w="820" w:type="dxa"/>
            <w:vAlign w:val="bottom"/>
          </w:tcPr>
          <w:p>
            <w:pPr>
              <w:jc w:val="right"/>
              <w:ind w:right="114"/>
              <w:spacing w:after="0"/>
              <w:rPr>
                <w:sz w:val="20"/>
                <w:szCs w:val="20"/>
                <w:color w:val="auto"/>
              </w:rPr>
            </w:pPr>
            <w:r>
              <w:rPr>
                <w:rFonts w:ascii="Arial" w:cs="Arial" w:eastAsia="Arial" w:hAnsi="Arial"/>
                <w:sz w:val="13"/>
                <w:szCs w:val="13"/>
                <w:b w:val="1"/>
                <w:bCs w:val="1"/>
                <w:color w:val="auto"/>
              </w:rPr>
              <w:t>June 30,</w:t>
            </w:r>
          </w:p>
        </w:tc>
        <w:tc>
          <w:tcPr>
            <w:tcW w:w="860" w:type="dxa"/>
            <w:vAlign w:val="bottom"/>
          </w:tcPr>
          <w:p>
            <w:pPr>
              <w:jc w:val="right"/>
              <w:ind w:right="134"/>
              <w:spacing w:after="0"/>
              <w:rPr>
                <w:sz w:val="20"/>
                <w:szCs w:val="20"/>
                <w:color w:val="auto"/>
              </w:rPr>
            </w:pPr>
            <w:r>
              <w:rPr>
                <w:rFonts w:ascii="Arial" w:cs="Arial" w:eastAsia="Arial" w:hAnsi="Arial"/>
                <w:sz w:val="13"/>
                <w:szCs w:val="13"/>
                <w:b w:val="1"/>
                <w:bCs w:val="1"/>
                <w:color w:val="auto"/>
              </w:rPr>
              <w:t>Sept. 30,</w:t>
            </w:r>
          </w:p>
        </w:tc>
        <w:tc>
          <w:tcPr>
            <w:tcW w:w="720" w:type="dxa"/>
            <w:vAlign w:val="bottom"/>
          </w:tcPr>
          <w:p>
            <w:pPr>
              <w:jc w:val="right"/>
              <w:ind w:right="94"/>
              <w:spacing w:after="0"/>
              <w:rPr>
                <w:sz w:val="20"/>
                <w:szCs w:val="20"/>
                <w:color w:val="auto"/>
              </w:rPr>
            </w:pPr>
            <w:r>
              <w:rPr>
                <w:rFonts w:ascii="Arial" w:cs="Arial" w:eastAsia="Arial" w:hAnsi="Arial"/>
                <w:sz w:val="13"/>
                <w:szCs w:val="13"/>
                <w:b w:val="1"/>
                <w:bCs w:val="1"/>
                <w:color w:val="auto"/>
              </w:rPr>
              <w:t>Dec. 31,</w:t>
            </w:r>
          </w:p>
        </w:tc>
        <w:tc>
          <w:tcPr>
            <w:tcW w:w="880" w:type="dxa"/>
            <w:vAlign w:val="bottom"/>
          </w:tcPr>
          <w:p>
            <w:pPr>
              <w:jc w:val="right"/>
              <w:ind w:right="94"/>
              <w:spacing w:after="0"/>
              <w:rPr>
                <w:sz w:val="20"/>
                <w:szCs w:val="20"/>
                <w:color w:val="auto"/>
              </w:rPr>
            </w:pPr>
            <w:r>
              <w:rPr>
                <w:rFonts w:ascii="Arial" w:cs="Arial" w:eastAsia="Arial" w:hAnsi="Arial"/>
                <w:sz w:val="13"/>
                <w:szCs w:val="13"/>
                <w:b w:val="1"/>
                <w:bCs w:val="1"/>
                <w:color w:val="auto"/>
              </w:rPr>
              <w:t>March 31,</w:t>
            </w: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June 30,</w:t>
            </w:r>
          </w:p>
        </w:tc>
        <w:tc>
          <w:tcPr>
            <w:tcW w:w="740" w:type="dxa"/>
            <w:vAlign w:val="bottom"/>
          </w:tcPr>
          <w:p>
            <w:pPr>
              <w:jc w:val="right"/>
              <w:ind w:right="134"/>
              <w:spacing w:after="0"/>
              <w:rPr>
                <w:sz w:val="20"/>
                <w:szCs w:val="20"/>
                <w:color w:val="auto"/>
              </w:rPr>
            </w:pPr>
            <w:r>
              <w:rPr>
                <w:rFonts w:ascii="Arial" w:cs="Arial" w:eastAsia="Arial" w:hAnsi="Arial"/>
                <w:sz w:val="13"/>
                <w:szCs w:val="13"/>
                <w:b w:val="1"/>
                <w:bCs w:val="1"/>
                <w:color w:val="auto"/>
                <w:w w:val="97"/>
              </w:rPr>
              <w:t>Sept. 30,</w:t>
            </w:r>
          </w:p>
        </w:tc>
        <w:tc>
          <w:tcPr>
            <w:tcW w:w="740" w:type="dxa"/>
            <w:vAlign w:val="bottom"/>
          </w:tcPr>
          <w:p>
            <w:pPr>
              <w:jc w:val="right"/>
              <w:ind w:right="114"/>
              <w:spacing w:after="0"/>
              <w:rPr>
                <w:sz w:val="20"/>
                <w:szCs w:val="20"/>
                <w:color w:val="auto"/>
              </w:rPr>
            </w:pPr>
            <w:r>
              <w:rPr>
                <w:rFonts w:ascii="Arial" w:cs="Arial" w:eastAsia="Arial" w:hAnsi="Arial"/>
                <w:sz w:val="13"/>
                <w:szCs w:val="13"/>
                <w:b w:val="1"/>
                <w:bCs w:val="1"/>
                <w:color w:val="auto"/>
              </w:rPr>
              <w:t>Dec. 31,</w:t>
            </w:r>
          </w:p>
        </w:tc>
        <w:tc>
          <w:tcPr>
            <w:tcW w:w="940" w:type="dxa"/>
            <w:vAlign w:val="bottom"/>
          </w:tcPr>
          <w:p>
            <w:pPr>
              <w:jc w:val="right"/>
              <w:ind w:right="154"/>
              <w:spacing w:after="0"/>
              <w:rPr>
                <w:sz w:val="20"/>
                <w:szCs w:val="20"/>
                <w:color w:val="auto"/>
              </w:rPr>
            </w:pPr>
            <w:r>
              <w:rPr>
                <w:rFonts w:ascii="Arial" w:cs="Arial" w:eastAsia="Arial" w:hAnsi="Arial"/>
                <w:sz w:val="13"/>
                <w:szCs w:val="13"/>
                <w:b w:val="1"/>
                <w:bCs w:val="1"/>
                <w:color w:val="auto"/>
              </w:rPr>
              <w:t>March 31,</w:t>
            </w:r>
          </w:p>
        </w:tc>
        <w:tc>
          <w:tcPr>
            <w:tcW w:w="920" w:type="dxa"/>
            <w:vAlign w:val="bottom"/>
          </w:tcPr>
          <w:p>
            <w:pPr>
              <w:jc w:val="right"/>
              <w:ind w:right="214"/>
              <w:spacing w:after="0"/>
              <w:rPr>
                <w:sz w:val="20"/>
                <w:szCs w:val="20"/>
                <w:color w:val="auto"/>
              </w:rPr>
            </w:pPr>
            <w:r>
              <w:rPr>
                <w:rFonts w:ascii="Arial" w:cs="Arial" w:eastAsia="Arial" w:hAnsi="Arial"/>
                <w:sz w:val="13"/>
                <w:szCs w:val="13"/>
                <w:b w:val="1"/>
                <w:bCs w:val="1"/>
                <w:color w:val="auto"/>
              </w:rPr>
              <w:t>June 30,</w:t>
            </w:r>
          </w:p>
        </w:tc>
        <w:tc>
          <w:tcPr>
            <w:tcW w:w="820" w:type="dxa"/>
            <w:vAlign w:val="bottom"/>
          </w:tcPr>
          <w:p>
            <w:pPr>
              <w:jc w:val="right"/>
              <w:ind w:right="94"/>
              <w:spacing w:after="0"/>
              <w:rPr>
                <w:sz w:val="20"/>
                <w:szCs w:val="20"/>
                <w:color w:val="auto"/>
              </w:rPr>
            </w:pPr>
            <w:r>
              <w:rPr>
                <w:rFonts w:ascii="Arial" w:cs="Arial" w:eastAsia="Arial" w:hAnsi="Arial"/>
                <w:sz w:val="13"/>
                <w:szCs w:val="13"/>
                <w:b w:val="1"/>
                <w:bCs w:val="1"/>
                <w:color w:val="auto"/>
              </w:rPr>
              <w:t>Sept.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2002</w:t>
            </w:r>
          </w:p>
        </w:tc>
        <w:tc>
          <w:tcPr>
            <w:tcW w:w="8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2002</w:t>
            </w:r>
          </w:p>
        </w:tc>
        <w:tc>
          <w:tcPr>
            <w:tcW w:w="860" w:type="dxa"/>
            <w:vAlign w:val="bottom"/>
          </w:tcPr>
          <w:p>
            <w:pPr>
              <w:jc w:val="right"/>
              <w:ind w:right="234"/>
              <w:spacing w:after="0"/>
              <w:rPr>
                <w:sz w:val="20"/>
                <w:szCs w:val="20"/>
                <w:color w:val="auto"/>
              </w:rPr>
            </w:pPr>
            <w:r>
              <w:rPr>
                <w:rFonts w:ascii="Arial" w:cs="Arial" w:eastAsia="Arial" w:hAnsi="Arial"/>
                <w:sz w:val="13"/>
                <w:szCs w:val="13"/>
                <w:b w:val="1"/>
                <w:bCs w:val="1"/>
                <w:color w:val="auto"/>
              </w:rPr>
              <w:t>2002</w:t>
            </w:r>
          </w:p>
        </w:tc>
        <w:tc>
          <w:tcPr>
            <w:tcW w:w="720" w:type="dxa"/>
            <w:vAlign w:val="bottom"/>
          </w:tcPr>
          <w:p>
            <w:pPr>
              <w:jc w:val="right"/>
              <w:ind w:right="174"/>
              <w:spacing w:after="0"/>
              <w:rPr>
                <w:sz w:val="20"/>
                <w:szCs w:val="20"/>
                <w:color w:val="auto"/>
              </w:rPr>
            </w:pPr>
            <w:r>
              <w:rPr>
                <w:rFonts w:ascii="Arial" w:cs="Arial" w:eastAsia="Arial" w:hAnsi="Arial"/>
                <w:sz w:val="13"/>
                <w:szCs w:val="13"/>
                <w:b w:val="1"/>
                <w:bCs w:val="1"/>
                <w:color w:val="auto"/>
              </w:rPr>
              <w:t>2002</w:t>
            </w:r>
          </w:p>
        </w:tc>
        <w:tc>
          <w:tcPr>
            <w:tcW w:w="8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2003</w:t>
            </w:r>
          </w:p>
        </w:tc>
        <w:tc>
          <w:tcPr>
            <w:tcW w:w="980" w:type="dxa"/>
            <w:vAlign w:val="bottom"/>
          </w:tcPr>
          <w:p>
            <w:pPr>
              <w:jc w:val="right"/>
              <w:ind w:right="334"/>
              <w:spacing w:after="0"/>
              <w:rPr>
                <w:sz w:val="20"/>
                <w:szCs w:val="20"/>
                <w:color w:val="auto"/>
              </w:rPr>
            </w:pPr>
            <w:r>
              <w:rPr>
                <w:rFonts w:ascii="Arial" w:cs="Arial" w:eastAsia="Arial" w:hAnsi="Arial"/>
                <w:sz w:val="13"/>
                <w:szCs w:val="13"/>
                <w:b w:val="1"/>
                <w:bCs w:val="1"/>
                <w:color w:val="auto"/>
              </w:rPr>
              <w:t>2003</w:t>
            </w:r>
          </w:p>
        </w:tc>
        <w:tc>
          <w:tcPr>
            <w:tcW w:w="740" w:type="dxa"/>
            <w:vAlign w:val="bottom"/>
          </w:tcPr>
          <w:p>
            <w:pPr>
              <w:jc w:val="right"/>
              <w:ind w:right="234"/>
              <w:spacing w:after="0"/>
              <w:rPr>
                <w:sz w:val="20"/>
                <w:szCs w:val="20"/>
                <w:color w:val="auto"/>
              </w:rPr>
            </w:pPr>
            <w:r>
              <w:rPr>
                <w:rFonts w:ascii="Arial" w:cs="Arial" w:eastAsia="Arial" w:hAnsi="Arial"/>
                <w:sz w:val="13"/>
                <w:szCs w:val="13"/>
                <w:b w:val="1"/>
                <w:bCs w:val="1"/>
                <w:color w:val="auto"/>
              </w:rPr>
              <w:t>2003</w:t>
            </w:r>
          </w:p>
        </w:tc>
        <w:tc>
          <w:tcPr>
            <w:tcW w:w="740" w:type="dxa"/>
            <w:vAlign w:val="bottom"/>
          </w:tcPr>
          <w:p>
            <w:pPr>
              <w:jc w:val="right"/>
              <w:ind w:right="194"/>
              <w:spacing w:after="0"/>
              <w:rPr>
                <w:sz w:val="20"/>
                <w:szCs w:val="20"/>
                <w:color w:val="auto"/>
              </w:rPr>
            </w:pPr>
            <w:r>
              <w:rPr>
                <w:rFonts w:ascii="Arial" w:cs="Arial" w:eastAsia="Arial" w:hAnsi="Arial"/>
                <w:sz w:val="13"/>
                <w:szCs w:val="13"/>
                <w:b w:val="1"/>
                <w:bCs w:val="1"/>
                <w:color w:val="auto"/>
              </w:rPr>
              <w:t>2003</w:t>
            </w:r>
          </w:p>
        </w:tc>
        <w:tc>
          <w:tcPr>
            <w:tcW w:w="940" w:type="dxa"/>
            <w:vAlign w:val="bottom"/>
          </w:tcPr>
          <w:p>
            <w:pPr>
              <w:jc w:val="right"/>
              <w:ind w:right="314"/>
              <w:spacing w:after="0"/>
              <w:rPr>
                <w:sz w:val="20"/>
                <w:szCs w:val="20"/>
                <w:color w:val="auto"/>
              </w:rPr>
            </w:pPr>
            <w:r>
              <w:rPr>
                <w:rFonts w:ascii="Arial" w:cs="Arial" w:eastAsia="Arial" w:hAnsi="Arial"/>
                <w:sz w:val="13"/>
                <w:szCs w:val="13"/>
                <w:b w:val="1"/>
                <w:bCs w:val="1"/>
                <w:color w:val="auto"/>
              </w:rPr>
              <w:t>2004</w:t>
            </w:r>
          </w:p>
        </w:tc>
        <w:tc>
          <w:tcPr>
            <w:tcW w:w="9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2004</w:t>
            </w:r>
          </w:p>
        </w:tc>
        <w:tc>
          <w:tcPr>
            <w:tcW w:w="820" w:type="dxa"/>
            <w:vAlign w:val="bottom"/>
          </w:tcPr>
          <w:p>
            <w:pPr>
              <w:jc w:val="right"/>
              <w:ind w:right="194"/>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Revenue</w:t>
            </w:r>
          </w:p>
        </w:tc>
        <w:tc>
          <w:tcPr>
            <w:tcW w:w="86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License fees</w:t>
            </w:r>
          </w:p>
        </w:tc>
        <w:tc>
          <w:tcPr>
            <w:tcW w:w="860" w:type="dxa"/>
            <w:vAlign w:val="bottom"/>
          </w:tcPr>
          <w:p>
            <w:pPr>
              <w:jc w:val="right"/>
              <w:ind w:right="74"/>
              <w:spacing w:after="0" w:line="146" w:lineRule="exact"/>
              <w:rPr>
                <w:sz w:val="20"/>
                <w:szCs w:val="20"/>
                <w:color w:val="auto"/>
              </w:rPr>
            </w:pPr>
            <w:r>
              <w:rPr>
                <w:rFonts w:ascii="Arial" w:cs="Arial" w:eastAsia="Arial" w:hAnsi="Arial"/>
                <w:sz w:val="13"/>
                <w:szCs w:val="13"/>
                <w:color w:val="auto"/>
              </w:rPr>
              <w:t>21.1%</w:t>
            </w:r>
          </w:p>
        </w:tc>
        <w:tc>
          <w:tcPr>
            <w:tcW w:w="820" w:type="dxa"/>
            <w:vAlign w:val="bottom"/>
          </w:tcPr>
          <w:p>
            <w:pPr>
              <w:jc w:val="right"/>
              <w:ind w:right="94"/>
              <w:spacing w:after="0" w:line="146" w:lineRule="exact"/>
              <w:rPr>
                <w:sz w:val="20"/>
                <w:szCs w:val="20"/>
                <w:color w:val="auto"/>
              </w:rPr>
            </w:pPr>
            <w:r>
              <w:rPr>
                <w:rFonts w:ascii="Arial" w:cs="Arial" w:eastAsia="Arial" w:hAnsi="Arial"/>
                <w:sz w:val="13"/>
                <w:szCs w:val="13"/>
                <w:color w:val="auto"/>
              </w:rPr>
              <w:t>22.8%</w:t>
            </w:r>
          </w:p>
        </w:tc>
        <w:tc>
          <w:tcPr>
            <w:tcW w:w="860" w:type="dxa"/>
            <w:vAlign w:val="bottom"/>
          </w:tcPr>
          <w:p>
            <w:pPr>
              <w:jc w:val="right"/>
              <w:ind w:right="54"/>
              <w:spacing w:after="0" w:line="146" w:lineRule="exact"/>
              <w:rPr>
                <w:sz w:val="20"/>
                <w:szCs w:val="20"/>
                <w:color w:val="auto"/>
              </w:rPr>
            </w:pPr>
            <w:r>
              <w:rPr>
                <w:rFonts w:ascii="Arial" w:cs="Arial" w:eastAsia="Arial" w:hAnsi="Arial"/>
                <w:sz w:val="13"/>
                <w:szCs w:val="13"/>
                <w:color w:val="auto"/>
              </w:rPr>
              <w:t>17.2%</w:t>
            </w:r>
          </w:p>
        </w:tc>
        <w:tc>
          <w:tcPr>
            <w:tcW w:w="720" w:type="dxa"/>
            <w:vAlign w:val="bottom"/>
          </w:tcPr>
          <w:p>
            <w:pPr>
              <w:jc w:val="right"/>
              <w:ind w:right="74"/>
              <w:spacing w:after="0" w:line="146" w:lineRule="exact"/>
              <w:rPr>
                <w:sz w:val="20"/>
                <w:szCs w:val="20"/>
                <w:color w:val="auto"/>
              </w:rPr>
            </w:pPr>
            <w:r>
              <w:rPr>
                <w:rFonts w:ascii="Arial" w:cs="Arial" w:eastAsia="Arial" w:hAnsi="Arial"/>
                <w:sz w:val="13"/>
                <w:szCs w:val="13"/>
                <w:color w:val="auto"/>
              </w:rPr>
              <w:t>17.3%</w:t>
            </w:r>
          </w:p>
        </w:tc>
        <w:tc>
          <w:tcPr>
            <w:tcW w:w="8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16.5%</w:t>
            </w:r>
          </w:p>
        </w:tc>
        <w:tc>
          <w:tcPr>
            <w:tcW w:w="98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19.0%</w:t>
            </w:r>
          </w:p>
        </w:tc>
        <w:tc>
          <w:tcPr>
            <w:tcW w:w="740" w:type="dxa"/>
            <w:vAlign w:val="bottom"/>
          </w:tcPr>
          <w:p>
            <w:pPr>
              <w:jc w:val="right"/>
              <w:ind w:right="54"/>
              <w:spacing w:after="0" w:line="146" w:lineRule="exact"/>
              <w:rPr>
                <w:sz w:val="20"/>
                <w:szCs w:val="20"/>
                <w:color w:val="auto"/>
              </w:rPr>
            </w:pPr>
            <w:r>
              <w:rPr>
                <w:rFonts w:ascii="Arial" w:cs="Arial" w:eastAsia="Arial" w:hAnsi="Arial"/>
                <w:sz w:val="13"/>
                <w:szCs w:val="13"/>
                <w:color w:val="auto"/>
              </w:rPr>
              <w:t>17.3%</w:t>
            </w:r>
          </w:p>
        </w:tc>
        <w:tc>
          <w:tcPr>
            <w:tcW w:w="740" w:type="dxa"/>
            <w:vAlign w:val="bottom"/>
          </w:tcPr>
          <w:p>
            <w:pPr>
              <w:jc w:val="right"/>
              <w:ind w:right="94"/>
              <w:spacing w:after="0" w:line="146" w:lineRule="exact"/>
              <w:rPr>
                <w:sz w:val="20"/>
                <w:szCs w:val="20"/>
                <w:color w:val="auto"/>
              </w:rPr>
            </w:pPr>
            <w:r>
              <w:rPr>
                <w:rFonts w:ascii="Arial" w:cs="Arial" w:eastAsia="Arial" w:hAnsi="Arial"/>
                <w:sz w:val="13"/>
                <w:szCs w:val="13"/>
                <w:color w:val="auto"/>
              </w:rPr>
              <w:t>19.3%</w:t>
            </w:r>
          </w:p>
        </w:tc>
        <w:tc>
          <w:tcPr>
            <w:tcW w:w="940" w:type="dxa"/>
            <w:vAlign w:val="bottom"/>
          </w:tcPr>
          <w:p>
            <w:pPr>
              <w:jc w:val="right"/>
              <w:ind w:right="114"/>
              <w:spacing w:after="0" w:line="146" w:lineRule="exact"/>
              <w:rPr>
                <w:sz w:val="20"/>
                <w:szCs w:val="20"/>
                <w:color w:val="auto"/>
              </w:rPr>
            </w:pPr>
            <w:r>
              <w:rPr>
                <w:rFonts w:ascii="Arial" w:cs="Arial" w:eastAsia="Arial" w:hAnsi="Arial"/>
                <w:sz w:val="13"/>
                <w:szCs w:val="13"/>
                <w:color w:val="auto"/>
              </w:rPr>
              <w:t>16.2%</w:t>
            </w:r>
          </w:p>
        </w:tc>
        <w:tc>
          <w:tcPr>
            <w:tcW w:w="9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20.6%</w:t>
            </w:r>
          </w:p>
        </w:tc>
        <w:tc>
          <w:tcPr>
            <w:tcW w:w="820" w:type="dxa"/>
            <w:vAlign w:val="bottom"/>
          </w:tcPr>
          <w:p>
            <w:pPr>
              <w:jc w:val="right"/>
              <w:ind w:right="14"/>
              <w:spacing w:after="0" w:line="146" w:lineRule="exact"/>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Services</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22.4</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25.4</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28.4</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25.2</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28.4</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28.9</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31.4</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26.6</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30.4</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31.2</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Maintenance and subscriptions</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51.9</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47.4</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50.4</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51.2</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51.6</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48.2</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48.7</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49.3</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50.3</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45.5</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46.9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Other revenue</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4.6</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4.4</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4.0</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6.4</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3.5</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3.9</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2.6</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4.7</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3.0</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2.7</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Pr>
          <w:p>
            <w:pPr>
              <w:ind w:left="400"/>
              <w:spacing w:after="0"/>
              <w:rPr>
                <w:sz w:val="20"/>
                <w:szCs w:val="20"/>
                <w:color w:val="auto"/>
              </w:rPr>
            </w:pPr>
            <w:r>
              <w:rPr>
                <w:rFonts w:ascii="Arial" w:cs="Arial" w:eastAsia="Arial" w:hAnsi="Arial"/>
                <w:sz w:val="13"/>
                <w:szCs w:val="13"/>
                <w:color w:val="auto"/>
              </w:rPr>
              <w:t>Total revenue</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100.0</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100.0</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100.0</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100.0</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100.0</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100.0</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100.0</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100.0</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Cost of revenue</w:t>
            </w:r>
          </w:p>
        </w:tc>
        <w:tc>
          <w:tcPr>
            <w:tcW w:w="86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Cost of license fees</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2.1</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2.7</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2.3</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2.5</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2.1</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3.0</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2.2</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2.3</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2.3</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2.7</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Cost of services</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13.1</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12.0</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14.2</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14.8</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18.0</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17.4</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17.3</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18.5</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17.2</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16.4</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ind w:left="180"/>
              <w:spacing w:after="0" w:line="137" w:lineRule="exact"/>
              <w:rPr>
                <w:sz w:val="20"/>
                <w:szCs w:val="20"/>
                <w:color w:val="auto"/>
              </w:rPr>
            </w:pPr>
            <w:r>
              <w:rPr>
                <w:rFonts w:ascii="Arial" w:cs="Arial" w:eastAsia="Arial" w:hAnsi="Arial"/>
                <w:sz w:val="13"/>
                <w:szCs w:val="13"/>
                <w:color w:val="auto"/>
              </w:rPr>
              <w:t>Cost of maintenance and</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120" w:type="dxa"/>
            <w:vAlign w:val="bottom"/>
          </w:tcPr>
          <w:p>
            <w:pPr>
              <w:ind w:left="300"/>
              <w:spacing w:after="0"/>
              <w:rPr>
                <w:sz w:val="20"/>
                <w:szCs w:val="20"/>
                <w:color w:val="auto"/>
              </w:rPr>
            </w:pPr>
            <w:r>
              <w:rPr>
                <w:rFonts w:ascii="Arial" w:cs="Arial" w:eastAsia="Arial" w:hAnsi="Arial"/>
                <w:sz w:val="13"/>
                <w:szCs w:val="13"/>
                <w:color w:val="auto"/>
              </w:rPr>
              <w:t>subscriptions</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11.1</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9.9</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9.8</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9.6</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10.4</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10.0</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10.6</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9.2</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8.5</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7.7</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Cost of other revenue</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2.2</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3.0</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3.2</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5.2</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2.9</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3.0</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2.8</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3.8</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2.7</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2.6</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Pr>
          <w:p>
            <w:pPr>
              <w:ind w:left="400"/>
              <w:spacing w:after="0"/>
              <w:rPr>
                <w:sz w:val="20"/>
                <w:szCs w:val="20"/>
                <w:color w:val="auto"/>
              </w:rPr>
            </w:pPr>
            <w:r>
              <w:rPr>
                <w:rFonts w:ascii="Arial" w:cs="Arial" w:eastAsia="Arial" w:hAnsi="Arial"/>
                <w:sz w:val="13"/>
                <w:szCs w:val="13"/>
                <w:color w:val="auto"/>
              </w:rPr>
              <w:t>Total cost of revenue</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28.6</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27.6</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29.4</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32.1</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33.4</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33.3</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32.9</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33.8</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30.7</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29.4</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Gross profit</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71.4</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72.4</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70.6</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67.9</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66.6</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66.7</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67.1</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66.2</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69.3</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70.6</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Sales and marketing</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17.4</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17.1</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18.2</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20.1</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18.5</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18.3</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18.0</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19.3</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20.3</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20.5</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Research and development</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14.9</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13.5</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13.5</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12.9</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13.3</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12.0</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14.2</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13.1</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13.6</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12.5</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General and administrative</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9.4</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9.4</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11.2</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10.4</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10.3</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8.5</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8.9</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9.9</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9.1</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8.6</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Amortization</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2.3</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1.4</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0.2</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0.2</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0.2</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0.3</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2.2</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0.2</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0.1</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Cost of initial public offering</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3.0</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2.0</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Stock option compensation</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19.9</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19.3</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20.1</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20.8</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2.1</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1.5</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120" w:type="dxa"/>
            <w:vAlign w:val="bottom"/>
          </w:tcPr>
          <w:p>
            <w:pPr>
              <w:ind w:left="400"/>
              <w:spacing w:after="0"/>
              <w:rPr>
                <w:sz w:val="20"/>
                <w:szCs w:val="20"/>
                <w:color w:val="auto"/>
              </w:rPr>
            </w:pPr>
            <w:r>
              <w:rPr>
                <w:rFonts w:ascii="Arial" w:cs="Arial" w:eastAsia="Arial" w:hAnsi="Arial"/>
                <w:sz w:val="13"/>
                <w:szCs w:val="13"/>
                <w:color w:val="auto"/>
              </w:rPr>
              <w:t>Total operating expenses</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44.0</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41.5</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43.1</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43.6</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62.2</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58.5</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63.4</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63.3</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48.3</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45.1</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Income from operations</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27.4</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31.1</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27.5</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24.3</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4.4</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8.2</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3.8</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3.0</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21.0</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25.5</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tcPr>
          <w:p>
            <w:pPr>
              <w:ind w:left="180"/>
              <w:spacing w:after="0" w:line="146" w:lineRule="exact"/>
              <w:rPr>
                <w:sz w:val="20"/>
                <w:szCs w:val="20"/>
                <w:color w:val="auto"/>
              </w:rPr>
            </w:pPr>
            <w:r>
              <w:rPr>
                <w:rFonts w:ascii="Arial" w:cs="Arial" w:eastAsia="Arial" w:hAnsi="Arial"/>
                <w:sz w:val="13"/>
                <w:szCs w:val="13"/>
                <w:color w:val="auto"/>
              </w:rPr>
              <w:t>Interest income</w:t>
            </w:r>
          </w:p>
        </w:tc>
        <w:tc>
          <w:tcPr>
            <w:tcW w:w="86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0.1</w:t>
            </w:r>
          </w:p>
        </w:tc>
        <w:tc>
          <w:tcPr>
            <w:tcW w:w="82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0.1</w:t>
            </w:r>
          </w:p>
        </w:tc>
        <w:tc>
          <w:tcPr>
            <w:tcW w:w="86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0.2</w:t>
            </w:r>
          </w:p>
        </w:tc>
        <w:tc>
          <w:tcPr>
            <w:tcW w:w="720" w:type="dxa"/>
            <w:vAlign w:val="bottom"/>
          </w:tcPr>
          <w:p>
            <w:pPr>
              <w:jc w:val="right"/>
              <w:ind w:right="174"/>
              <w:spacing w:after="0" w:line="146" w:lineRule="exact"/>
              <w:rPr>
                <w:sz w:val="20"/>
                <w:szCs w:val="20"/>
                <w:color w:val="auto"/>
              </w:rPr>
            </w:pPr>
            <w:r>
              <w:rPr>
                <w:rFonts w:ascii="Arial" w:cs="Arial" w:eastAsia="Arial" w:hAnsi="Arial"/>
                <w:sz w:val="13"/>
                <w:szCs w:val="13"/>
                <w:color w:val="auto"/>
              </w:rPr>
              <w:t>0.2</w:t>
            </w:r>
          </w:p>
        </w:tc>
        <w:tc>
          <w:tcPr>
            <w:tcW w:w="88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0.1</w:t>
            </w:r>
          </w:p>
        </w:tc>
        <w:tc>
          <w:tcPr>
            <w:tcW w:w="980" w:type="dxa"/>
            <w:vAlign w:val="bottom"/>
          </w:tcPr>
          <w:p>
            <w:pPr>
              <w:jc w:val="right"/>
              <w:ind w:right="314"/>
              <w:spacing w:after="0" w:line="146" w:lineRule="exact"/>
              <w:rPr>
                <w:sz w:val="20"/>
                <w:szCs w:val="20"/>
                <w:color w:val="auto"/>
              </w:rPr>
            </w:pPr>
            <w:r>
              <w:rPr>
                <w:rFonts w:ascii="Arial" w:cs="Arial" w:eastAsia="Arial" w:hAnsi="Arial"/>
                <w:sz w:val="13"/>
                <w:szCs w:val="13"/>
                <w:color w:val="auto"/>
              </w:rPr>
              <w:t>0.1</w:t>
            </w:r>
          </w:p>
        </w:tc>
        <w:tc>
          <w:tcPr>
            <w:tcW w:w="740" w:type="dxa"/>
            <w:vAlign w:val="bottom"/>
          </w:tcPr>
          <w:p>
            <w:pPr>
              <w:jc w:val="right"/>
              <w:ind w:right="154"/>
              <w:spacing w:after="0" w:line="146" w:lineRule="exact"/>
              <w:rPr>
                <w:sz w:val="20"/>
                <w:szCs w:val="20"/>
                <w:color w:val="auto"/>
              </w:rPr>
            </w:pPr>
            <w:r>
              <w:rPr>
                <w:rFonts w:ascii="Arial" w:cs="Arial" w:eastAsia="Arial" w:hAnsi="Arial"/>
                <w:sz w:val="13"/>
                <w:szCs w:val="13"/>
                <w:color w:val="auto"/>
              </w:rPr>
              <w:t>0.1</w:t>
            </w:r>
          </w:p>
        </w:tc>
        <w:tc>
          <w:tcPr>
            <w:tcW w:w="740" w:type="dxa"/>
            <w:vAlign w:val="bottom"/>
          </w:tcPr>
          <w:p>
            <w:pPr>
              <w:jc w:val="right"/>
              <w:ind w:right="194"/>
              <w:spacing w:after="0" w:line="146" w:lineRule="exact"/>
              <w:rPr>
                <w:sz w:val="20"/>
                <w:szCs w:val="20"/>
                <w:color w:val="auto"/>
              </w:rPr>
            </w:pPr>
            <w:r>
              <w:rPr>
                <w:rFonts w:ascii="Arial" w:cs="Arial" w:eastAsia="Arial" w:hAnsi="Arial"/>
                <w:sz w:val="13"/>
                <w:szCs w:val="13"/>
                <w:color w:val="auto"/>
              </w:rPr>
              <w:t>0.1</w:t>
            </w:r>
          </w:p>
        </w:tc>
        <w:tc>
          <w:tcPr>
            <w:tcW w:w="940" w:type="dxa"/>
            <w:vAlign w:val="bottom"/>
          </w:tcPr>
          <w:p>
            <w:pPr>
              <w:jc w:val="right"/>
              <w:ind w:right="214"/>
              <w:spacing w:after="0" w:line="146" w:lineRule="exact"/>
              <w:rPr>
                <w:sz w:val="20"/>
                <w:szCs w:val="20"/>
                <w:color w:val="auto"/>
              </w:rPr>
            </w:pPr>
            <w:r>
              <w:rPr>
                <w:rFonts w:ascii="Arial" w:cs="Arial" w:eastAsia="Arial" w:hAnsi="Arial"/>
                <w:sz w:val="13"/>
                <w:szCs w:val="13"/>
                <w:color w:val="auto"/>
              </w:rPr>
              <w:t>0.1</w:t>
            </w:r>
          </w:p>
        </w:tc>
        <w:tc>
          <w:tcPr>
            <w:tcW w:w="920" w:type="dxa"/>
            <w:vAlign w:val="bottom"/>
          </w:tcPr>
          <w:p>
            <w:pPr>
              <w:jc w:val="right"/>
              <w:ind w:right="234"/>
              <w:spacing w:after="0" w:line="146" w:lineRule="exact"/>
              <w:rPr>
                <w:sz w:val="20"/>
                <w:szCs w:val="20"/>
                <w:color w:val="auto"/>
              </w:rPr>
            </w:pPr>
            <w:r>
              <w:rPr>
                <w:rFonts w:ascii="Arial" w:cs="Arial" w:eastAsia="Arial" w:hAnsi="Arial"/>
                <w:sz w:val="13"/>
                <w:szCs w:val="13"/>
                <w:color w:val="auto"/>
              </w:rPr>
              <w:t>0.1</w:t>
            </w:r>
          </w:p>
        </w:tc>
        <w:tc>
          <w:tcPr>
            <w:tcW w:w="820" w:type="dxa"/>
            <w:vAlign w:val="bottom"/>
          </w:tcPr>
          <w:p>
            <w:pPr>
              <w:jc w:val="right"/>
              <w:ind w:right="134"/>
              <w:spacing w:after="0" w:line="146"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120" w:type="dxa"/>
            <w:vAlign w:val="bottom"/>
            <w:shd w:val="clear" w:color="auto" w:fill="EEEEEE"/>
          </w:tcPr>
          <w:p>
            <w:pPr>
              <w:ind w:left="180"/>
              <w:spacing w:after="0" w:line="146" w:lineRule="exact"/>
              <w:rPr>
                <w:sz w:val="20"/>
                <w:szCs w:val="20"/>
                <w:color w:val="auto"/>
              </w:rPr>
            </w:pPr>
            <w:r>
              <w:rPr>
                <w:rFonts w:ascii="Arial" w:cs="Arial" w:eastAsia="Arial" w:hAnsi="Arial"/>
                <w:sz w:val="13"/>
                <w:szCs w:val="13"/>
                <w:color w:val="auto"/>
              </w:rPr>
              <w:t>Interest expense</w:t>
            </w:r>
          </w:p>
        </w:tc>
        <w:tc>
          <w:tcPr>
            <w:tcW w:w="86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(4.6)</w:t>
            </w:r>
          </w:p>
        </w:tc>
        <w:tc>
          <w:tcPr>
            <w:tcW w:w="82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(3.8)</w:t>
            </w:r>
          </w:p>
        </w:tc>
        <w:tc>
          <w:tcPr>
            <w:tcW w:w="86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(3.6)</w:t>
            </w:r>
          </w:p>
        </w:tc>
        <w:tc>
          <w:tcPr>
            <w:tcW w:w="720" w:type="dxa"/>
            <w:vAlign w:val="bottom"/>
            <w:shd w:val="clear" w:color="auto" w:fill="EEEEEE"/>
          </w:tcPr>
          <w:p>
            <w:pPr>
              <w:jc w:val="right"/>
              <w:ind w:right="174"/>
              <w:spacing w:after="0" w:line="146" w:lineRule="exact"/>
              <w:rPr>
                <w:sz w:val="20"/>
                <w:szCs w:val="20"/>
                <w:color w:val="auto"/>
              </w:rPr>
            </w:pPr>
            <w:r>
              <w:rPr>
                <w:rFonts w:ascii="Arial" w:cs="Arial" w:eastAsia="Arial" w:hAnsi="Arial"/>
                <w:sz w:val="13"/>
                <w:szCs w:val="13"/>
                <w:color w:val="auto"/>
              </w:rPr>
              <w:t>(4.8)</w:t>
            </w:r>
          </w:p>
        </w:tc>
        <w:tc>
          <w:tcPr>
            <w:tcW w:w="88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(3.2)</w:t>
            </w:r>
          </w:p>
        </w:tc>
        <w:tc>
          <w:tcPr>
            <w:tcW w:w="98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(2.5)</w:t>
            </w:r>
          </w:p>
        </w:tc>
        <w:tc>
          <w:tcPr>
            <w:tcW w:w="74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(2.0)</w:t>
            </w:r>
          </w:p>
        </w:tc>
        <w:tc>
          <w:tcPr>
            <w:tcW w:w="740" w:type="dxa"/>
            <w:vAlign w:val="bottom"/>
            <w:shd w:val="clear" w:color="auto" w:fill="EEEEEE"/>
          </w:tcPr>
          <w:p>
            <w:pPr>
              <w:jc w:val="right"/>
              <w:ind w:right="194"/>
              <w:spacing w:after="0" w:line="146" w:lineRule="exact"/>
              <w:rPr>
                <w:sz w:val="20"/>
                <w:szCs w:val="20"/>
                <w:color w:val="auto"/>
              </w:rPr>
            </w:pPr>
            <w:r>
              <w:rPr>
                <w:rFonts w:ascii="Arial" w:cs="Arial" w:eastAsia="Arial" w:hAnsi="Arial"/>
                <w:sz w:val="13"/>
                <w:szCs w:val="13"/>
                <w:color w:val="auto"/>
              </w:rPr>
              <w:t>(1.1)</w:t>
            </w:r>
          </w:p>
        </w:tc>
        <w:tc>
          <w:tcPr>
            <w:tcW w:w="94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(0.7)</w:t>
            </w:r>
          </w:p>
        </w:tc>
        <w:tc>
          <w:tcPr>
            <w:tcW w:w="920" w:type="dxa"/>
            <w:vAlign w:val="bottom"/>
            <w:shd w:val="clear" w:color="auto" w:fill="EEEEEE"/>
          </w:tcPr>
          <w:p>
            <w:pPr>
              <w:jc w:val="right"/>
              <w:ind w:right="234"/>
              <w:spacing w:after="0" w:line="146" w:lineRule="exact"/>
              <w:rPr>
                <w:sz w:val="20"/>
                <w:szCs w:val="20"/>
                <w:color w:val="auto"/>
              </w:rPr>
            </w:pPr>
            <w:r>
              <w:rPr>
                <w:rFonts w:ascii="Arial" w:cs="Arial" w:eastAsia="Arial" w:hAnsi="Arial"/>
                <w:sz w:val="13"/>
                <w:szCs w:val="13"/>
                <w:color w:val="auto"/>
              </w:rPr>
              <w:t>(0.1)</w:t>
            </w:r>
          </w:p>
        </w:tc>
        <w:tc>
          <w:tcPr>
            <w:tcW w:w="8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Arial" w:cs="Arial" w:eastAsia="Arial" w:hAnsi="Arial"/>
                <w:sz w:val="13"/>
                <w:szCs w:val="13"/>
                <w:color w:val="auto"/>
              </w:rPr>
              <w:t>Other income (expense), net</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0.2</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0.1</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0.3</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(0.7)</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1.1</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1.1</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12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Income before provision for</w:t>
            </w:r>
          </w:p>
        </w:tc>
        <w:tc>
          <w:tcPr>
            <w:tcW w:w="86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98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12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income taxes</w:t>
            </w:r>
          </w:p>
        </w:tc>
        <w:tc>
          <w:tcPr>
            <w:tcW w:w="860" w:type="dxa"/>
            <w:vAlign w:val="bottom"/>
            <w:shd w:val="clear" w:color="auto" w:fill="EEEEEE"/>
          </w:tcPr>
          <w:p>
            <w:pPr>
              <w:jc w:val="right"/>
              <w:ind w:right="194"/>
              <w:spacing w:after="0"/>
              <w:rPr>
                <w:sz w:val="20"/>
                <w:szCs w:val="20"/>
                <w:color w:val="auto"/>
              </w:rPr>
            </w:pPr>
            <w:r>
              <w:rPr>
                <w:rFonts w:ascii="Arial" w:cs="Arial" w:eastAsia="Arial" w:hAnsi="Arial"/>
                <w:sz w:val="13"/>
                <w:szCs w:val="13"/>
                <w:color w:val="auto"/>
              </w:rPr>
              <w:t>22.9</w:t>
            </w:r>
          </w:p>
        </w:tc>
        <w:tc>
          <w:tcPr>
            <w:tcW w:w="820" w:type="dxa"/>
            <w:vAlign w:val="bottom"/>
            <w:shd w:val="clear" w:color="auto" w:fill="EEEEEE"/>
          </w:tcPr>
          <w:p>
            <w:pPr>
              <w:jc w:val="right"/>
              <w:ind w:right="194"/>
              <w:spacing w:after="0"/>
              <w:rPr>
                <w:sz w:val="20"/>
                <w:szCs w:val="20"/>
                <w:color w:val="auto"/>
              </w:rPr>
            </w:pPr>
            <w:r>
              <w:rPr>
                <w:rFonts w:ascii="Arial" w:cs="Arial" w:eastAsia="Arial" w:hAnsi="Arial"/>
                <w:sz w:val="13"/>
                <w:szCs w:val="13"/>
                <w:color w:val="auto"/>
              </w:rPr>
              <w:t>27.4</w:t>
            </w:r>
          </w:p>
        </w:tc>
        <w:tc>
          <w:tcPr>
            <w:tcW w:w="86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24.1</w:t>
            </w:r>
          </w:p>
        </w:tc>
        <w:tc>
          <w:tcPr>
            <w:tcW w:w="720" w:type="dxa"/>
            <w:vAlign w:val="bottom"/>
            <w:shd w:val="clear" w:color="auto" w:fill="EEEEEE"/>
          </w:tcPr>
          <w:p>
            <w:pPr>
              <w:jc w:val="right"/>
              <w:ind w:right="174"/>
              <w:spacing w:after="0"/>
              <w:rPr>
                <w:sz w:val="20"/>
                <w:szCs w:val="20"/>
                <w:color w:val="auto"/>
              </w:rPr>
            </w:pPr>
            <w:r>
              <w:rPr>
                <w:rFonts w:ascii="Arial" w:cs="Arial" w:eastAsia="Arial" w:hAnsi="Arial"/>
                <w:sz w:val="13"/>
                <w:szCs w:val="13"/>
                <w:color w:val="auto"/>
              </w:rPr>
              <w:t>19.9</w:t>
            </w:r>
          </w:p>
        </w:tc>
        <w:tc>
          <w:tcPr>
            <w:tcW w:w="88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1.4</w:t>
            </w:r>
          </w:p>
        </w:tc>
        <w:tc>
          <w:tcPr>
            <w:tcW w:w="98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6.0</w:t>
            </w:r>
          </w:p>
        </w:tc>
        <w:tc>
          <w:tcPr>
            <w:tcW w:w="74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1.2</w:t>
            </w:r>
          </w:p>
        </w:tc>
        <w:tc>
          <w:tcPr>
            <w:tcW w:w="740" w:type="dxa"/>
            <w:vAlign w:val="bottom"/>
            <w:shd w:val="clear" w:color="auto" w:fill="EEEEEE"/>
          </w:tcPr>
          <w:p>
            <w:pPr>
              <w:jc w:val="right"/>
              <w:ind w:right="194"/>
              <w:spacing w:after="0"/>
              <w:rPr>
                <w:sz w:val="20"/>
                <w:szCs w:val="20"/>
                <w:color w:val="auto"/>
              </w:rPr>
            </w:pPr>
            <w:r>
              <w:rPr>
                <w:rFonts w:ascii="Arial" w:cs="Arial" w:eastAsia="Arial" w:hAnsi="Arial"/>
                <w:sz w:val="13"/>
                <w:szCs w:val="13"/>
                <w:color w:val="auto"/>
              </w:rPr>
              <w:t>3.0</w:t>
            </w:r>
          </w:p>
        </w:tc>
        <w:tc>
          <w:tcPr>
            <w:tcW w:w="940" w:type="dxa"/>
            <w:vAlign w:val="bottom"/>
            <w:shd w:val="clear" w:color="auto" w:fill="EEEEEE"/>
          </w:tcPr>
          <w:p>
            <w:pPr>
              <w:jc w:val="right"/>
              <w:ind w:right="214"/>
              <w:spacing w:after="0"/>
              <w:rPr>
                <w:sz w:val="20"/>
                <w:szCs w:val="20"/>
                <w:color w:val="auto"/>
              </w:rPr>
            </w:pPr>
            <w:r>
              <w:rPr>
                <w:rFonts w:ascii="Arial" w:cs="Arial" w:eastAsia="Arial" w:hAnsi="Arial"/>
                <w:sz w:val="13"/>
                <w:szCs w:val="13"/>
                <w:color w:val="auto"/>
              </w:rPr>
              <w:t>21.5</w:t>
            </w:r>
          </w:p>
        </w:tc>
        <w:tc>
          <w:tcPr>
            <w:tcW w:w="920" w:type="dxa"/>
            <w:vAlign w:val="bottom"/>
            <w:shd w:val="clear" w:color="auto" w:fill="EEEEEE"/>
          </w:tcPr>
          <w:p>
            <w:pPr>
              <w:jc w:val="right"/>
              <w:ind w:right="234"/>
              <w:spacing w:after="0"/>
              <w:rPr>
                <w:sz w:val="20"/>
                <w:szCs w:val="20"/>
                <w:color w:val="auto"/>
              </w:rPr>
            </w:pPr>
            <w:r>
              <w:rPr>
                <w:rFonts w:ascii="Arial" w:cs="Arial" w:eastAsia="Arial" w:hAnsi="Arial"/>
                <w:sz w:val="13"/>
                <w:szCs w:val="13"/>
                <w:color w:val="auto"/>
              </w:rPr>
              <w:t>25.5</w:t>
            </w:r>
          </w:p>
        </w:tc>
        <w:tc>
          <w:tcPr>
            <w:tcW w:w="820" w:type="dxa"/>
            <w:vAlign w:val="bottom"/>
            <w:shd w:val="clear" w:color="auto" w:fill="EEEEEE"/>
          </w:tcPr>
          <w:p>
            <w:pPr>
              <w:jc w:val="right"/>
              <w:ind w:right="134"/>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Arial" w:cs="Arial" w:eastAsia="Arial" w:hAnsi="Arial"/>
                <w:sz w:val="13"/>
                <w:szCs w:val="13"/>
                <w:color w:val="auto"/>
              </w:rPr>
              <w:t>Income tax provision</w:t>
            </w:r>
          </w:p>
        </w:tc>
        <w:tc>
          <w:tcPr>
            <w:tcW w:w="860" w:type="dxa"/>
            <w:vAlign w:val="bottom"/>
          </w:tcPr>
          <w:p>
            <w:pPr>
              <w:jc w:val="right"/>
              <w:ind w:right="194"/>
              <w:spacing w:after="0"/>
              <w:rPr>
                <w:sz w:val="20"/>
                <w:szCs w:val="20"/>
                <w:color w:val="auto"/>
              </w:rPr>
            </w:pPr>
            <w:r>
              <w:rPr>
                <w:rFonts w:ascii="Arial" w:cs="Arial" w:eastAsia="Arial" w:hAnsi="Arial"/>
                <w:sz w:val="13"/>
                <w:szCs w:val="13"/>
                <w:color w:val="auto"/>
              </w:rPr>
              <w:t>8.5</w:t>
            </w:r>
          </w:p>
        </w:tc>
        <w:tc>
          <w:tcPr>
            <w:tcW w:w="820" w:type="dxa"/>
            <w:vAlign w:val="bottom"/>
          </w:tcPr>
          <w:p>
            <w:pPr>
              <w:jc w:val="right"/>
              <w:ind w:right="194"/>
              <w:spacing w:after="0"/>
              <w:rPr>
                <w:sz w:val="20"/>
                <w:szCs w:val="20"/>
                <w:color w:val="auto"/>
              </w:rPr>
            </w:pPr>
            <w:r>
              <w:rPr>
                <w:rFonts w:ascii="Arial" w:cs="Arial" w:eastAsia="Arial" w:hAnsi="Arial"/>
                <w:sz w:val="13"/>
                <w:szCs w:val="13"/>
                <w:color w:val="auto"/>
              </w:rPr>
              <w:t>10.1</w:t>
            </w:r>
          </w:p>
        </w:tc>
        <w:tc>
          <w:tcPr>
            <w:tcW w:w="860" w:type="dxa"/>
            <w:vAlign w:val="bottom"/>
          </w:tcPr>
          <w:p>
            <w:pPr>
              <w:jc w:val="right"/>
              <w:ind w:right="154"/>
              <w:spacing w:after="0"/>
              <w:rPr>
                <w:sz w:val="20"/>
                <w:szCs w:val="20"/>
                <w:color w:val="auto"/>
              </w:rPr>
            </w:pPr>
            <w:r>
              <w:rPr>
                <w:rFonts w:ascii="Arial" w:cs="Arial" w:eastAsia="Arial" w:hAnsi="Arial"/>
                <w:sz w:val="13"/>
                <w:szCs w:val="13"/>
                <w:color w:val="auto"/>
              </w:rPr>
              <w:t>8.8</w:t>
            </w:r>
          </w:p>
        </w:tc>
        <w:tc>
          <w:tcPr>
            <w:tcW w:w="720" w:type="dxa"/>
            <w:vAlign w:val="bottom"/>
          </w:tcPr>
          <w:p>
            <w:pPr>
              <w:jc w:val="right"/>
              <w:ind w:right="174"/>
              <w:spacing w:after="0"/>
              <w:rPr>
                <w:sz w:val="20"/>
                <w:szCs w:val="20"/>
                <w:color w:val="auto"/>
              </w:rPr>
            </w:pPr>
            <w:r>
              <w:rPr>
                <w:rFonts w:ascii="Arial" w:cs="Arial" w:eastAsia="Arial" w:hAnsi="Arial"/>
                <w:sz w:val="13"/>
                <w:szCs w:val="13"/>
                <w:color w:val="auto"/>
              </w:rPr>
              <w:t>7.4</w:t>
            </w:r>
          </w:p>
        </w:tc>
        <w:tc>
          <w:tcPr>
            <w:tcW w:w="880" w:type="dxa"/>
            <w:vAlign w:val="bottom"/>
          </w:tcPr>
          <w:p>
            <w:pPr>
              <w:jc w:val="right"/>
              <w:ind w:right="154"/>
              <w:spacing w:after="0"/>
              <w:rPr>
                <w:sz w:val="20"/>
                <w:szCs w:val="20"/>
                <w:color w:val="auto"/>
              </w:rPr>
            </w:pPr>
            <w:r>
              <w:rPr>
                <w:rFonts w:ascii="Arial" w:cs="Arial" w:eastAsia="Arial" w:hAnsi="Arial"/>
                <w:sz w:val="13"/>
                <w:szCs w:val="13"/>
                <w:color w:val="auto"/>
              </w:rPr>
              <w:t>1.5</w:t>
            </w:r>
          </w:p>
        </w:tc>
        <w:tc>
          <w:tcPr>
            <w:tcW w:w="980" w:type="dxa"/>
            <w:vAlign w:val="bottom"/>
          </w:tcPr>
          <w:p>
            <w:pPr>
              <w:jc w:val="right"/>
              <w:ind w:right="314"/>
              <w:spacing w:after="0"/>
              <w:rPr>
                <w:sz w:val="20"/>
                <w:szCs w:val="20"/>
                <w:color w:val="auto"/>
              </w:rPr>
            </w:pPr>
            <w:r>
              <w:rPr>
                <w:rFonts w:ascii="Arial" w:cs="Arial" w:eastAsia="Arial" w:hAnsi="Arial"/>
                <w:sz w:val="13"/>
                <w:szCs w:val="13"/>
                <w:color w:val="auto"/>
              </w:rPr>
              <w:t>6.8</w:t>
            </w:r>
          </w:p>
        </w:tc>
        <w:tc>
          <w:tcPr>
            <w:tcW w:w="740" w:type="dxa"/>
            <w:vAlign w:val="bottom"/>
          </w:tcPr>
          <w:p>
            <w:pPr>
              <w:jc w:val="right"/>
              <w:ind w:right="154"/>
              <w:spacing w:after="0"/>
              <w:rPr>
                <w:sz w:val="20"/>
                <w:szCs w:val="20"/>
                <w:color w:val="auto"/>
              </w:rPr>
            </w:pPr>
            <w:r>
              <w:rPr>
                <w:rFonts w:ascii="Arial" w:cs="Arial" w:eastAsia="Arial" w:hAnsi="Arial"/>
                <w:sz w:val="13"/>
                <w:szCs w:val="13"/>
                <w:color w:val="auto"/>
              </w:rPr>
              <w:t>1.4</w:t>
            </w:r>
          </w:p>
        </w:tc>
        <w:tc>
          <w:tcPr>
            <w:tcW w:w="740" w:type="dxa"/>
            <w:vAlign w:val="bottom"/>
          </w:tcPr>
          <w:p>
            <w:pPr>
              <w:jc w:val="right"/>
              <w:ind w:right="194"/>
              <w:spacing w:after="0"/>
              <w:rPr>
                <w:sz w:val="20"/>
                <w:szCs w:val="20"/>
                <w:color w:val="auto"/>
              </w:rPr>
            </w:pPr>
            <w:r>
              <w:rPr>
                <w:rFonts w:ascii="Arial" w:cs="Arial" w:eastAsia="Arial" w:hAnsi="Arial"/>
                <w:sz w:val="13"/>
                <w:szCs w:val="13"/>
                <w:color w:val="auto"/>
              </w:rPr>
              <w:t>3.5</w:t>
            </w:r>
          </w:p>
        </w:tc>
        <w:tc>
          <w:tcPr>
            <w:tcW w:w="940" w:type="dxa"/>
            <w:vAlign w:val="bottom"/>
          </w:tcPr>
          <w:p>
            <w:pPr>
              <w:jc w:val="right"/>
              <w:ind w:right="214"/>
              <w:spacing w:after="0"/>
              <w:rPr>
                <w:sz w:val="20"/>
                <w:szCs w:val="20"/>
                <w:color w:val="auto"/>
              </w:rPr>
            </w:pPr>
            <w:r>
              <w:rPr>
                <w:rFonts w:ascii="Arial" w:cs="Arial" w:eastAsia="Arial" w:hAnsi="Arial"/>
                <w:sz w:val="13"/>
                <w:szCs w:val="13"/>
                <w:color w:val="auto"/>
              </w:rPr>
              <w:t>8.8</w:t>
            </w:r>
          </w:p>
        </w:tc>
        <w:tc>
          <w:tcPr>
            <w:tcW w:w="920" w:type="dxa"/>
            <w:vAlign w:val="bottom"/>
          </w:tcPr>
          <w:p>
            <w:pPr>
              <w:jc w:val="right"/>
              <w:ind w:right="234"/>
              <w:spacing w:after="0"/>
              <w:rPr>
                <w:sz w:val="20"/>
                <w:szCs w:val="20"/>
                <w:color w:val="auto"/>
              </w:rPr>
            </w:pPr>
            <w:r>
              <w:rPr>
                <w:rFonts w:ascii="Arial" w:cs="Arial" w:eastAsia="Arial" w:hAnsi="Arial"/>
                <w:sz w:val="13"/>
                <w:szCs w:val="13"/>
                <w:color w:val="auto"/>
              </w:rPr>
              <w:t>10.4</w:t>
            </w:r>
          </w:p>
        </w:tc>
        <w:tc>
          <w:tcPr>
            <w:tcW w:w="820" w:type="dxa"/>
            <w:vAlign w:val="bottom"/>
          </w:tcPr>
          <w:p>
            <w:pPr>
              <w:jc w:val="right"/>
              <w:ind w:right="134"/>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12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Net income (loss)</w:t>
            </w:r>
          </w:p>
        </w:tc>
        <w:tc>
          <w:tcPr>
            <w:tcW w:w="860" w:type="dxa"/>
            <w:vAlign w:val="bottom"/>
            <w:shd w:val="clear" w:color="auto" w:fill="EEEEEE"/>
          </w:tcPr>
          <w:p>
            <w:pPr>
              <w:jc w:val="right"/>
              <w:ind w:right="74"/>
              <w:spacing w:after="0" w:line="146" w:lineRule="exact"/>
              <w:rPr>
                <w:sz w:val="20"/>
                <w:szCs w:val="20"/>
                <w:color w:val="auto"/>
              </w:rPr>
            </w:pPr>
            <w:r>
              <w:rPr>
                <w:rFonts w:ascii="Arial" w:cs="Arial" w:eastAsia="Arial" w:hAnsi="Arial"/>
                <w:sz w:val="13"/>
                <w:szCs w:val="13"/>
                <w:color w:val="auto"/>
              </w:rPr>
              <w:t>14.4%</w:t>
            </w:r>
          </w:p>
        </w:tc>
        <w:tc>
          <w:tcPr>
            <w:tcW w:w="82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17.3%</w:t>
            </w:r>
          </w:p>
        </w:tc>
        <w:tc>
          <w:tcPr>
            <w:tcW w:w="86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15.3%</w:t>
            </w:r>
          </w:p>
        </w:tc>
        <w:tc>
          <w:tcPr>
            <w:tcW w:w="720" w:type="dxa"/>
            <w:vAlign w:val="bottom"/>
            <w:shd w:val="clear" w:color="auto" w:fill="EEEEEE"/>
          </w:tcPr>
          <w:p>
            <w:pPr>
              <w:jc w:val="right"/>
              <w:ind w:right="74"/>
              <w:spacing w:after="0" w:line="146" w:lineRule="exact"/>
              <w:rPr>
                <w:sz w:val="20"/>
                <w:szCs w:val="20"/>
                <w:color w:val="auto"/>
              </w:rPr>
            </w:pPr>
            <w:r>
              <w:rPr>
                <w:rFonts w:ascii="Arial" w:cs="Arial" w:eastAsia="Arial" w:hAnsi="Arial"/>
                <w:sz w:val="13"/>
                <w:szCs w:val="13"/>
                <w:color w:val="auto"/>
              </w:rPr>
              <w:t>12.5%</w:t>
            </w:r>
          </w:p>
        </w:tc>
        <w:tc>
          <w:tcPr>
            <w:tcW w:w="880" w:type="dxa"/>
            <w:vAlign w:val="bottom"/>
            <w:shd w:val="clear" w:color="auto" w:fill="EEEEEE"/>
          </w:tcPr>
          <w:p>
            <w:pPr>
              <w:jc w:val="right"/>
              <w:ind w:right="34"/>
              <w:spacing w:after="0" w:line="146" w:lineRule="exact"/>
              <w:rPr>
                <w:sz w:val="20"/>
                <w:szCs w:val="20"/>
                <w:color w:val="auto"/>
              </w:rPr>
            </w:pPr>
            <w:r>
              <w:rPr>
                <w:rFonts w:ascii="Arial" w:cs="Arial" w:eastAsia="Arial" w:hAnsi="Arial"/>
                <w:sz w:val="13"/>
                <w:szCs w:val="13"/>
                <w:color w:val="auto"/>
              </w:rPr>
              <w:t>(0.2)%</w:t>
            </w:r>
          </w:p>
        </w:tc>
        <w:tc>
          <w:tcPr>
            <w:tcW w:w="980" w:type="dxa"/>
            <w:vAlign w:val="bottom"/>
            <w:shd w:val="clear" w:color="auto" w:fill="EEEEEE"/>
          </w:tcPr>
          <w:p>
            <w:pPr>
              <w:jc w:val="right"/>
              <w:ind w:right="214"/>
              <w:spacing w:after="0" w:line="146" w:lineRule="exact"/>
              <w:rPr>
                <w:sz w:val="20"/>
                <w:szCs w:val="20"/>
                <w:color w:val="auto"/>
              </w:rPr>
            </w:pPr>
            <w:r>
              <w:rPr>
                <w:rFonts w:ascii="Arial" w:cs="Arial" w:eastAsia="Arial" w:hAnsi="Arial"/>
                <w:sz w:val="13"/>
                <w:szCs w:val="13"/>
                <w:color w:val="auto"/>
              </w:rPr>
              <w:t>(0.8)%</w:t>
            </w:r>
          </w:p>
        </w:tc>
        <w:tc>
          <w:tcPr>
            <w:tcW w:w="740" w:type="dxa"/>
            <w:vAlign w:val="bottom"/>
            <w:shd w:val="clear" w:color="auto" w:fill="EEEEEE"/>
          </w:tcPr>
          <w:p>
            <w:pPr>
              <w:jc w:val="right"/>
              <w:ind w:right="54"/>
              <w:spacing w:after="0" w:line="146" w:lineRule="exact"/>
              <w:rPr>
                <w:sz w:val="20"/>
                <w:szCs w:val="20"/>
                <w:color w:val="auto"/>
              </w:rPr>
            </w:pPr>
            <w:r>
              <w:rPr>
                <w:rFonts w:ascii="Arial" w:cs="Arial" w:eastAsia="Arial" w:hAnsi="Arial"/>
                <w:sz w:val="13"/>
                <w:szCs w:val="13"/>
                <w:color w:val="auto"/>
              </w:rPr>
              <w:t>(0.2)%</w:t>
            </w:r>
          </w:p>
        </w:tc>
        <w:tc>
          <w:tcPr>
            <w:tcW w:w="74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(0.4)%</w:t>
            </w:r>
          </w:p>
        </w:tc>
        <w:tc>
          <w:tcPr>
            <w:tcW w:w="940" w:type="dxa"/>
            <w:vAlign w:val="bottom"/>
            <w:shd w:val="clear" w:color="auto" w:fill="EEEEEE"/>
          </w:tcPr>
          <w:p>
            <w:pPr>
              <w:jc w:val="right"/>
              <w:ind w:right="114"/>
              <w:spacing w:after="0" w:line="146" w:lineRule="exact"/>
              <w:rPr>
                <w:sz w:val="20"/>
                <w:szCs w:val="20"/>
                <w:color w:val="auto"/>
              </w:rPr>
            </w:pPr>
            <w:r>
              <w:rPr>
                <w:rFonts w:ascii="Arial" w:cs="Arial" w:eastAsia="Arial" w:hAnsi="Arial"/>
                <w:sz w:val="13"/>
                <w:szCs w:val="13"/>
                <w:color w:val="auto"/>
              </w:rPr>
              <w:t>12.7%</w:t>
            </w:r>
          </w:p>
        </w:tc>
        <w:tc>
          <w:tcPr>
            <w:tcW w:w="920" w:type="dxa"/>
            <w:vAlign w:val="bottom"/>
            <w:shd w:val="clear" w:color="auto" w:fill="EEEEEE"/>
          </w:tcPr>
          <w:p>
            <w:pPr>
              <w:jc w:val="right"/>
              <w:ind w:right="134"/>
              <w:spacing w:after="0" w:line="146" w:lineRule="exact"/>
              <w:rPr>
                <w:sz w:val="20"/>
                <w:szCs w:val="20"/>
                <w:color w:val="auto"/>
              </w:rPr>
            </w:pPr>
            <w:r>
              <w:rPr>
                <w:rFonts w:ascii="Arial" w:cs="Arial" w:eastAsia="Arial" w:hAnsi="Arial"/>
                <w:sz w:val="13"/>
                <w:szCs w:val="13"/>
                <w:color w:val="auto"/>
              </w:rPr>
              <w:t>15.1%</w:t>
            </w:r>
          </w:p>
        </w:tc>
        <w:tc>
          <w:tcPr>
            <w:tcW w:w="820" w:type="dxa"/>
            <w:vAlign w:val="bottom"/>
            <w:shd w:val="clear" w:color="auto" w:fill="EEEEEE"/>
          </w:tcPr>
          <w:p>
            <w:pPr>
              <w:jc w:val="right"/>
              <w:ind w:right="14"/>
              <w:spacing w:after="0" w:line="146" w:lineRule="exact"/>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860" w:type="dxa"/>
            <w:vAlign w:val="bottom"/>
            <w:tcBorders>
              <w:bottom w:val="single" w:sz="8" w:color="808080"/>
            </w:tcBorders>
          </w:tcPr>
          <w:p>
            <w:pPr>
              <w:spacing w:after="0"/>
              <w:rPr>
                <w:sz w:val="12"/>
                <w:szCs w:val="12"/>
                <w:color w:val="auto"/>
              </w:rPr>
            </w:pPr>
          </w:p>
        </w:tc>
        <w:tc>
          <w:tcPr>
            <w:tcW w:w="72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94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8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-37465</wp:posOffset>
            </wp:positionV>
            <wp:extent cx="127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-37465</wp:posOffset>
            </wp:positionV>
            <wp:extent cx="127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4"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At September 30, 2004, cash and cash equivalents totaled $33.4 million, compared to $6.7 million at December 31, 2003. The increase in cash and cash equivalents in the first nine months of 2004 is principally the result of cash generated from operations of $33.3 million reduced by $1.7 million in capital spending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$5.3 million in principal payments on debt, capital leases and payment of deferred financing fees offset slightly by proceeds from the exercise of stock options.</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On September 30, 2004, we closed a new $30.0 million revolving credit facility, which replaces our prior $15.0 million revolving credit facility that was terminated in July 2004. Amounts borrowed under this facility are available for working capital and general corporate purposes. No amounts were drawn down under the facility at closing and there is no outstanding balance thereunder as of the date of this filing. Amounts borrowed under the new $30.0 million revolving credit facility bear interest, at our option, at a variable rate based on either the prime rate, federal funds rate or LIBOR plus a margin of between 0.5% and 2.0% based on our consolidated leverage ratio. Amounts outstanding under the new facility are not secured by a lien on our assets, but are guaranteed by our operating subsidiary and the facility is subject to restrictions on certain types of transactions and certain covenants including a maximum leverage ratio, minimum interest coverage ratio and minimum net worth. The credit facility terminates on September 30, 2007.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49" w:name="page50"/>
    <w:bookmarkEnd w:id="49"/>
    <w:p>
      <w:pPr>
        <w:ind w:right="40"/>
        <w:spacing w:after="0" w:line="297" w:lineRule="auto"/>
        <w:rPr>
          <w:sz w:val="20"/>
          <w:szCs w:val="20"/>
          <w:color w:val="auto"/>
        </w:rPr>
      </w:pPr>
      <w:r>
        <w:rPr>
          <w:rFonts w:ascii="Arial" w:cs="Arial" w:eastAsia="Arial" w:hAnsi="Arial"/>
          <w:sz w:val="16"/>
          <w:szCs w:val="16"/>
          <w:color w:val="auto"/>
        </w:rPr>
        <w:t>Our principal source of liquidity is our operating cash flow, which depends on continued customer renewal of our maintenance and support agreements and market acceptance of our products and services. Based on current estimates of revenue and expenses, we believe that the currently available sources of funds and anticipated cash flows from operations will be adequate to finance our operations and anticipated capital expenditures for at least the next twelve months.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cash flow</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Net cash provided by operating activities of $33.4 million for the nine months ended September 30, 2004 increased by $6.4 million compared with $27.0 million for the nine months ended September 30, 2003. During each of these periods, our cash flows from operations were derived primarily from (i) our earnings from on-going operations prior to non-cash expenses such as stock option compensation, depreciation and amortization, (ii) the tax benefit associated with our deferred tax asset, which reduces our cash outlay for income tax expense, (iii) changes in our working capital, which is primarily composed of net collections of accounts receivable and increases in deferred revenue (collectively representing cash inflows of $5.4 million and $3.0 million in the 2004 and 2003 periods, respectively), plus changes in our balances of accounts payable, accrued expenses and accrued liabilities (collectively representing cash inflows of $2.1 million and $0.5 million in the 2003 and 2004 periods, respectively) due to timing of payments to our vendors.</w:t>
      </w:r>
    </w:p>
    <w:p>
      <w:pPr>
        <w:spacing w:after="0" w:line="17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Net cash provided by operating activities increased $8.9 million during the year ended December 31, 2001 from the year ended December 31, 2000. We benefited from an increase of $3.3 million in amounts received from customers that cannot yet be recognized as revenue and a $4.5 million increase in amounts received from customers due to increased collection efforts. This was offset by a $1.9 million decrease in trade accounts payable, accrued expenses and other liabilities due to timing of payments to our vendors.</w:t>
      </w:r>
    </w:p>
    <w:p>
      <w:pPr>
        <w:spacing w:after="0" w:line="18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Net cash provided by operating activities increased $7.5 million during the year ended December 31, 2002 from the year ended December 31, 2001. Contributing to this increase was $4.8 million from an increase in deferred revenue that arose from sales of services that have not yet been delivered and amounts principally associated with new maintenance agreements. These were partially offset by decreases in amounts received from customers. Also offsetting cash provided by operating activities was an increase to other current assets and other assets resulting from an increase in deferred commission costs related to sales of products and services not yet recognized as revenue.</w:t>
      </w:r>
    </w:p>
    <w:p>
      <w:pPr>
        <w:spacing w:after="0" w:line="18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Net cash provided by operating activities increased $4.1 million during the year ended December 31, 2003 from the year ended December 31, 2002 due to an increase in working capital. Contributing to the increase in working capital was an increase in deferred revenue of $4.4 million that arose from the sale of services that have not yet been delivered and also amounts principally associated with new maintenance agreements, partially offset by increases in accounts receivable and other current assets and other assets.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cash flow</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Net cash used in investing activities for the first nine months of 2004 was $1.7 million. This amount principally represents the purchase of property and equipment.</w:t>
      </w:r>
    </w:p>
    <w:p>
      <w:pPr>
        <w:spacing w:after="0" w:line="25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Net cash used in investing activities for the year ended December 31, 2001 was $3.0 million. This included $2.5 million for the purchase of property and equipment and $0.5 million paid in connection with an acquisition.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50" w:name="page51"/>
    <w:bookmarkEnd w:id="50"/>
    <w:p>
      <w:pPr>
        <w:ind w:right="140"/>
        <w:spacing w:after="0" w:line="286" w:lineRule="auto"/>
        <w:rPr>
          <w:sz w:val="20"/>
          <w:szCs w:val="20"/>
          <w:color w:val="auto"/>
        </w:rPr>
      </w:pPr>
      <w:r>
        <w:rPr>
          <w:rFonts w:ascii="Arial" w:cs="Arial" w:eastAsia="Arial" w:hAnsi="Arial"/>
          <w:sz w:val="17"/>
          <w:szCs w:val="17"/>
          <w:color w:val="auto"/>
        </w:rPr>
        <w:t>Net cash used in investing activities for the year ended December 31, 2002 was $2.0 million. This included $1.5 million for the purchase of property and equipment and $0.5 million paid in connection with the acquisition of AppealMaster Ltd.</w:t>
      </w:r>
    </w:p>
    <w:p>
      <w:pPr>
        <w:spacing w:after="0" w:line="16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used in investing activities for the year ended December 31, 2003 was $3.7 million. This included $2.7 million for the purchase of property and equipment, $0.4 million in contingent payments related to the acquisition of AppealMaster in 2002, and other acquisition-related costs.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cash flow</w:t>
      </w:r>
    </w:p>
    <w:p>
      <w:pPr>
        <w:spacing w:after="0" w:line="228"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Net cash used in financing activities in the first nine months of 2004 was $4.6 million which was comprised of the final $5.1 million debt principal payments and capital leases, offset by proceeds from the issuance of common stock associated with the exercise of stock options. Additionally, we entered into a new credit agreement during September 2004 and paid $0.2 million in deferred financing fees.</w:t>
      </w:r>
    </w:p>
    <w:p>
      <w:pPr>
        <w:spacing w:after="0" w:line="18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used in financing activities for the year ended December 31, 2001 was $15.0 million. We made payments of $24.5 million on our term loan and $0.5 million on capital leases. Partially offsetting these payments were proceeds from the sale of common stock of $10.0 million.</w:t>
      </w:r>
    </w:p>
    <w:p>
      <w:pPr>
        <w:spacing w:after="0" w:line="16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used in financing activities for the year ended December 31, 2002 was $20.5 million. We made payments of $19.7 million on our term loan and $0.8 million on capital leases.</w:t>
      </w:r>
    </w:p>
    <w:p>
      <w:pPr>
        <w:spacing w:after="0" w:line="169"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Net cash used in financing activities for the year ended December 31, 2003 was $45.1 million, which primarily consisted of principal payments made on our term loan. In addition, we paid $0.3 million on capital leases relating to furniture and equipment. Partially offsetting these payments was $0.2 million we received as proceeds from the issuance of common stock associated with the exercise of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and contingencies</w:t>
      </w:r>
    </w:p>
    <w:p>
      <w:pPr>
        <w:spacing w:after="0" w:line="22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As of September 30, 2004, we had no outstanding debt, having repaid, in the first quarter of 2004, the last $5.0 million under the term loan related to the October 1999 recapitalization.</w:t>
      </w:r>
    </w:p>
    <w:p>
      <w:pPr>
        <w:spacing w:after="0" w:line="16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At September 30, 2004 we had future minimum lease commitments of $28.2 million. The future minimum lease commitments as of September 30, 2004 were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7249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60" w:type="dxa"/>
            <w:vAlign w:val="bottom"/>
          </w:tcPr>
          <w:p>
            <w:pPr>
              <w:jc w:val="right"/>
              <w:ind w:right="64"/>
              <w:spacing w:after="0"/>
              <w:rPr>
                <w:sz w:val="20"/>
                <w:szCs w:val="20"/>
                <w:color w:val="auto"/>
              </w:rPr>
            </w:pPr>
            <w:r>
              <w:rPr>
                <w:rFonts w:ascii="Arial" w:cs="Arial" w:eastAsia="Arial" w:hAnsi="Arial"/>
                <w:sz w:val="13"/>
                <w:szCs w:val="13"/>
                <w:b w:val="1"/>
                <w:bCs w:val="1"/>
                <w:color w:val="auto"/>
              </w:rPr>
              <w:t>Payments due by period</w:t>
            </w:r>
          </w:p>
        </w:tc>
        <w:tc>
          <w:tcPr>
            <w:tcW w:w="14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94"/>
        </w:trPr>
        <w:tc>
          <w:tcPr>
            <w:tcW w:w="4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256"/>
        </w:trPr>
        <w:tc>
          <w:tcPr>
            <w:tcW w:w="4280" w:type="dxa"/>
            <w:vAlign w:val="bottom"/>
          </w:tcPr>
          <w:p>
            <w:pPr>
              <w:spacing w:after="0"/>
              <w:rPr>
                <w:sz w:val="22"/>
                <w:szCs w:val="22"/>
                <w:color w:val="auto"/>
              </w:rPr>
            </w:pPr>
          </w:p>
        </w:tc>
        <w:tc>
          <w:tcPr>
            <w:tcW w:w="1020" w:type="dxa"/>
            <w:vAlign w:val="bottom"/>
          </w:tcPr>
          <w:p>
            <w:pPr>
              <w:jc w:val="right"/>
              <w:ind w:right="401"/>
              <w:spacing w:after="0"/>
              <w:rPr>
                <w:sz w:val="20"/>
                <w:szCs w:val="20"/>
                <w:color w:val="auto"/>
              </w:rPr>
            </w:pPr>
            <w:r>
              <w:rPr>
                <w:rFonts w:ascii="Arial" w:cs="Arial" w:eastAsia="Arial" w:hAnsi="Arial"/>
                <w:sz w:val="13"/>
                <w:szCs w:val="13"/>
                <w:b w:val="1"/>
                <w:bCs w:val="1"/>
                <w:color w:val="auto"/>
              </w:rPr>
              <w:t>2004</w:t>
            </w:r>
          </w:p>
        </w:tc>
        <w:tc>
          <w:tcPr>
            <w:tcW w:w="1420" w:type="dxa"/>
            <w:vAlign w:val="bottom"/>
          </w:tcPr>
          <w:p>
            <w:pPr>
              <w:jc w:val="right"/>
              <w:ind w:right="361"/>
              <w:spacing w:after="0"/>
              <w:rPr>
                <w:sz w:val="20"/>
                <w:szCs w:val="20"/>
                <w:color w:val="auto"/>
              </w:rPr>
            </w:pPr>
            <w:r>
              <w:rPr>
                <w:rFonts w:ascii="Arial" w:cs="Arial" w:eastAsia="Arial" w:hAnsi="Arial"/>
                <w:sz w:val="13"/>
                <w:szCs w:val="13"/>
                <w:b w:val="1"/>
                <w:bCs w:val="1"/>
                <w:color w:val="auto"/>
              </w:rPr>
              <w:t>2005-2006</w:t>
            </w:r>
          </w:p>
        </w:tc>
        <w:tc>
          <w:tcPr>
            <w:tcW w:w="1960" w:type="dxa"/>
            <w:vAlign w:val="bottom"/>
          </w:tcPr>
          <w:p>
            <w:pPr>
              <w:jc w:val="right"/>
              <w:ind w:right="804"/>
              <w:spacing w:after="0"/>
              <w:rPr>
                <w:sz w:val="20"/>
                <w:szCs w:val="20"/>
                <w:color w:val="auto"/>
              </w:rPr>
            </w:pPr>
            <w:r>
              <w:rPr>
                <w:rFonts w:ascii="Arial" w:cs="Arial" w:eastAsia="Arial" w:hAnsi="Arial"/>
                <w:sz w:val="13"/>
                <w:szCs w:val="13"/>
                <w:b w:val="1"/>
                <w:bCs w:val="1"/>
                <w:color w:val="auto"/>
              </w:rPr>
              <w:t>2007-2008</w:t>
            </w:r>
          </w:p>
        </w:tc>
        <w:tc>
          <w:tcPr>
            <w:tcW w:w="1440" w:type="dxa"/>
            <w:vAlign w:val="bottom"/>
          </w:tcPr>
          <w:p>
            <w:pPr>
              <w:jc w:val="right"/>
              <w:ind w:right="381"/>
              <w:spacing w:after="0"/>
              <w:rPr>
                <w:sz w:val="20"/>
                <w:szCs w:val="20"/>
                <w:color w:val="auto"/>
              </w:rPr>
            </w:pPr>
            <w:r>
              <w:rPr>
                <w:rFonts w:ascii="Arial" w:cs="Arial" w:eastAsia="Arial" w:hAnsi="Arial"/>
                <w:sz w:val="13"/>
                <w:szCs w:val="13"/>
                <w:b w:val="1"/>
                <w:bCs w:val="1"/>
                <w:color w:val="auto"/>
              </w:rPr>
              <w:t>2009 and after</w:t>
            </w:r>
          </w:p>
        </w:tc>
        <w:tc>
          <w:tcPr>
            <w:tcW w:w="1300" w:type="dxa"/>
            <w:vAlign w:val="bottom"/>
          </w:tcPr>
          <w:p>
            <w:pPr>
              <w:jc w:val="right"/>
              <w:ind w:right="281"/>
              <w:spacing w:after="0"/>
              <w:rPr>
                <w:sz w:val="20"/>
                <w:szCs w:val="20"/>
                <w:color w:val="auto"/>
              </w:rPr>
            </w:pPr>
            <w:r>
              <w:rPr>
                <w:rFonts w:ascii="Arial" w:cs="Arial" w:eastAsia="Arial" w:hAnsi="Arial"/>
                <w:sz w:val="13"/>
                <w:szCs w:val="13"/>
                <w:b w:val="1"/>
                <w:bCs w:val="1"/>
                <w:color w:val="auto"/>
              </w:rPr>
              <w:t>Totals</w:t>
            </w:r>
          </w:p>
        </w:tc>
      </w:tr>
      <w:tr>
        <w:trPr>
          <w:trHeight w:val="94"/>
        </w:trPr>
        <w:tc>
          <w:tcPr>
            <w:tcW w:w="42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r>
      <w:tr>
        <w:trPr>
          <w:trHeight w:val="302"/>
        </w:trPr>
        <w:tc>
          <w:tcPr>
            <w:tcW w:w="4280" w:type="dxa"/>
            <w:vAlign w:val="bottom"/>
          </w:tcPr>
          <w:p>
            <w:pPr>
              <w:spacing w:after="0"/>
              <w:rPr>
                <w:sz w:val="20"/>
                <w:szCs w:val="20"/>
                <w:color w:val="auto"/>
              </w:rPr>
            </w:pPr>
            <w:r>
              <w:rPr>
                <w:rFonts w:ascii="Arial" w:cs="Arial" w:eastAsia="Arial" w:hAnsi="Arial"/>
                <w:sz w:val="17"/>
                <w:szCs w:val="17"/>
                <w:color w:val="auto"/>
              </w:rPr>
              <w:t>Operating leases</w:t>
            </w:r>
          </w:p>
        </w:tc>
        <w:tc>
          <w:tcPr>
            <w:tcW w:w="1020" w:type="dxa"/>
            <w:vAlign w:val="bottom"/>
          </w:tcPr>
          <w:p>
            <w:pPr>
              <w:jc w:val="right"/>
              <w:ind w:right="341"/>
              <w:spacing w:after="0"/>
              <w:rPr>
                <w:sz w:val="20"/>
                <w:szCs w:val="20"/>
                <w:color w:val="auto"/>
              </w:rPr>
            </w:pPr>
            <w:r>
              <w:rPr>
                <w:rFonts w:ascii="Arial" w:cs="Arial" w:eastAsia="Arial" w:hAnsi="Arial"/>
                <w:sz w:val="17"/>
                <w:szCs w:val="17"/>
                <w:color w:val="auto"/>
              </w:rPr>
              <w:t>$1,718</w:t>
            </w:r>
          </w:p>
        </w:tc>
        <w:tc>
          <w:tcPr>
            <w:tcW w:w="1420" w:type="dxa"/>
            <w:vAlign w:val="bottom"/>
          </w:tcPr>
          <w:p>
            <w:pPr>
              <w:jc w:val="right"/>
              <w:ind w:right="461"/>
              <w:spacing w:after="0"/>
              <w:rPr>
                <w:sz w:val="20"/>
                <w:szCs w:val="20"/>
                <w:color w:val="auto"/>
              </w:rPr>
            </w:pPr>
            <w:r>
              <w:rPr>
                <w:rFonts w:ascii="Arial" w:cs="Arial" w:eastAsia="Arial" w:hAnsi="Arial"/>
                <w:sz w:val="17"/>
                <w:szCs w:val="17"/>
                <w:color w:val="auto"/>
              </w:rPr>
              <w:t>$9,450</w:t>
            </w:r>
          </w:p>
        </w:tc>
        <w:tc>
          <w:tcPr>
            <w:tcW w:w="1960" w:type="dxa"/>
            <w:vAlign w:val="bottom"/>
          </w:tcPr>
          <w:p>
            <w:pPr>
              <w:jc w:val="right"/>
              <w:ind w:right="884"/>
              <w:spacing w:after="0"/>
              <w:rPr>
                <w:sz w:val="20"/>
                <w:szCs w:val="20"/>
                <w:color w:val="auto"/>
              </w:rPr>
            </w:pPr>
            <w:r>
              <w:rPr>
                <w:rFonts w:ascii="Arial" w:cs="Arial" w:eastAsia="Arial" w:hAnsi="Arial"/>
                <w:sz w:val="17"/>
                <w:szCs w:val="17"/>
                <w:color w:val="auto"/>
              </w:rPr>
              <w:t>$9,610</w:t>
            </w:r>
          </w:p>
        </w:tc>
        <w:tc>
          <w:tcPr>
            <w:tcW w:w="1440" w:type="dxa"/>
            <w:vAlign w:val="bottom"/>
          </w:tcPr>
          <w:p>
            <w:pPr>
              <w:jc w:val="right"/>
              <w:ind w:right="581"/>
              <w:spacing w:after="0"/>
              <w:rPr>
                <w:sz w:val="20"/>
                <w:szCs w:val="20"/>
                <w:color w:val="auto"/>
              </w:rPr>
            </w:pPr>
            <w:r>
              <w:rPr>
                <w:rFonts w:ascii="Arial" w:cs="Arial" w:eastAsia="Arial" w:hAnsi="Arial"/>
                <w:sz w:val="17"/>
                <w:szCs w:val="17"/>
                <w:color w:val="auto"/>
              </w:rPr>
              <w:t>$7,922</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$28,160</w:t>
            </w:r>
          </w:p>
        </w:tc>
      </w:tr>
      <w:tr>
        <w:trPr>
          <w:trHeight w:val="217"/>
        </w:trPr>
        <w:tc>
          <w:tcPr>
            <w:tcW w:w="4280" w:type="dxa"/>
            <w:vAlign w:val="bottom"/>
          </w:tcPr>
          <w:p>
            <w:pPr>
              <w:spacing w:after="0"/>
              <w:rPr>
                <w:sz w:val="20"/>
                <w:szCs w:val="20"/>
                <w:color w:val="auto"/>
              </w:rPr>
            </w:pPr>
            <w:r>
              <w:rPr>
                <w:rFonts w:ascii="Arial" w:cs="Arial" w:eastAsia="Arial" w:hAnsi="Arial"/>
                <w:sz w:val="17"/>
                <w:szCs w:val="17"/>
                <w:color w:val="auto"/>
              </w:rPr>
              <w:t>Capital leases</w:t>
            </w:r>
          </w:p>
        </w:tc>
        <w:tc>
          <w:tcPr>
            <w:tcW w:w="1020" w:type="dxa"/>
            <w:vAlign w:val="bottom"/>
          </w:tcPr>
          <w:p>
            <w:pPr>
              <w:jc w:val="right"/>
              <w:ind w:right="341"/>
              <w:spacing w:after="0"/>
              <w:rPr>
                <w:sz w:val="20"/>
                <w:szCs w:val="20"/>
                <w:color w:val="auto"/>
              </w:rPr>
            </w:pPr>
            <w:r>
              <w:rPr>
                <w:rFonts w:ascii="Arial" w:cs="Arial" w:eastAsia="Arial" w:hAnsi="Arial"/>
                <w:sz w:val="17"/>
                <w:szCs w:val="17"/>
                <w:color w:val="auto"/>
              </w:rPr>
              <w:t>38</w:t>
            </w:r>
          </w:p>
        </w:tc>
        <w:tc>
          <w:tcPr>
            <w:tcW w:w="1420" w:type="dxa"/>
            <w:vAlign w:val="bottom"/>
          </w:tcPr>
          <w:p>
            <w:pPr>
              <w:jc w:val="right"/>
              <w:ind w:right="461"/>
              <w:spacing w:after="0"/>
              <w:rPr>
                <w:sz w:val="20"/>
                <w:szCs w:val="20"/>
                <w:color w:val="auto"/>
              </w:rPr>
            </w:pPr>
            <w:r>
              <w:rPr>
                <w:rFonts w:ascii="Arial" w:cs="Arial" w:eastAsia="Arial" w:hAnsi="Arial"/>
                <w:sz w:val="17"/>
                <w:szCs w:val="17"/>
                <w:color w:val="auto"/>
              </w:rPr>
              <w:t>45</w:t>
            </w:r>
          </w:p>
        </w:tc>
        <w:tc>
          <w:tcPr>
            <w:tcW w:w="1960" w:type="dxa"/>
            <w:vAlign w:val="bottom"/>
          </w:tcPr>
          <w:p>
            <w:pPr>
              <w:jc w:val="right"/>
              <w:ind w:right="884"/>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581"/>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1"/>
              <w:spacing w:after="0"/>
              <w:rPr>
                <w:sz w:val="20"/>
                <w:szCs w:val="20"/>
                <w:color w:val="auto"/>
              </w:rPr>
            </w:pPr>
            <w:r>
              <w:rPr>
                <w:rFonts w:ascii="Arial" w:cs="Arial" w:eastAsia="Arial" w:hAnsi="Arial"/>
                <w:sz w:val="17"/>
                <w:szCs w:val="17"/>
                <w:color w:val="auto"/>
              </w:rPr>
              <w:t>83</w:t>
            </w:r>
          </w:p>
        </w:tc>
      </w:tr>
      <w:tr>
        <w:trPr>
          <w:trHeight w:val="109"/>
        </w:trPr>
        <w:tc>
          <w:tcPr>
            <w:tcW w:w="42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Payments due under capital leases include $2,000 of interest.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These commitments have not been reduced by future minimum lease commitments under various sublease agreements extended through 2007.</w:t>
      </w:r>
    </w:p>
    <w:p>
      <w:pPr>
        <w:spacing w:after="0" w:line="228"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color w:val="auto"/>
        </w:rPr>
        <w:t>In addition, we have a commitment of $200,000 payable annually through 2009 for certain naming rights with an entity, which until initial public offering on July 22, 2004, was owned by a minority shareholder, and we have incurred expense of $150,000 under this agreement for the nine month period ended September 30, 2004.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3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January 2002, the Emerging Issues Task Force of the FASB, or EITF, reached a consensus on EITF Issue 01-14, “Income Statement Characterization of Reimbursements Received for “Out-of-Pocket” Expenses Incurred”, which requires that reimbursements received for out-of-pocket expenses incurred be characterized as revenue in the income statement. We adopted EITF 01-14 effective January 1, 2002 and have made the appropriate reclassifications as required by EITF 01-14. Income resulting from reimbursable expenses is included in other revenues and the associated expenses are included in other cost of sales on the face of the income statement.</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July 2002, the FASB issued SFAS No. 146, “Accounting for Costs Associated with Exit or Disposal Activities”, which is effective for exit or disposal activities that are initiated after December 31, 2002. We adopted SFAS No. 146 during fiscal year 2003. SFAS No. 146 nullifies EITF Issue No. 94-3, “Liability Recognition for Certain Employee Termination Benefits and Other Costs to Exit an Activity (including Certain Costs Incurred in a Restructuring)”, and requires that a liability for costs associated with an exit or disposal activity be recognized as incurred. The impact of SFAS No. 146 will be dependent upon decisions made by us in the future and has had no impact on us to date.</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January 2003, we adopted FIN 45, “Guarantor’s Accounting and Disclosure Requirements for Guarantees, Including Indirect Guarantees of Indebtedness of Others, an Interpretation of FASB Statements No. 5, 57, and 107 and Rescission of FASB Interpretation No. 34”. The interpretation requires that upon issuance of a guarantee, the entity must recognize a liability for the fair value of the obligation it assumes under that guarantee. The initial recognition and measurement provisions of FIN No. 45 are effective for guarantees issued or modified after December 31, 2002. The adoption of this interpretation has not had a material impact on our consolidated financial position, consolidated results of operations, or liquidity.</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January 2003, the FASB issued FIN 46, “Consolidation of Variable Interest Entities.” This statement was subsequently amended under the provisions of FIN 46-R, which is effective for public entities no later than the end of the first reporting period ending after March 15, 2004. This interpretation clarifies the application of Accounting Research Bulletin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from other parties. FIN 46 applies immediately to variable interest entities created after January 31, 2003, and to variable interest entities in which an enterprise obtains an interest after that date. The adoption of this interpretation has not had a material impact on our consolidated financial position, consolidated results of operations, or liquidity.</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Many of those instruments were previously classified as equity. Most of the guidance in SFAS No. 150 is effective for all financial instruments entered into or modified after May 31, 2003. The adoption of SFAS No. 150 has not had a material impact on our financial position.</w:t>
      </w:r>
    </w:p>
    <w:p>
      <w:pPr>
        <w:spacing w:after="0" w:line="187" w:lineRule="exact"/>
        <w:rPr>
          <w:sz w:val="20"/>
          <w:szCs w:val="20"/>
          <w:color w:val="auto"/>
        </w:rPr>
      </w:pPr>
    </w:p>
    <w:p>
      <w:pPr>
        <w:ind w:right="360"/>
        <w:spacing w:after="0" w:line="273" w:lineRule="auto"/>
        <w:rPr>
          <w:sz w:val="20"/>
          <w:szCs w:val="20"/>
          <w:color w:val="auto"/>
        </w:rPr>
      </w:pPr>
      <w:r>
        <w:rPr>
          <w:rFonts w:ascii="Arial" w:cs="Arial" w:eastAsia="Arial" w:hAnsi="Arial"/>
          <w:sz w:val="17"/>
          <w:szCs w:val="17"/>
          <w:color w:val="auto"/>
        </w:rPr>
        <w:t>On December 16, 2004, the FASB issued Statement No. 123 (revised 2004), Share-Based Payment. Statement 123(R) would require us to measure all employee stock-based compensation awards using a fair value method and record such expense in our consolidated financial statements. In addition, the adoption of Statement 123(R) will require additional accounting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52" w:name="page53"/>
    <w:bookmarkEnd w:id="52"/>
    <w:p>
      <w:pPr>
        <w:jc w:val="both"/>
        <w:ind w:right="260"/>
        <w:spacing w:after="0" w:line="273" w:lineRule="auto"/>
        <w:rPr>
          <w:sz w:val="20"/>
          <w:szCs w:val="20"/>
          <w:color w:val="auto"/>
        </w:rPr>
      </w:pPr>
      <w:r>
        <w:rPr>
          <w:rFonts w:ascii="Arial" w:cs="Arial" w:eastAsia="Arial" w:hAnsi="Arial"/>
          <w:sz w:val="17"/>
          <w:szCs w:val="17"/>
          <w:color w:val="auto"/>
        </w:rPr>
        <w:t>related to the income tax effects and additional disclosure regarding the cash flow effects resulting from share-based payment arrangements. Statement 123(R) is effective beginning in our third quarter of 2005. The adoption of Statement 123(R) could have a material impact on our consolidated financial position, results of operations and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Qualitative and quantitative disclosure about market risk</w:t>
      </w:r>
    </w:p>
    <w:p>
      <w:pPr>
        <w:spacing w:after="0" w:line="234"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Due to the nature of our short-term investments and our lack of material debt, we have concluded that we face no material market risk exposure. Therefore, no quantitative tabular disclosures are required.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rates</w:t>
      </w:r>
    </w:p>
    <w:p>
      <w:pPr>
        <w:spacing w:after="0" w:line="23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Approximately 15.5% of our total net revenue for the nine months ended September 30, 2004 was derived from operations outside the United States. We do not have significant operations in countries in which the economy is considered to be highly inflationary. Our financial statements are denominated in U.S. dollars and, accordingly, changes in the exchange rate between foreign currencies and the U.S. dollar will affect the translation of our subsidiaries’ financial results into</w:t>
      </w:r>
    </w:p>
    <w:p>
      <w:pPr>
        <w:spacing w:after="0" w:line="1"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color w:val="auto"/>
        </w:rPr>
        <w:t>U.S. dollars for purposes of reporting our consolidated financial results. Accumulated currency translation adjustment recorded, as a separate component of shareholders’ equity was $0.3 million at September 30, 2004.</w:t>
      </w:r>
    </w:p>
    <w:p>
      <w:pPr>
        <w:spacing w:after="0" w:line="17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vast majority of our contracts are entered into by our U.S. or U.K. entities. The contracts entered into by the U.S. entity are almost always denominated in U.S. dollars and contracts entered into by our U.K. subsidiary are generally denominated in pounds sterling. In recent years, the U.S. dollar has weakened against many non-U.S. currencies, including the British pound. During this period, our revenues generated in the United Kingdom have increased. We do not believe our increased exposure to currency exchange rates have had a material impact on our results of operations or financial position, and we will continue to monitor such exposure and take action as appropriate.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 rate risk</w:t>
      </w:r>
    </w:p>
    <w:p>
      <w:pPr>
        <w:spacing w:after="0" w:line="22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Historically fluctuations in interest rates have not had a material impact on our operating results. As of September 30, 2004 we do not have any balances outstanding under our revolving credit facility subject to variable interest rates.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24"/>
          <w:szCs w:val="24"/>
          <w:b w:val="1"/>
          <w:bCs w:val="1"/>
          <w:color w:val="auto"/>
        </w:rPr>
        <w:t>Business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the leading global provider of software and related services designed specifically for nonprofit organizations. Our products and services enable nonprofit organizations to increase donations, reduce fundraising costs, improve communications with constituents, manage their finances and optimize internal operations. We have focused solely on the nonprofit market since our incorporation in 1982, and have developed our suite of products and services based upon our extensive knowledge of the operating challenges facing nonprofit organizations. In 2004, we had over 12,700 customers, over 12,300 of which pay us annual maintenance and support fees. Our customers operate in multiple verticals within the nonprofit market including religion, education, foundations, health and human services, arts and cultural, public and societal benefits, environment and animal welfare, and international and foreign affairs.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Industry background</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nonprofit industry is large and growing</w:t>
      </w:r>
    </w:p>
    <w:p>
      <w:pPr>
        <w:spacing w:after="0" w:line="22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Nonprofit organizations are a large part of the U.S. economy, employing one out of every ten Americans. There were greater than 1.5 million registered U.S. nonprofit organizations in 2003, according to data from the Internal Revenue Service. In addition, there are greater than 1.5 million nonprofit organizations outside the United States. Donations to nonprofit organizations in the United States were $241 billion in 2003, having increased almost every year since 1962, with a compound annual growth rate over that period of 7.8%, according to Giving USA. In addition, these organizations received fees of approximately $600 billion in the twelve months prior to December 2003 for services they provided. Worldwide, nonprofit organizations employ more than 19 million people and account for $1.1 trillion in total annual expenditures, according to the Johns Hopkins Comparative Nonprofit Sector Project.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Traditional methods of fundraising are costly and inefficient</w:t>
      </w:r>
    </w:p>
    <w:p>
      <w:pPr>
        <w:spacing w:after="0" w:line="22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Many nonprofit organizations manage fundraising programs using manual methods or stand-alone software applications not specifically designed to meet the needs of nonprofit organizations. These fundraising methods are often costly and inefficient, largely because of the difficulties in effectively collecting, sharing and using information to maximize donations and minimize related costs. Some nonprofit organizations have developed proprietary software, but doing so can be expensive, requiring these organizations to hire technical personnel for development, implementation and maintenance functions. General purpose software and Internet applications typically offer stand-alone solutions with limited functionality that might not efficiently integrate multiple databases.</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Fundraising and related administrative costs are significant. Based on our market research, an average $0.24 of each dollar donated is used by nonprofit organizations for their direct fundraising expenses alone. These expenses do not include additional administrative expenses associated with fundraising. Moreover, according to a recent Harvard Business Review article entitled, “The Nonprofit Sector’s $100 Billion Opportunity,” McKinsey &amp; Company estimates that improvements in the efficiency of delivery of their services could result in savings to the nonprofit sector in excess of $55 billion annually.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7" w:right="2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The nonprofit industry faces particular operational challenges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Nonprofit organizations face distinct operational challenges. For example, nonprofit organizations generally must efficiently:</w:t>
      </w:r>
    </w:p>
    <w:p>
      <w:pPr>
        <w:spacing w:after="0" w:line="228" w:lineRule="exact"/>
        <w:rPr>
          <w:sz w:val="20"/>
          <w:szCs w:val="20"/>
          <w:color w:val="auto"/>
        </w:rPr>
      </w:pPr>
    </w:p>
    <w:p>
      <w:pPr>
        <w:ind w:left="240" w:hanging="234"/>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solicit small cash contributions from numerous contributors to fund operations;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manage complex relationships with the large numbers of constituents that support their organizations;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comply with complex accounting, tax and reporting issues that differ from traditional businesses;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solicit cash and in-kind contributions from businesses to help raise money or deliver products or services;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a wide array of programs and services to individual constituents; and</w:t>
      </w:r>
    </w:p>
    <w:p>
      <w:pPr>
        <w:spacing w:after="0" w:line="254" w:lineRule="exact"/>
        <w:rPr>
          <w:rFonts w:ascii="Arial" w:cs="Arial" w:eastAsia="Arial" w:hAnsi="Arial"/>
          <w:sz w:val="17"/>
          <w:szCs w:val="17"/>
          <w:color w:val="auto"/>
        </w:rPr>
      </w:pPr>
    </w:p>
    <w:p>
      <w:pPr>
        <w:ind w:left="240" w:right="620" w:hanging="234"/>
        <w:spacing w:after="0" w:line="286" w:lineRule="auto"/>
        <w:tabs>
          <w:tab w:leader="none" w:pos="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improve the data collection and sharing capabilities of their employees, volunteers and donors by creating and providing distributed access to centralized databases.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Because of these challenges, we believe nonprofit organizations can benefit from software applications specifically designed to serve their particular needs.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Blackbaud solution</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Our suite of products and services addresses the fundraising costs and operational challenges facing nonprofit organizations by providing them with software tools and services that help them increase donations, reduce the overall cost of managing their business and the fundraising process and improve communications with their constituents. We provide an operational platform through our three core software applications: The Raiser’s Edge, The Financial Edge and The Education Edge. In addition, we offer 36 extended applications providing distinct, add-on functionality tailored to meet the specific needs of our diverse customer base. To complement our operational platform, we offer a suite of analytical tools and related services that enable nonprofit organizations to extract, aggregate and analyze vast quantities of data to help them make better-informed operational decisions. We also help our customers increase the return on their technology investment by providing a broad array of complementary professional services, including implementation, business process improvement, education services, as well as maintenance and technical support.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55" w:name="page56"/>
    <w:bookmarkEnd w:id="55"/>
    <w:p>
      <w:pPr>
        <w:spacing w:after="0"/>
        <w:rPr>
          <w:sz w:val="20"/>
          <w:szCs w:val="20"/>
          <w:color w:val="auto"/>
        </w:rPr>
      </w:pPr>
      <w:r>
        <w:rPr>
          <w:rFonts w:ascii="Arial" w:cs="Arial" w:eastAsia="Arial" w:hAnsi="Arial"/>
          <w:sz w:val="17"/>
          <w:szCs w:val="17"/>
          <w:color w:val="auto"/>
        </w:rPr>
        <w:t>Our solution is illustrated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1666875</wp:posOffset>
            </wp:positionH>
            <wp:positionV relativeFrom="paragraph">
              <wp:posOffset>149860</wp:posOffset>
            </wp:positionV>
            <wp:extent cx="3931285" cy="26206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931285" cy="262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Nonprofit organizations use our products and services to increase donations</w:t>
      </w:r>
    </w:p>
    <w:p>
      <w:pPr>
        <w:spacing w:after="0" w:line="228"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Approximately 10,750 of our active customers currently subscribe to our annual maintenance and support for The Raiser’s Edge. In 2003, these customers raised an aggregate of more than $26 billion in contributions. These customers use The Raiser’s Edge to help them with their fundraising and donor management efforts. The complexity of managing constituent relationships and nonprofits’ reliance on charitable contributions make managing the fundraising process the critical business function for nonprofits. The Raiser’s Edge allows nonprofit organizations to establish, maintain and develop their relationships with current and prospective donors. Our fundraising products and services enable nonprofit organizations to use a centralized database, as well as the Internet and an array of analytical tools to facilitate and expand their fundraising efforts. We believe our products and services help nonprofit organizations increase donations by enabling them to:</w:t>
      </w:r>
    </w:p>
    <w:p>
      <w:pPr>
        <w:spacing w:after="0" w:line="162" w:lineRule="exact"/>
        <w:rPr>
          <w:sz w:val="20"/>
          <w:szCs w:val="20"/>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facilitate the management of complex personal relationships with constituents;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enable the solicitation of large numbers of potential donors using automated and efficient methods;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deliver personalized messages that help inform and drive constituent action;</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an easy-to-use system that allows the sharing and use of critical fundraising information;</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allow organizations to receive online donations through our NetSolutions product, which integrates with an organization’s website;</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utilize our Internet-based offerings and tools to support online volunteer and events management;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simplify and automate business processes to allow nonprofits to more effectively pursue their missions.</w:t>
      </w: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56" w:name="page57"/>
    <w:bookmarkEnd w:id="56"/>
    <w:p>
      <w:pPr>
        <w:spacing w:after="0" w:line="268" w:lineRule="auto"/>
        <w:rPr>
          <w:sz w:val="20"/>
          <w:szCs w:val="20"/>
          <w:color w:val="auto"/>
        </w:rPr>
      </w:pPr>
      <w:r>
        <w:rPr>
          <w:rFonts w:ascii="Arial" w:cs="Arial" w:eastAsia="Arial" w:hAnsi="Arial"/>
          <w:sz w:val="17"/>
          <w:szCs w:val="17"/>
          <w:color w:val="auto"/>
        </w:rPr>
        <w:t>In addition, our array of predictive donor modeling and wealth identification products and services, including ProspectPoint and WealthPoint, integrate important third-party data, including financial, geographic and demographic information, together with sophisticated analytical techniques to assist nonprofits in their efforts to more effectively identify and target willing and able donors. The result is that organizations are able to lower fundraising costs while at the same time increase donations.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help nonprofit organizations operate more effectively and efficiently</w:t>
      </w:r>
    </w:p>
    <w:p>
      <w:pPr>
        <w:spacing w:after="0" w:line="228" w:lineRule="exact"/>
        <w:rPr>
          <w:sz w:val="20"/>
          <w:szCs w:val="20"/>
          <w:color w:val="auto"/>
        </w:rPr>
      </w:pPr>
    </w:p>
    <w:p>
      <w:pPr>
        <w:ind w:right="160"/>
        <w:spacing w:after="0" w:line="282" w:lineRule="auto"/>
        <w:rPr>
          <w:sz w:val="20"/>
          <w:szCs w:val="20"/>
          <w:color w:val="auto"/>
        </w:rPr>
      </w:pPr>
      <w:r>
        <w:rPr>
          <w:rFonts w:ascii="Arial" w:cs="Arial" w:eastAsia="Arial" w:hAnsi="Arial"/>
          <w:sz w:val="16"/>
          <w:szCs w:val="16"/>
          <w:color w:val="auto"/>
        </w:rPr>
        <w:t>Our products and services combine a comprehensive suite of software and analytical tools with a centralized database to help employees more effectively and efficiently manage the key aspects of their nonprofit organization’s operations. Our products automate nonprofit business processes to create efficiencies for our customers, which helps to reduce the overall costs of operating their organizations. For example, The Raiser’s Edge and our other core products automate data collection processes, which eliminates cumbersome and inaccurate manual processes. In addition, nonprofits use The Financial Edge, which integrates with The Raiser’s Edge, to eliminate duplicate entry of gift data and streamline processes for posting the results of fundraising activities to the organization’s general ledger. Nonprofit constituents can use The Financial Edge to view information in a single, integrated dashboard view that illustrates key performance metrics and detailed information on specific campaigns, funds and programs. These efficient communications are often critical to a nonprofit’s ability to effectively strengthen relationships with important supporters, while making effective use of valuable internal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provide solutions that address many of the technological and business process needs of our customers, including:</w:t>
      </w:r>
    </w:p>
    <w:p>
      <w:pPr>
        <w:spacing w:after="0" w:line="228" w:lineRule="exact"/>
        <w:rPr>
          <w:sz w:val="20"/>
          <w:szCs w:val="20"/>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donor relationship management;</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financial management and reporting;</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 accounting information for projects and grants;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integration of financial data and donor information under a centralized system;</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student information systems designed for the K-12 market;</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data analysis and reporting tools and services;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management of complex volunteer networks; and</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results tracking for multiple campaigns.</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Our strategy</w:t>
      </w: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objective is to maintain and leverage our position as a leading provider of software and related services designed specifically for nonprofit organizations. Key elements of our strategy to achieve this objective are to: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 our customer base</w:t>
      </w:r>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intend to expand our industry-leading customer base and enhance our market position. While we have established a strong presence in the nonprofit industry, we believe that the fragmented nature of the industry presents an opportunity for us to continue to increase our market penetration. We plan to achieve this objective by leveraging our experience in the nonprofit sector, our existing customer base and our strong brand recognition. We also intend to expand our overall sales efforts, especially national accounts, enterprise-focused sales teams and third-party sales channels.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Maintain and expand existing customer relationships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historically had success selling maintenance renewal and additional products and services to existing customers. In each of the past three years, an average of over 94% of our customers have renewed their maintenance and support plans for our products. We plan to continue to capitalize on our existing customer base by increasing both the number of our products and services they use and the frequency with which they use them. As part of this strategy, we have established a dedicated sales team to focus exclusively on selling products and services to our existing customers.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Introduce additional products and services</w:t>
      </w:r>
    </w:p>
    <w:p>
      <w:pPr>
        <w:spacing w:after="0" w:line="22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We intend to leverage our expertise and experience in developing leading products for the nonprofit industry to introduce additional products and related services, to continue to build stronger relationships with existing customers and to attract new customer relationships. We believe that our existing proprietary software and services can form the foundation for an even wider range of products and services for nonprofit organizations. Our current product offerings share approximately one-third of our proprietary code, and we anticipate that future product offerings will also share this backbone. We believe that this shared code allows us to more cost efficiently expedite the development and rollout of new products.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 the Internet as a means of additional growth</w:t>
      </w:r>
    </w:p>
    <w:p>
      <w:pPr>
        <w:spacing w:after="0" w:line="228"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We intend to continue to enhance our existing products and develop new products and services to allow our customers to more fully utilize the Internet to effectively achieve their missions. Although online fundraising composed less than 1% of all charitable contributions in 2003, we believe online donations will continue to grow as a percentage of total contributions and that nonprofits will continue to benefit from the trend of increased online donations. As such, we have web-enabled our core applications and currently offer a variety of Internet applications and consulting services that allow nonprofit organizations to utilize our fundraising, accounting and administration products to leverage the Internet for online fundraising, e-marketing, alumni and membership directories, newsletters, event management and volunteer coordination. For example, through September 30, 2004, we had sold our NetSolutions product, which is our online fundraising application, to over 1,000 customers.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Expand international presence</w:t>
      </w:r>
    </w:p>
    <w:p>
      <w:pPr>
        <w:spacing w:after="0" w:line="2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believe that the United Kingdom, Canada and Australia as well as other international markets represent growing market opportunities. We currently have international offices in Glasgow, Scotland, Toronto, Canada and Sydney, Australia. We believe the overall market of international nonprofit organizations is changing as donations to nonprofit organizations are increasing in response to reductions in governmental funding of certain activities and expansion of U.S.-based nonprofit organizations into international locations. We believe these markets are currently underserved, and we intend to increase our presence in international markets by expanding our sales and marketing efforts, leveraging our installed base of customers to sell complementary products and services and continuing to offer and develop new products tailored to these international markets.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i w:val="1"/>
          <w:iCs w:val="1"/>
          <w:color w:val="auto"/>
        </w:rPr>
        <w:t>Pursue strategic acquisitions and alliances</w:t>
      </w:r>
    </w:p>
    <w:p>
      <w:pPr>
        <w:spacing w:after="0" w:line="22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intend to continue to selectively pursue acquisitions and alliances in the future with companies that provide us with complementary technology, customers, personnel with significant relevant experience, increase access to additional geographic and specific vertical markets. We have completed three acquisitions in the past four years and are currently involved in a number of strategic relationships. We believe that our size and our history of leadership in the nonprofit sector make us an attractive acquiror or partner for others in the industry.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 and services</w:t>
      </w:r>
    </w:p>
    <w:p>
      <w:pPr>
        <w:spacing w:after="0" w:line="22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license software and provide various services to our customers. We generate revenue in six reportable segments, as described in more detail in note 14 of the Notes to our consolidated financial statements. These revenue segments are license fees and maintenance and subscription fees for our software products, consulting services, education services, analytic services, and other. In 2001, 2002, 2003 and the nine months ended September 30, 2004, revenue from the sale of The Raiser’s Edge and related services represented approximately 72%, 70%, 72% and 70%, respectively, of our total revenue.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products</w:t>
      </w:r>
    </w:p>
    <w:p>
      <w:pPr>
        <w:spacing w:after="0" w:line="22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Raiser’s Edge</w:t>
      </w:r>
    </w:p>
    <w:p>
      <w:pPr>
        <w:spacing w:after="0" w:line="234" w:lineRule="exact"/>
        <w:rPr>
          <w:sz w:val="20"/>
          <w:szCs w:val="20"/>
          <w:color w:val="auto"/>
        </w:rPr>
      </w:pPr>
    </w:p>
    <w:p>
      <w:pPr>
        <w:ind w:left="240"/>
        <w:spacing w:after="0" w:line="280" w:lineRule="auto"/>
        <w:rPr>
          <w:sz w:val="20"/>
          <w:szCs w:val="20"/>
          <w:color w:val="auto"/>
        </w:rPr>
      </w:pPr>
      <w:r>
        <w:rPr>
          <w:rFonts w:ascii="Arial" w:cs="Arial" w:eastAsia="Arial" w:hAnsi="Arial"/>
          <w:sz w:val="16"/>
          <w:szCs w:val="16"/>
          <w:color w:val="auto"/>
        </w:rPr>
        <w:t>The Raiser’s Edge is the leading software application specifically designed to manage a nonprofit organization’s fundraising activity. The Raiser’s Edge enables nonprofit organizations to communicate with their constituents, manage fundraising activities, expand their development efforts and make better-informed decisions through its powerful segmentation, analysis, and reporting capabilities. We released version 7.7 of The Raiser’s Edge in October 2004. The functionality included in our current version of The Raiser’s Edge is the result of over 20 years of improvement incorporating the suggestions of our customers and innovations in technology. The Raiser’s Edge provides a comprehensive dashboard view that shows users important performance indicators for campaigns, appeals, funds, events, proposals, and membership drives. The Raiser’s Edge is highly customizable allowing a nonprofit organization to create numerous custom views of constituent records and automate a variety of business processes. The Raiser’s Edge contains a robust data management and storage system to help fundraisers use their data more effectively. Among other things, The Raiser’s Edge allows an organization to access extensive biographical and demographic information about donors and prospects, process gifts, monitor solicitation activity, analyze data and publish reports. The Raiser’s Edge improves the efficiency and effectiveness of a nonprofit organization by reducing overall mailing costs, offering faster data entry and gift processing, supporting major donor cultivation, using the Internet to send email appeals and accept online donations, and providing instant access to better information. The Raiser’s Edge also integrates with Microsoft® Office® to enable users to take advantage of additional functionality.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59" w:name="page60"/>
    <w:bookmarkEnd w:id="59"/>
    <w:p>
      <w:pPr>
        <w:ind w:left="60" w:right="120"/>
        <w:spacing w:after="0" w:line="286" w:lineRule="auto"/>
        <w:rPr>
          <w:sz w:val="20"/>
          <w:szCs w:val="20"/>
          <w:color w:val="auto"/>
        </w:rPr>
      </w:pPr>
      <w:r>
        <w:rPr>
          <w:rFonts w:ascii="Arial" w:cs="Arial" w:eastAsia="Arial" w:hAnsi="Arial"/>
          <w:sz w:val="17"/>
          <w:szCs w:val="17"/>
          <w:color w:val="auto"/>
        </w:rPr>
        <w:t>In addition to the standard functionality of The Raiser’s Edge, we have built a number of extended applications that may be enabled directly within The Raiser’s Edge and address the specific needs of various vertical markets. Our extended applications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314325</wp:posOffset>
            </wp:positionV>
            <wp:extent cx="69551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5515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Arial" w:cs="Arial" w:eastAsia="Arial" w:hAnsi="Arial"/>
                <w:sz w:val="13"/>
                <w:szCs w:val="13"/>
                <w:b w:val="1"/>
                <w:bCs w:val="1"/>
                <w:color w:val="auto"/>
              </w:rPr>
              <w:t>Module name</w:t>
            </w:r>
          </w:p>
        </w:tc>
        <w:tc>
          <w:tcPr>
            <w:tcW w:w="8200" w:type="dxa"/>
            <w:vAlign w:val="bottom"/>
          </w:tcPr>
          <w:p>
            <w:pPr>
              <w:ind w:left="960"/>
              <w:spacing w:after="0"/>
              <w:rPr>
                <w:sz w:val="20"/>
                <w:szCs w:val="20"/>
                <w:color w:val="auto"/>
              </w:rPr>
            </w:pPr>
            <w:r>
              <w:rPr>
                <w:rFonts w:ascii="Arial" w:cs="Arial" w:eastAsia="Arial" w:hAnsi="Arial"/>
                <w:sz w:val="13"/>
                <w:szCs w:val="13"/>
                <w:b w:val="1"/>
                <w:bCs w:val="1"/>
                <w:color w:val="auto"/>
              </w:rPr>
              <w:t>Key features/benefits</w:t>
            </w:r>
          </w:p>
        </w:tc>
      </w:tr>
      <w:tr>
        <w:trPr>
          <w:trHeight w:val="94"/>
        </w:trPr>
        <w:tc>
          <w:tcPr>
            <w:tcW w:w="2760" w:type="dxa"/>
            <w:vAlign w:val="bottom"/>
            <w:tcBorders>
              <w:bottom w:val="single" w:sz="8" w:color="808080"/>
            </w:tcBorders>
          </w:tcPr>
          <w:p>
            <w:pPr>
              <w:spacing w:after="0"/>
              <w:rPr>
                <w:sz w:val="8"/>
                <w:szCs w:val="8"/>
                <w:color w:val="auto"/>
              </w:rPr>
            </w:pPr>
          </w:p>
        </w:tc>
        <w:tc>
          <w:tcPr>
            <w:tcW w:w="8200" w:type="dxa"/>
            <w:vAlign w:val="bottom"/>
            <w:tcBorders>
              <w:bottom w:val="single" w:sz="8" w:color="808080"/>
            </w:tcBorders>
          </w:tcPr>
          <w:p>
            <w:pPr>
              <w:spacing w:after="0"/>
              <w:rPr>
                <w:sz w:val="8"/>
                <w:szCs w:val="8"/>
                <w:color w:val="auto"/>
              </w:rPr>
            </w:pPr>
          </w:p>
        </w:tc>
      </w:tr>
      <w:tr>
        <w:trPr>
          <w:trHeight w:val="308"/>
        </w:trPr>
        <w:tc>
          <w:tcPr>
            <w:tcW w:w="2760" w:type="dxa"/>
            <w:vAlign w:val="bottom"/>
          </w:tcPr>
          <w:p>
            <w:pPr>
              <w:spacing w:after="0"/>
              <w:rPr>
                <w:sz w:val="20"/>
                <w:szCs w:val="20"/>
                <w:color w:val="auto"/>
              </w:rPr>
            </w:pPr>
            <w:r>
              <w:rPr>
                <w:rFonts w:ascii="Arial" w:cs="Arial" w:eastAsia="Arial" w:hAnsi="Arial"/>
                <w:sz w:val="17"/>
                <w:szCs w:val="17"/>
                <w:color w:val="auto"/>
              </w:rPr>
              <w:t>Event</w:t>
            </w:r>
          </w:p>
        </w:tc>
        <w:tc>
          <w:tcPr>
            <w:tcW w:w="8200" w:type="dxa"/>
            <w:vAlign w:val="bottom"/>
          </w:tcPr>
          <w:p>
            <w:pPr>
              <w:ind w:left="960"/>
              <w:spacing w:after="0"/>
              <w:rPr>
                <w:sz w:val="20"/>
                <w:szCs w:val="20"/>
                <w:color w:val="auto"/>
              </w:rPr>
            </w:pPr>
            <w:r>
              <w:rPr>
                <w:rFonts w:ascii="Arial" w:cs="Arial" w:eastAsia="Arial" w:hAnsi="Arial"/>
                <w:sz w:val="17"/>
                <w:szCs w:val="17"/>
                <w:color w:val="auto"/>
              </w:rPr>
              <w:t>helps plan, organize and manage all aspects of fundraising events</w:t>
            </w:r>
          </w:p>
        </w:tc>
      </w:tr>
      <w:tr>
        <w:trPr>
          <w:trHeight w:val="423"/>
        </w:trPr>
        <w:tc>
          <w:tcPr>
            <w:tcW w:w="2760" w:type="dxa"/>
            <w:vAlign w:val="bottom"/>
          </w:tcPr>
          <w:p>
            <w:pPr>
              <w:spacing w:after="0"/>
              <w:rPr>
                <w:sz w:val="20"/>
                <w:szCs w:val="20"/>
                <w:color w:val="auto"/>
              </w:rPr>
            </w:pPr>
            <w:r>
              <w:rPr>
                <w:rFonts w:ascii="Arial" w:cs="Arial" w:eastAsia="Arial" w:hAnsi="Arial"/>
                <w:sz w:val="17"/>
                <w:szCs w:val="17"/>
                <w:color w:val="auto"/>
              </w:rPr>
              <w:t>Volunteer</w:t>
            </w:r>
          </w:p>
        </w:tc>
        <w:tc>
          <w:tcPr>
            <w:tcW w:w="8200" w:type="dxa"/>
            <w:vAlign w:val="bottom"/>
          </w:tcPr>
          <w:p>
            <w:pPr>
              <w:ind w:left="960"/>
              <w:spacing w:after="0"/>
              <w:rPr>
                <w:sz w:val="20"/>
                <w:szCs w:val="20"/>
                <w:color w:val="auto"/>
              </w:rPr>
            </w:pPr>
            <w:r>
              <w:rPr>
                <w:rFonts w:ascii="Arial" w:cs="Arial" w:eastAsia="Arial" w:hAnsi="Arial"/>
                <w:sz w:val="17"/>
                <w:szCs w:val="17"/>
                <w:color w:val="auto"/>
              </w:rPr>
              <w:t>coordinates an organization’s volunteer work force</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Member</w:t>
            </w:r>
          </w:p>
        </w:tc>
        <w:tc>
          <w:tcPr>
            <w:tcW w:w="8200" w:type="dxa"/>
            <w:vAlign w:val="bottom"/>
          </w:tcPr>
          <w:p>
            <w:pPr>
              <w:ind w:left="960"/>
              <w:spacing w:after="0"/>
              <w:rPr>
                <w:sz w:val="20"/>
                <w:szCs w:val="20"/>
                <w:color w:val="auto"/>
              </w:rPr>
            </w:pPr>
            <w:r>
              <w:rPr>
                <w:rFonts w:ascii="Arial" w:cs="Arial" w:eastAsia="Arial" w:hAnsi="Arial"/>
                <w:sz w:val="17"/>
                <w:szCs w:val="17"/>
                <w:color w:val="auto"/>
                <w:w w:val="98"/>
              </w:rPr>
              <w:t>tracks the identity of members and the date they joined, as well as recording renewals, upgrades,</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downgrades and lapsed and dropped members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Queue</w:t>
            </w:r>
          </w:p>
        </w:tc>
        <w:tc>
          <w:tcPr>
            <w:tcW w:w="8200" w:type="dxa"/>
            <w:vAlign w:val="bottom"/>
          </w:tcPr>
          <w:p>
            <w:pPr>
              <w:ind w:left="960"/>
              <w:spacing w:after="0"/>
              <w:rPr>
                <w:sz w:val="20"/>
                <w:szCs w:val="20"/>
                <w:color w:val="auto"/>
              </w:rPr>
            </w:pPr>
            <w:r>
              <w:rPr>
                <w:rFonts w:ascii="Arial" w:cs="Arial" w:eastAsia="Arial" w:hAnsi="Arial"/>
                <w:sz w:val="17"/>
                <w:szCs w:val="17"/>
                <w:color w:val="auto"/>
              </w:rPr>
              <w:t>allows an organization to schedule a series of Raiser’s Edge tasks to be executed sequentially,</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automatically and unattended</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Search</w:t>
            </w:r>
          </w:p>
        </w:tc>
        <w:tc>
          <w:tcPr>
            <w:tcW w:w="8200" w:type="dxa"/>
            <w:vAlign w:val="bottom"/>
          </w:tcPr>
          <w:p>
            <w:pPr>
              <w:ind w:left="960"/>
              <w:spacing w:after="0"/>
              <w:rPr>
                <w:sz w:val="20"/>
                <w:szCs w:val="20"/>
                <w:color w:val="auto"/>
              </w:rPr>
            </w:pPr>
            <w:r>
              <w:rPr>
                <w:rFonts w:ascii="Arial" w:cs="Arial" w:eastAsia="Arial" w:hAnsi="Arial"/>
                <w:sz w:val="17"/>
                <w:szCs w:val="17"/>
                <w:color w:val="auto"/>
                <w:w w:val="92"/>
              </w:rPr>
              <w:t>enables an organization to manage prospective planned and major gift donors (individuals, corporations</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and foundations) from identification and profiling to the cultivation and solicitation of major gifts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Alum</w:t>
            </w:r>
          </w:p>
        </w:tc>
        <w:tc>
          <w:tcPr>
            <w:tcW w:w="8200" w:type="dxa"/>
            <w:vAlign w:val="bottom"/>
          </w:tcPr>
          <w:p>
            <w:pPr>
              <w:ind w:left="960"/>
              <w:spacing w:after="0"/>
              <w:rPr>
                <w:sz w:val="20"/>
                <w:szCs w:val="20"/>
                <w:color w:val="auto"/>
              </w:rPr>
            </w:pPr>
            <w:r>
              <w:rPr>
                <w:rFonts w:ascii="Arial" w:cs="Arial" w:eastAsia="Arial" w:hAnsi="Arial"/>
                <w:sz w:val="17"/>
                <w:szCs w:val="17"/>
                <w:color w:val="auto"/>
                <w:w w:val="96"/>
              </w:rPr>
              <w:t>includes additional information and reporting capabilities that help an organization reach, solicit and</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better manage its alumni constituency</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Tribute</w:t>
            </w:r>
          </w:p>
        </w:tc>
        <w:tc>
          <w:tcPr>
            <w:tcW w:w="8200" w:type="dxa"/>
            <w:vAlign w:val="bottom"/>
          </w:tcPr>
          <w:p>
            <w:pPr>
              <w:ind w:left="960"/>
              <w:spacing w:after="0"/>
              <w:rPr>
                <w:sz w:val="20"/>
                <w:szCs w:val="20"/>
                <w:color w:val="auto"/>
              </w:rPr>
            </w:pPr>
            <w:r>
              <w:rPr>
                <w:rFonts w:ascii="Arial" w:cs="Arial" w:eastAsia="Arial" w:hAnsi="Arial"/>
                <w:sz w:val="17"/>
                <w:szCs w:val="17"/>
                <w:color w:val="auto"/>
              </w:rPr>
              <w:t>tracks all gifts made in honor or memory of an individual or individuals and facilitates properly</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acknowledging the donor and honoree</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Electronic Funds Transfer</w:t>
            </w:r>
          </w:p>
        </w:tc>
        <w:tc>
          <w:tcPr>
            <w:tcW w:w="8200" w:type="dxa"/>
            <w:vAlign w:val="bottom"/>
          </w:tcPr>
          <w:p>
            <w:pPr>
              <w:ind w:left="960"/>
              <w:spacing w:after="0"/>
              <w:rPr>
                <w:sz w:val="20"/>
                <w:szCs w:val="20"/>
                <w:color w:val="auto"/>
              </w:rPr>
            </w:pPr>
            <w:r>
              <w:rPr>
                <w:rFonts w:ascii="Arial" w:cs="Arial" w:eastAsia="Arial" w:hAnsi="Arial"/>
                <w:sz w:val="17"/>
                <w:szCs w:val="17"/>
                <w:color w:val="auto"/>
                <w:w w:val="94"/>
              </w:rPr>
              <w:t>allows an organization to easily process gifts made by credit card or by direct debit from donors’ bank</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accounts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Point of Sale</w:t>
            </w:r>
          </w:p>
        </w:tc>
        <w:tc>
          <w:tcPr>
            <w:tcW w:w="8200" w:type="dxa"/>
            <w:vAlign w:val="bottom"/>
          </w:tcPr>
          <w:p>
            <w:pPr>
              <w:ind w:left="960"/>
              <w:spacing w:after="0"/>
              <w:rPr>
                <w:sz w:val="20"/>
                <w:szCs w:val="20"/>
                <w:color w:val="auto"/>
              </w:rPr>
            </w:pPr>
            <w:r>
              <w:rPr>
                <w:rFonts w:ascii="Arial" w:cs="Arial" w:eastAsia="Arial" w:hAnsi="Arial"/>
                <w:sz w:val="17"/>
                <w:szCs w:val="17"/>
                <w:color w:val="auto"/>
                <w:w w:val="92"/>
              </w:rPr>
              <w:t>enables organizations to track inventory and customer purchases, then transfer purchase information to</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constituent records in The Raiser’s Edge</w:t>
            </w:r>
          </w:p>
        </w:tc>
      </w:tr>
      <w:tr>
        <w:trPr>
          <w:trHeight w:val="109"/>
        </w:trPr>
        <w:tc>
          <w:tcPr>
            <w:tcW w:w="2760" w:type="dxa"/>
            <w:vAlign w:val="bottom"/>
            <w:tcBorders>
              <w:bottom w:val="single" w:sz="8" w:color="808080"/>
            </w:tcBorders>
          </w:tcPr>
          <w:p>
            <w:pPr>
              <w:spacing w:after="0"/>
              <w:rPr>
                <w:sz w:val="9"/>
                <w:szCs w:val="9"/>
                <w:color w:val="auto"/>
              </w:rPr>
            </w:pPr>
          </w:p>
        </w:tc>
        <w:tc>
          <w:tcPr>
            <w:tcW w:w="820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Financial Edge</w:t>
      </w:r>
    </w:p>
    <w:p>
      <w:pPr>
        <w:spacing w:after="0" w:line="234" w:lineRule="exact"/>
        <w:rPr>
          <w:sz w:val="20"/>
          <w:szCs w:val="20"/>
          <w:color w:val="auto"/>
        </w:rPr>
      </w:pPr>
    </w:p>
    <w:p>
      <w:pPr>
        <w:ind w:left="60"/>
        <w:spacing w:after="0" w:line="281" w:lineRule="auto"/>
        <w:rPr>
          <w:sz w:val="20"/>
          <w:szCs w:val="20"/>
          <w:color w:val="auto"/>
        </w:rPr>
      </w:pPr>
      <w:r>
        <w:rPr>
          <w:rFonts w:ascii="Arial" w:cs="Arial" w:eastAsia="Arial" w:hAnsi="Arial"/>
          <w:sz w:val="16"/>
          <w:szCs w:val="16"/>
          <w:color w:val="auto"/>
        </w:rPr>
        <w:t>The Financial Edge is an accounting application designed to address the specific accounting needs of nonprofit organizations. As with our other core applications, The Financial Edge integrates with The Raiser’s Edge to simplify gift entry processing, relate information from both systems in an informative manner and eliminate redundant tasks. The Financial Edge improves the transparency and accountability of organizations by allowing them to track and report from multiple views, measure the effectiveness of programs and other initiatives, use budgets as monitoring and strategic planning tools, and supervise cash flow to allocate resources efficiently. As a result, The Financial Edge provides nonprofit organizations with the means to help manage fiscal and fiduciary responsibility, enabling them to be more accountable to their constituents. In addition, The Financial Edge is designed specifically to meet governmental accounting and financial reporting requirements prescribed by the Financial Accounting Standards Board and Governmental Accounting Standards Board. We employ certified public accountants who work with our product development, professional services and customer support teams and who can apply their specialized training and background to assist our customers using The Financial Edge to help them comply with these</w:t>
      </w:r>
    </w:p>
    <w:p>
      <w:pPr>
        <w:spacing w:after="0" w:line="178"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420" w:top="925" w:right="259" w:bottom="1440" w:gutter="0" w:footer="0" w:header="0"/>
        </w:sectPr>
      </w:pPr>
    </w:p>
    <w:bookmarkStart w:id="60" w:name="page61"/>
    <w:bookmarkEnd w:id="60"/>
    <w:p>
      <w:pPr>
        <w:ind w:left="60"/>
        <w:spacing w:after="0"/>
        <w:rPr>
          <w:sz w:val="20"/>
          <w:szCs w:val="20"/>
          <w:color w:val="auto"/>
        </w:rPr>
      </w:pPr>
      <w:r>
        <w:rPr>
          <w:rFonts w:ascii="Arial" w:cs="Arial" w:eastAsia="Arial" w:hAnsi="Arial"/>
          <w:sz w:val="17"/>
          <w:szCs w:val="17"/>
          <w:color w:val="auto"/>
        </w:rPr>
        <w:t>accounting and reporting requirements. We released version 7.4 of The Financial Edge in December 2004.</w:t>
      </w:r>
    </w:p>
    <w:p>
      <w:pPr>
        <w:spacing w:after="0" w:line="281" w:lineRule="exact"/>
        <w:rPr>
          <w:sz w:val="20"/>
          <w:szCs w:val="20"/>
          <w:color w:val="auto"/>
        </w:rPr>
      </w:pPr>
    </w:p>
    <w:p>
      <w:pPr>
        <w:ind w:left="60" w:right="120"/>
        <w:spacing w:after="0" w:line="319" w:lineRule="auto"/>
        <w:rPr>
          <w:sz w:val="20"/>
          <w:szCs w:val="20"/>
          <w:color w:val="auto"/>
        </w:rPr>
      </w:pPr>
      <w:r>
        <w:rPr>
          <w:rFonts w:ascii="Arial" w:cs="Arial" w:eastAsia="Arial" w:hAnsi="Arial"/>
          <w:sz w:val="16"/>
          <w:szCs w:val="16"/>
          <w:color w:val="auto"/>
        </w:rPr>
        <w:t>As with The Raiser’s Edge, we have built extended applications that may be enabled directly within The Financial Edge to address the specific functional needs of our customers. We currently offer 26 such extended applications to accompany The Financial Edge, examples of which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299720</wp:posOffset>
            </wp:positionV>
            <wp:extent cx="69551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5515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Arial" w:cs="Arial" w:eastAsia="Arial" w:hAnsi="Arial"/>
                <w:sz w:val="13"/>
                <w:szCs w:val="13"/>
                <w:b w:val="1"/>
                <w:bCs w:val="1"/>
                <w:color w:val="auto"/>
              </w:rPr>
              <w:t>Module name</w:t>
            </w:r>
          </w:p>
        </w:tc>
        <w:tc>
          <w:tcPr>
            <w:tcW w:w="8200" w:type="dxa"/>
            <w:vAlign w:val="bottom"/>
          </w:tcPr>
          <w:p>
            <w:pPr>
              <w:ind w:left="960"/>
              <w:spacing w:after="0"/>
              <w:rPr>
                <w:sz w:val="20"/>
                <w:szCs w:val="20"/>
                <w:color w:val="auto"/>
              </w:rPr>
            </w:pPr>
            <w:r>
              <w:rPr>
                <w:rFonts w:ascii="Arial" w:cs="Arial" w:eastAsia="Arial" w:hAnsi="Arial"/>
                <w:sz w:val="13"/>
                <w:szCs w:val="13"/>
                <w:b w:val="1"/>
                <w:bCs w:val="1"/>
                <w:color w:val="auto"/>
              </w:rPr>
              <w:t>Key features/benefits</w:t>
            </w:r>
          </w:p>
        </w:tc>
      </w:tr>
      <w:tr>
        <w:trPr>
          <w:trHeight w:val="94"/>
        </w:trPr>
        <w:tc>
          <w:tcPr>
            <w:tcW w:w="2760" w:type="dxa"/>
            <w:vAlign w:val="bottom"/>
            <w:tcBorders>
              <w:bottom w:val="single" w:sz="8" w:color="808080"/>
            </w:tcBorders>
          </w:tcPr>
          <w:p>
            <w:pPr>
              <w:spacing w:after="0"/>
              <w:rPr>
                <w:sz w:val="8"/>
                <w:szCs w:val="8"/>
                <w:color w:val="auto"/>
              </w:rPr>
            </w:pPr>
          </w:p>
        </w:tc>
        <w:tc>
          <w:tcPr>
            <w:tcW w:w="8200" w:type="dxa"/>
            <w:vAlign w:val="bottom"/>
            <w:tcBorders>
              <w:bottom w:val="single" w:sz="8" w:color="808080"/>
            </w:tcBorders>
          </w:tcPr>
          <w:p>
            <w:pPr>
              <w:spacing w:after="0"/>
              <w:rPr>
                <w:sz w:val="8"/>
                <w:szCs w:val="8"/>
                <w:color w:val="auto"/>
              </w:rPr>
            </w:pPr>
          </w:p>
        </w:tc>
      </w:tr>
      <w:tr>
        <w:trPr>
          <w:trHeight w:val="308"/>
        </w:trPr>
        <w:tc>
          <w:tcPr>
            <w:tcW w:w="2760" w:type="dxa"/>
            <w:vAlign w:val="bottom"/>
          </w:tcPr>
          <w:p>
            <w:pPr>
              <w:spacing w:after="0"/>
              <w:rPr>
                <w:sz w:val="20"/>
                <w:szCs w:val="20"/>
                <w:color w:val="auto"/>
              </w:rPr>
            </w:pPr>
            <w:r>
              <w:rPr>
                <w:rFonts w:ascii="Arial" w:cs="Arial" w:eastAsia="Arial" w:hAnsi="Arial"/>
                <w:sz w:val="17"/>
                <w:szCs w:val="17"/>
                <w:color w:val="auto"/>
              </w:rPr>
              <w:t>Purchase Orders</w:t>
            </w:r>
          </w:p>
        </w:tc>
        <w:tc>
          <w:tcPr>
            <w:tcW w:w="8200" w:type="dxa"/>
            <w:vAlign w:val="bottom"/>
          </w:tcPr>
          <w:p>
            <w:pPr>
              <w:ind w:left="960"/>
              <w:spacing w:after="0"/>
              <w:rPr>
                <w:sz w:val="20"/>
                <w:szCs w:val="20"/>
                <w:color w:val="auto"/>
              </w:rPr>
            </w:pPr>
            <w:r>
              <w:rPr>
                <w:rFonts w:ascii="Arial" w:cs="Arial" w:eastAsia="Arial" w:hAnsi="Arial"/>
                <w:sz w:val="17"/>
                <w:szCs w:val="17"/>
                <w:color w:val="auto"/>
              </w:rPr>
              <w:t>provides a variety of options for recording purchases and generating invoices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eRequisitions</w:t>
            </w:r>
          </w:p>
        </w:tc>
        <w:tc>
          <w:tcPr>
            <w:tcW w:w="8200" w:type="dxa"/>
            <w:vAlign w:val="bottom"/>
          </w:tcPr>
          <w:p>
            <w:pPr>
              <w:ind w:left="960"/>
              <w:spacing w:after="0"/>
              <w:rPr>
                <w:sz w:val="20"/>
                <w:szCs w:val="20"/>
                <w:color w:val="auto"/>
              </w:rPr>
            </w:pPr>
            <w:r>
              <w:rPr>
                <w:rFonts w:ascii="Arial" w:cs="Arial" w:eastAsia="Arial" w:hAnsi="Arial"/>
                <w:sz w:val="17"/>
                <w:szCs w:val="17"/>
                <w:color w:val="auto"/>
                <w:w w:val="90"/>
              </w:rPr>
              <w:t>automates the requisition and purchase order process by enabling multiple departments, sites and budget</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managers to make purchasing requests electronically</w:t>
            </w:r>
          </w:p>
        </w:tc>
      </w:tr>
      <w:tr>
        <w:trPr>
          <w:trHeight w:val="423"/>
        </w:trPr>
        <w:tc>
          <w:tcPr>
            <w:tcW w:w="2760" w:type="dxa"/>
            <w:vAlign w:val="bottom"/>
          </w:tcPr>
          <w:p>
            <w:pPr>
              <w:spacing w:after="0"/>
              <w:rPr>
                <w:sz w:val="20"/>
                <w:szCs w:val="20"/>
                <w:color w:val="auto"/>
              </w:rPr>
            </w:pPr>
            <w:r>
              <w:rPr>
                <w:rFonts w:ascii="Arial" w:cs="Arial" w:eastAsia="Arial" w:hAnsi="Arial"/>
                <w:sz w:val="17"/>
                <w:szCs w:val="17"/>
                <w:color w:val="auto"/>
              </w:rPr>
              <w:t>Electronic Funds Transfer</w:t>
            </w:r>
          </w:p>
        </w:tc>
        <w:tc>
          <w:tcPr>
            <w:tcW w:w="8200" w:type="dxa"/>
            <w:vAlign w:val="bottom"/>
          </w:tcPr>
          <w:p>
            <w:pPr>
              <w:ind w:left="960"/>
              <w:spacing w:after="0"/>
              <w:rPr>
                <w:sz w:val="20"/>
                <w:szCs w:val="20"/>
                <w:color w:val="auto"/>
              </w:rPr>
            </w:pPr>
            <w:r>
              <w:rPr>
                <w:rFonts w:ascii="Arial" w:cs="Arial" w:eastAsia="Arial" w:hAnsi="Arial"/>
                <w:sz w:val="17"/>
                <w:szCs w:val="17"/>
                <w:color w:val="auto"/>
              </w:rPr>
              <w:t>allows an organization to make electronic payments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Cash Management</w:t>
            </w:r>
          </w:p>
        </w:tc>
        <w:tc>
          <w:tcPr>
            <w:tcW w:w="8200" w:type="dxa"/>
            <w:vAlign w:val="bottom"/>
          </w:tcPr>
          <w:p>
            <w:pPr>
              <w:ind w:left="960"/>
              <w:spacing w:after="0"/>
              <w:rPr>
                <w:sz w:val="20"/>
                <w:szCs w:val="20"/>
                <w:color w:val="auto"/>
              </w:rPr>
            </w:pPr>
            <w:r>
              <w:rPr>
                <w:rFonts w:ascii="Arial" w:cs="Arial" w:eastAsia="Arial" w:hAnsi="Arial"/>
                <w:sz w:val="17"/>
                <w:szCs w:val="17"/>
                <w:color w:val="auto"/>
                <w:w w:val="95"/>
              </w:rPr>
              <w:t>provides on online register enabling an organization to manage and reconcile multiple bank and cash</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accounts in a centralized repository</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Cash Receipts</w:t>
            </w:r>
          </w:p>
        </w:tc>
        <w:tc>
          <w:tcPr>
            <w:tcW w:w="8200" w:type="dxa"/>
            <w:vAlign w:val="bottom"/>
          </w:tcPr>
          <w:p>
            <w:pPr>
              <w:ind w:left="960"/>
              <w:spacing w:after="0"/>
              <w:rPr>
                <w:sz w:val="20"/>
                <w:szCs w:val="20"/>
                <w:color w:val="auto"/>
              </w:rPr>
            </w:pPr>
            <w:r>
              <w:rPr>
                <w:rFonts w:ascii="Arial" w:cs="Arial" w:eastAsia="Arial" w:hAnsi="Arial"/>
                <w:sz w:val="17"/>
                <w:szCs w:val="17"/>
                <w:color w:val="auto"/>
                <w:w w:val="99"/>
              </w:rPr>
              <w:t>provides flexible receipt-entry enabling an organization to identify where cash amounts originate,</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produce a detailed profile of each transaction and print a deposit ticket</w:t>
            </w:r>
          </w:p>
        </w:tc>
      </w:tr>
      <w:tr>
        <w:trPr>
          <w:trHeight w:val="423"/>
        </w:trPr>
        <w:tc>
          <w:tcPr>
            <w:tcW w:w="2760" w:type="dxa"/>
            <w:vAlign w:val="bottom"/>
          </w:tcPr>
          <w:p>
            <w:pPr>
              <w:spacing w:after="0"/>
              <w:rPr>
                <w:sz w:val="20"/>
                <w:szCs w:val="20"/>
                <w:color w:val="auto"/>
              </w:rPr>
            </w:pPr>
            <w:r>
              <w:rPr>
                <w:rFonts w:ascii="Arial" w:cs="Arial" w:eastAsia="Arial" w:hAnsi="Arial"/>
                <w:sz w:val="17"/>
                <w:szCs w:val="17"/>
                <w:color w:val="auto"/>
              </w:rPr>
              <w:t>Payroll</w:t>
            </w:r>
          </w:p>
        </w:tc>
        <w:tc>
          <w:tcPr>
            <w:tcW w:w="8200" w:type="dxa"/>
            <w:vAlign w:val="bottom"/>
          </w:tcPr>
          <w:p>
            <w:pPr>
              <w:ind w:left="960"/>
              <w:spacing w:after="0"/>
              <w:rPr>
                <w:sz w:val="20"/>
                <w:szCs w:val="20"/>
                <w:color w:val="auto"/>
              </w:rPr>
            </w:pPr>
            <w:r>
              <w:rPr>
                <w:rFonts w:ascii="Arial" w:cs="Arial" w:eastAsia="Arial" w:hAnsi="Arial"/>
                <w:sz w:val="17"/>
                <w:szCs w:val="17"/>
                <w:color w:val="auto"/>
              </w:rPr>
              <w:t>automates in-house payroll processing</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Fixed Assets</w:t>
            </w:r>
          </w:p>
        </w:tc>
        <w:tc>
          <w:tcPr>
            <w:tcW w:w="8200" w:type="dxa"/>
            <w:vAlign w:val="bottom"/>
          </w:tcPr>
          <w:p>
            <w:pPr>
              <w:ind w:left="960"/>
              <w:spacing w:after="0"/>
              <w:rPr>
                <w:sz w:val="20"/>
                <w:szCs w:val="20"/>
                <w:color w:val="auto"/>
              </w:rPr>
            </w:pPr>
            <w:r>
              <w:rPr>
                <w:rFonts w:ascii="Arial" w:cs="Arial" w:eastAsia="Arial" w:hAnsi="Arial"/>
                <w:sz w:val="17"/>
                <w:szCs w:val="17"/>
                <w:color w:val="auto"/>
                <w:w w:val="91"/>
              </w:rPr>
              <w:t>stores the information required to properly track and manage property, plant and equipment and the costs</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associated with them</w:t>
            </w:r>
          </w:p>
        </w:tc>
      </w:tr>
      <w:tr>
        <w:trPr>
          <w:trHeight w:val="423"/>
        </w:trPr>
        <w:tc>
          <w:tcPr>
            <w:tcW w:w="2760" w:type="dxa"/>
            <w:vAlign w:val="bottom"/>
          </w:tcPr>
          <w:p>
            <w:pPr>
              <w:spacing w:after="0"/>
              <w:rPr>
                <w:sz w:val="20"/>
                <w:szCs w:val="20"/>
                <w:color w:val="auto"/>
              </w:rPr>
            </w:pPr>
            <w:r>
              <w:rPr>
                <w:rFonts w:ascii="Arial" w:cs="Arial" w:eastAsia="Arial" w:hAnsi="Arial"/>
                <w:sz w:val="17"/>
                <w:szCs w:val="17"/>
                <w:color w:val="auto"/>
              </w:rPr>
              <w:t>Student Billing</w:t>
            </w:r>
          </w:p>
        </w:tc>
        <w:tc>
          <w:tcPr>
            <w:tcW w:w="8200" w:type="dxa"/>
            <w:vAlign w:val="bottom"/>
          </w:tcPr>
          <w:p>
            <w:pPr>
              <w:ind w:left="960"/>
              <w:spacing w:after="0"/>
              <w:rPr>
                <w:sz w:val="20"/>
                <w:szCs w:val="20"/>
                <w:color w:val="auto"/>
              </w:rPr>
            </w:pPr>
            <w:r>
              <w:rPr>
                <w:rFonts w:ascii="Arial" w:cs="Arial" w:eastAsia="Arial" w:hAnsi="Arial"/>
                <w:sz w:val="17"/>
                <w:szCs w:val="17"/>
                <w:color w:val="auto"/>
              </w:rPr>
              <w:t>provides independent schools the ability to perform billing functions and process payments</w:t>
            </w:r>
          </w:p>
        </w:tc>
      </w:tr>
      <w:tr>
        <w:trPr>
          <w:trHeight w:val="418"/>
        </w:trPr>
        <w:tc>
          <w:tcPr>
            <w:tcW w:w="2760" w:type="dxa"/>
            <w:vAlign w:val="bottom"/>
          </w:tcPr>
          <w:p>
            <w:pPr>
              <w:spacing w:after="0"/>
              <w:rPr>
                <w:sz w:val="20"/>
                <w:szCs w:val="20"/>
                <w:color w:val="auto"/>
              </w:rPr>
            </w:pPr>
            <w:r>
              <w:rPr>
                <w:rFonts w:ascii="Arial" w:cs="Arial" w:eastAsia="Arial" w:hAnsi="Arial"/>
                <w:sz w:val="17"/>
                <w:szCs w:val="17"/>
                <w:color w:val="auto"/>
              </w:rPr>
              <w:t>School Store Manager</w:t>
            </w:r>
          </w:p>
        </w:tc>
        <w:tc>
          <w:tcPr>
            <w:tcW w:w="8200" w:type="dxa"/>
            <w:vAlign w:val="bottom"/>
          </w:tcPr>
          <w:p>
            <w:pPr>
              <w:ind w:left="960"/>
              <w:spacing w:after="0"/>
              <w:rPr>
                <w:sz w:val="20"/>
                <w:szCs w:val="20"/>
                <w:color w:val="auto"/>
              </w:rPr>
            </w:pPr>
            <w:r>
              <w:rPr>
                <w:rFonts w:ascii="Arial" w:cs="Arial" w:eastAsia="Arial" w:hAnsi="Arial"/>
                <w:sz w:val="17"/>
                <w:szCs w:val="17"/>
                <w:color w:val="auto"/>
                <w:w w:val="95"/>
              </w:rPr>
              <w:t>manages sales, inventory control, discounts, mailings, pricing, purchasing, receivables, reporting and</w:t>
            </w:r>
          </w:p>
        </w:tc>
      </w:tr>
      <w:tr>
        <w:trPr>
          <w:trHeight w:val="212"/>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w w:val="94"/>
              </w:rPr>
              <w:t>suppliers for bookstores, snack bars, cafeterias and athletic stores through an integrated point-of-sale</w:t>
            </w:r>
          </w:p>
        </w:tc>
      </w:tr>
      <w:tr>
        <w:trPr>
          <w:trHeight w:val="217"/>
        </w:trPr>
        <w:tc>
          <w:tcPr>
            <w:tcW w:w="2760" w:type="dxa"/>
            <w:vAlign w:val="bottom"/>
          </w:tcPr>
          <w:p>
            <w:pPr>
              <w:spacing w:after="0"/>
              <w:rPr>
                <w:sz w:val="18"/>
                <w:szCs w:val="18"/>
                <w:color w:val="auto"/>
              </w:rPr>
            </w:pPr>
          </w:p>
        </w:tc>
        <w:tc>
          <w:tcPr>
            <w:tcW w:w="8200" w:type="dxa"/>
            <w:vAlign w:val="bottom"/>
          </w:tcPr>
          <w:p>
            <w:pPr>
              <w:ind w:left="960"/>
              <w:spacing w:after="0"/>
              <w:rPr>
                <w:sz w:val="20"/>
                <w:szCs w:val="20"/>
                <w:color w:val="auto"/>
              </w:rPr>
            </w:pPr>
            <w:r>
              <w:rPr>
                <w:rFonts w:ascii="Arial" w:cs="Arial" w:eastAsia="Arial" w:hAnsi="Arial"/>
                <w:sz w:val="17"/>
                <w:szCs w:val="17"/>
                <w:color w:val="auto"/>
              </w:rPr>
              <w:t>solution</w:t>
            </w:r>
          </w:p>
        </w:tc>
      </w:tr>
      <w:tr>
        <w:trPr>
          <w:trHeight w:val="423"/>
        </w:trPr>
        <w:tc>
          <w:tcPr>
            <w:tcW w:w="2760" w:type="dxa"/>
            <w:vAlign w:val="bottom"/>
          </w:tcPr>
          <w:p>
            <w:pPr>
              <w:spacing w:after="0"/>
              <w:rPr>
                <w:sz w:val="20"/>
                <w:szCs w:val="20"/>
                <w:color w:val="auto"/>
              </w:rPr>
            </w:pPr>
            <w:r>
              <w:rPr>
                <w:rFonts w:ascii="Arial" w:cs="Arial" w:eastAsia="Arial" w:hAnsi="Arial"/>
                <w:sz w:val="17"/>
                <w:szCs w:val="17"/>
                <w:color w:val="auto"/>
              </w:rPr>
              <w:t>Accounting Forms</w:t>
            </w:r>
          </w:p>
        </w:tc>
        <w:tc>
          <w:tcPr>
            <w:tcW w:w="8200" w:type="dxa"/>
            <w:vAlign w:val="bottom"/>
          </w:tcPr>
          <w:p>
            <w:pPr>
              <w:ind w:left="960"/>
              <w:spacing w:after="0"/>
              <w:rPr>
                <w:sz w:val="20"/>
                <w:szCs w:val="20"/>
                <w:color w:val="auto"/>
              </w:rPr>
            </w:pPr>
            <w:r>
              <w:rPr>
                <w:rFonts w:ascii="Arial" w:cs="Arial" w:eastAsia="Arial" w:hAnsi="Arial"/>
                <w:sz w:val="17"/>
                <w:szCs w:val="17"/>
                <w:color w:val="auto"/>
                <w:w w:val="92"/>
              </w:rPr>
              <w:t>integrates with our accounting products, enabling an organization to print business forms cost effectively</w:t>
            </w:r>
          </w:p>
        </w:tc>
      </w:tr>
      <w:tr>
        <w:trPr>
          <w:trHeight w:val="109"/>
        </w:trPr>
        <w:tc>
          <w:tcPr>
            <w:tcW w:w="2760" w:type="dxa"/>
            <w:vAlign w:val="bottom"/>
            <w:tcBorders>
              <w:bottom w:val="single" w:sz="8" w:color="808080"/>
            </w:tcBorders>
          </w:tcPr>
          <w:p>
            <w:pPr>
              <w:spacing w:after="0"/>
              <w:rPr>
                <w:sz w:val="9"/>
                <w:szCs w:val="9"/>
                <w:color w:val="auto"/>
              </w:rPr>
            </w:pPr>
          </w:p>
        </w:tc>
        <w:tc>
          <w:tcPr>
            <w:tcW w:w="820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Education Edge</w:t>
      </w:r>
    </w:p>
    <w:p>
      <w:pPr>
        <w:spacing w:after="0" w:line="234" w:lineRule="exact"/>
        <w:rPr>
          <w:sz w:val="20"/>
          <w:szCs w:val="20"/>
          <w:color w:val="auto"/>
        </w:rPr>
      </w:pPr>
    </w:p>
    <w:p>
      <w:pPr>
        <w:ind w:left="60"/>
        <w:spacing w:after="0" w:line="264" w:lineRule="auto"/>
        <w:rPr>
          <w:sz w:val="20"/>
          <w:szCs w:val="20"/>
          <w:color w:val="auto"/>
        </w:rPr>
      </w:pPr>
      <w:r>
        <w:rPr>
          <w:rFonts w:ascii="Arial" w:cs="Arial" w:eastAsia="Arial" w:hAnsi="Arial"/>
          <w:sz w:val="17"/>
          <w:szCs w:val="17"/>
          <w:color w:val="auto"/>
        </w:rPr>
        <w:t>Our education administration products are a comprehensive student information management system designed principally to organize an independent school’s admissions and registrar processes, including capturing detailed student information, creating schedules, managing feedback and grading processes, producing demographic, statistic and analytical reports, and printing report cards and transcripts. With our education administration products, an organization can keep biographical and address information for students, parents, and constituents consistent across all of its Blackbaud software products. This integrated system allows an independent school to reduce data-entry time and ensure that information is current and accurate throughout the school. To date, we have marketed our education administration products under the names Admissions Office and Registrar’s Office. We released a new version of our education administration offering in June 2004 under the</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80"/>
          </w:cols>
          <w:pgMar w:left="420" w:top="925" w:right="299" w:bottom="1440" w:gutter="0" w:footer="0" w:header="0"/>
        </w:sectPr>
      </w:pPr>
    </w:p>
    <w:bookmarkStart w:id="61" w:name="page62"/>
    <w:bookmarkEnd w:id="61"/>
    <w:p>
      <w:pPr>
        <w:ind w:left="60"/>
        <w:spacing w:after="0"/>
        <w:rPr>
          <w:sz w:val="20"/>
          <w:szCs w:val="20"/>
          <w:color w:val="auto"/>
        </w:rPr>
      </w:pPr>
      <w:r>
        <w:rPr>
          <w:rFonts w:ascii="Arial" w:cs="Arial" w:eastAsia="Arial" w:hAnsi="Arial"/>
          <w:sz w:val="17"/>
          <w:szCs w:val="17"/>
          <w:color w:val="auto"/>
        </w:rPr>
        <w:t>name “The Education Edge”. This new version has additional functionality and an enhanced platform.</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Patron Edge</w:t>
      </w:r>
    </w:p>
    <w:p>
      <w:pPr>
        <w:spacing w:after="0" w:line="234" w:lineRule="exact"/>
        <w:rPr>
          <w:sz w:val="20"/>
          <w:szCs w:val="20"/>
          <w:color w:val="auto"/>
        </w:rPr>
      </w:pPr>
    </w:p>
    <w:p>
      <w:pPr>
        <w:ind w:left="60" w:right="20"/>
        <w:spacing w:after="0" w:line="265" w:lineRule="auto"/>
        <w:rPr>
          <w:sz w:val="20"/>
          <w:szCs w:val="20"/>
          <w:color w:val="auto"/>
        </w:rPr>
      </w:pPr>
      <w:r>
        <w:rPr>
          <w:rFonts w:ascii="Arial" w:cs="Arial" w:eastAsia="Arial" w:hAnsi="Arial"/>
          <w:sz w:val="17"/>
          <w:szCs w:val="17"/>
          <w:color w:val="auto"/>
        </w:rPr>
        <w:t>The Patron Edge, which we launched in June 2004, is a comprehensive ticketing management solution specifically designed to help large or small performing arts organizations, museums, zoos, and aquariums boost attendance and increase revenue. The Patron Edge can be used in conjunction with The Raiser’s Edge to allow for comprehensive marketing based on donor profiles or as a standalone ticketing and subscription sales management tool. The Patron Edge offers a variety of ticketing methods and allows customers to save time by streamlining ticketing, staffing, scheduling, event and membership management, and other administrative tasks. The Patron Edge decreases costs incurred by customers by reducing box office expenses and eliminating the transaction fees common to other online ticketing solutions.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Information Edge</w:t>
      </w:r>
    </w:p>
    <w:p>
      <w:pPr>
        <w:spacing w:after="0" w:line="234" w:lineRule="exact"/>
        <w:rPr>
          <w:sz w:val="20"/>
          <w:szCs w:val="20"/>
          <w:color w:val="auto"/>
        </w:rPr>
      </w:pPr>
    </w:p>
    <w:p>
      <w:pPr>
        <w:ind w:left="60" w:right="100"/>
        <w:spacing w:after="0" w:line="265" w:lineRule="auto"/>
        <w:rPr>
          <w:sz w:val="20"/>
          <w:szCs w:val="20"/>
          <w:color w:val="auto"/>
        </w:rPr>
      </w:pPr>
      <w:r>
        <w:rPr>
          <w:rFonts w:ascii="Arial" w:cs="Arial" w:eastAsia="Arial" w:hAnsi="Arial"/>
          <w:sz w:val="17"/>
          <w:szCs w:val="17"/>
          <w:color w:val="auto"/>
        </w:rPr>
        <w:t>The Information Edge is an open and scalable business intelligence solution designed specifically to meet the needs of nonprofit organizations. We launched The Information Edge in August 2003. The Information Edge is an analysis and reporting tool that allows an organization to extract, aggregate and analyze its data to gain insight from multiple data sources and provide opportunities to increase revenues. The Information Edge extracts data from multiple highly indexed transactional databases, including The Raiser’s Edge, and integrates that data into a data warehouse that allows high-speed queries, complex analysis and reporting across the organization including remote locations. The Information Edge is optimized to assist an organization with its direct marketing and fundraising programs, including donor segmentation and campaign strategy.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Blackbaud Internet applications</w:t>
      </w:r>
    </w:p>
    <w:p>
      <w:pPr>
        <w:spacing w:after="0" w:line="234" w:lineRule="exact"/>
        <w:rPr>
          <w:sz w:val="20"/>
          <w:szCs w:val="20"/>
          <w:color w:val="auto"/>
        </w:rPr>
      </w:pPr>
    </w:p>
    <w:p>
      <w:pPr>
        <w:ind w:left="60"/>
        <w:spacing w:after="0" w:line="310" w:lineRule="auto"/>
        <w:rPr>
          <w:sz w:val="20"/>
          <w:szCs w:val="20"/>
          <w:color w:val="auto"/>
        </w:rPr>
      </w:pPr>
      <w:r>
        <w:rPr>
          <w:rFonts w:ascii="Arial" w:cs="Arial" w:eastAsia="Arial" w:hAnsi="Arial"/>
          <w:sz w:val="15"/>
          <w:szCs w:val="15"/>
          <w:color w:val="auto"/>
        </w:rPr>
        <w:t>We provide a variety of applications that allow our customers to use our fundraising, accounting and administration products via the Internet. For example, our NetSolutions product enables a nonprofit to conduct online fundraising, e-marketing, event management and volunteer coordination. We launched NetSolutions in August 2000 and released our most recent version in February 2004. Through September 30, 2004, we had more than 1,000 active NetSolutions customers. We also offer our NetCommunity product, which allows our customers to establish an online community that offers interaction among constituents, email marketing and online-giving tools. NetCommunity integrates with The Raiser’s Edge, allowing nonprofits to leverage a single donor database.</w:t>
      </w:r>
    </w:p>
    <w:p>
      <w:pPr>
        <w:spacing w:after="0" w:line="182" w:lineRule="exact"/>
        <w:rPr>
          <w:sz w:val="20"/>
          <w:szCs w:val="20"/>
          <w:color w:val="auto"/>
        </w:rPr>
      </w:pPr>
    </w:p>
    <w:p>
      <w:pPr>
        <w:ind w:left="60" w:right="160"/>
        <w:spacing w:after="0" w:line="286" w:lineRule="auto"/>
        <w:rPr>
          <w:sz w:val="20"/>
          <w:szCs w:val="20"/>
          <w:color w:val="auto"/>
        </w:rPr>
      </w:pPr>
      <w:r>
        <w:rPr>
          <w:rFonts w:ascii="Arial" w:cs="Arial" w:eastAsia="Arial" w:hAnsi="Arial"/>
          <w:sz w:val="16"/>
          <w:szCs w:val="16"/>
          <w:color w:val="auto"/>
        </w:rPr>
        <w:t>In addition, we have web-enabled most of our applications to allow nonprofit organizations of all sizes to easily and efficiently interact with wider audiences through dynamic content and email campaigns securely from anywhere in the world. These solutions provide a wide variety of web-based online services including the ability for constituents to register for events, update demographic information, support an organization by volunteering and make donations. We provide real-time integration between our Internet and core applications, which significantly enhances the effectiveness of our solutions by tying all information directly to the back-office, which provides an organization with a single, comprehensive view of its constituents and volunteers.</w:t>
      </w:r>
    </w:p>
    <w:p>
      <w:pPr>
        <w:spacing w:after="0" w:line="174"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147955</wp:posOffset>
            </wp:positionV>
            <wp:extent cx="725360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420" w:top="925"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Consulting services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Our consultants provide installation and implementation services for each of our software products. These services include:</w:t>
      </w:r>
    </w:p>
    <w:p>
      <w:pPr>
        <w:spacing w:after="0" w:line="228" w:lineRule="exact"/>
        <w:rPr>
          <w:sz w:val="20"/>
          <w:szCs w:val="20"/>
          <w:color w:val="auto"/>
        </w:rPr>
      </w:pPr>
    </w:p>
    <w:p>
      <w:pPr>
        <w:ind w:left="240" w:right="400" w:hanging="234"/>
        <w:spacing w:after="0" w:line="286"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system installation and implementation, including assistance installing the software, setting up security, tables, attributes, field options, default sets, business rules, reports, queries, exports and user options, and explanation of data entry and processing procedures;</w:t>
      </w:r>
    </w:p>
    <w:p>
      <w:pPr>
        <w:spacing w:after="0" w:line="195" w:lineRule="exact"/>
        <w:rPr>
          <w:rFonts w:ascii="Arial" w:cs="Arial" w:eastAsia="Arial" w:hAnsi="Arial"/>
          <w:sz w:val="17"/>
          <w:szCs w:val="17"/>
          <w:color w:val="auto"/>
        </w:rPr>
      </w:pPr>
    </w:p>
    <w:p>
      <w:pPr>
        <w:ind w:left="240" w:hanging="234"/>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management of the data conversion process to ensure data is a reliable and powerful source of information for an organization;</w:t>
      </w:r>
    </w:p>
    <w:p>
      <w:pPr>
        <w:spacing w:after="0" w:line="254" w:lineRule="exact"/>
        <w:rPr>
          <w:rFonts w:ascii="Arial" w:cs="Arial" w:eastAsia="Arial" w:hAnsi="Arial"/>
          <w:sz w:val="17"/>
          <w:szCs w:val="17"/>
          <w:color w:val="auto"/>
        </w:rPr>
      </w:pPr>
    </w:p>
    <w:p>
      <w:pPr>
        <w:ind w:left="240" w:right="340" w:hanging="234"/>
        <w:spacing w:after="0" w:line="286"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system analysis and application customization to ensure that the organization’s Raiser’s Edge system is properly aligned with an organization’s processes and objectives; and</w:t>
      </w:r>
    </w:p>
    <w:p>
      <w:pPr>
        <w:spacing w:after="0" w:line="195" w:lineRule="exact"/>
        <w:rPr>
          <w:rFonts w:ascii="Arial" w:cs="Arial" w:eastAsia="Arial" w:hAnsi="Arial"/>
          <w:sz w:val="17"/>
          <w:szCs w:val="17"/>
          <w:color w:val="auto"/>
        </w:rPr>
      </w:pPr>
    </w:p>
    <w:p>
      <w:pPr>
        <w:ind w:left="240" w:hanging="234"/>
        <w:spacing w:after="0"/>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removal of duplicative records, database merging, and information cleansing and consolidation.</w:t>
      </w:r>
    </w:p>
    <w:p>
      <w:pPr>
        <w:spacing w:after="0" w:line="228"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color w:val="auto"/>
        </w:rPr>
        <w:t>In addition to these services, we apply our industry knowledge and experience, combined with our service offering expertise and expert knowledge of our products, to evaluate an organization’s needs and provide operational efficiency and business process improvement consulting for our customers. This work is performed by our staff of consultants who have extensive and relevant domain experience in fundraising, accounting, project management and IT services. This experience and knowledge allows us to make recommendations and implement solutions that ensure efficient and effective use of our products. In addition, we offer software customization services to organizations that do not have the time or in-house resources to create customized solutions using our core products. We believe that no other software company provides as broad a range of consulting and technology services and solutions dedicated to the nonprofit industry as we do.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 services</w:t>
      </w:r>
    </w:p>
    <w:p>
      <w:pPr>
        <w:spacing w:after="0" w:line="22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provide a variety of classroom, onsite and self-paced training services to our customers relating to the use of our software products and application of best practices. Our software instructors have extensive training in the use of our software and present course material that is designed to include hands-on lab exercises as well as a course workbook with examples and problems to solve. The education services segment has historically shown some seasonality, as our customers generally attend more training sessions during the second and third quarters of the year. Key aspects of our education services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7249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tabs>
          <w:tab w:leader="none" w:pos="3880" w:val="left"/>
        </w:tabs>
        <w:rPr>
          <w:sz w:val="20"/>
          <w:szCs w:val="20"/>
          <w:color w:val="auto"/>
        </w:rPr>
      </w:pPr>
      <w:r>
        <w:rPr>
          <w:rFonts w:ascii="Arial" w:cs="Arial" w:eastAsia="Arial" w:hAnsi="Arial"/>
          <w:sz w:val="13"/>
          <w:szCs w:val="13"/>
          <w:b w:val="1"/>
          <w:bCs w:val="1"/>
          <w:color w:val="auto"/>
        </w:rPr>
        <w:t>Education services</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00" w:type="dxa"/>
            <w:vAlign w:val="bottom"/>
          </w:tcPr>
          <w:p>
            <w:pPr>
              <w:spacing w:after="0"/>
              <w:rPr>
                <w:sz w:val="20"/>
                <w:szCs w:val="20"/>
                <w:color w:val="auto"/>
              </w:rPr>
            </w:pPr>
            <w:r>
              <w:rPr>
                <w:rFonts w:ascii="Arial" w:cs="Arial" w:eastAsia="Arial" w:hAnsi="Arial"/>
                <w:sz w:val="17"/>
                <w:szCs w:val="17"/>
                <w:color w:val="auto"/>
              </w:rPr>
              <w:t>Blackbaud University</w:t>
            </w:r>
          </w:p>
        </w:tc>
        <w:tc>
          <w:tcPr>
            <w:tcW w:w="8720" w:type="dxa"/>
            <w:vAlign w:val="bottom"/>
          </w:tcPr>
          <w:p>
            <w:pPr>
              <w:ind w:left="1200"/>
              <w:spacing w:after="0"/>
              <w:rPr>
                <w:sz w:val="20"/>
                <w:szCs w:val="20"/>
                <w:color w:val="auto"/>
              </w:rPr>
            </w:pPr>
            <w:r>
              <w:rPr>
                <w:rFonts w:ascii="Arial" w:cs="Arial" w:eastAsia="Arial" w:hAnsi="Arial"/>
                <w:sz w:val="17"/>
                <w:szCs w:val="17"/>
                <w:color w:val="auto"/>
                <w:w w:val="93"/>
              </w:rPr>
              <w:t>training facility based in our headquarters with 12 classrooms, each outfitted with computer workstations for</w:t>
            </w:r>
          </w:p>
        </w:tc>
      </w:tr>
      <w:tr>
        <w:trPr>
          <w:trHeight w:val="217"/>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7"/>
                <w:szCs w:val="17"/>
                <w:color w:val="auto"/>
              </w:rPr>
              <w:t>each attendee to view and participate in step-by-step demonstrations of our software</w:t>
            </w:r>
          </w:p>
        </w:tc>
      </w:tr>
      <w:tr>
        <w:trPr>
          <w:trHeight w:val="418"/>
        </w:trPr>
        <w:tc>
          <w:tcPr>
            <w:tcW w:w="2700" w:type="dxa"/>
            <w:vAlign w:val="bottom"/>
          </w:tcPr>
          <w:p>
            <w:pPr>
              <w:spacing w:after="0"/>
              <w:rPr>
                <w:sz w:val="20"/>
                <w:szCs w:val="20"/>
                <w:color w:val="auto"/>
              </w:rPr>
            </w:pPr>
            <w:r>
              <w:rPr>
                <w:rFonts w:ascii="Arial" w:cs="Arial" w:eastAsia="Arial" w:hAnsi="Arial"/>
                <w:sz w:val="17"/>
                <w:szCs w:val="17"/>
                <w:color w:val="auto"/>
              </w:rPr>
              <w:t>Regional Training</w:t>
            </w:r>
          </w:p>
        </w:tc>
        <w:tc>
          <w:tcPr>
            <w:tcW w:w="8720" w:type="dxa"/>
            <w:vAlign w:val="bottom"/>
          </w:tcPr>
          <w:p>
            <w:pPr>
              <w:ind w:left="1200"/>
              <w:spacing w:after="0"/>
              <w:rPr>
                <w:sz w:val="20"/>
                <w:szCs w:val="20"/>
                <w:color w:val="auto"/>
              </w:rPr>
            </w:pPr>
            <w:r>
              <w:rPr>
                <w:rFonts w:ascii="Arial" w:cs="Arial" w:eastAsia="Arial" w:hAnsi="Arial"/>
                <w:sz w:val="17"/>
                <w:szCs w:val="17"/>
                <w:color w:val="auto"/>
                <w:w w:val="98"/>
              </w:rPr>
              <w:t>offered year-round for our clients at more than 60 regional locations throughout the United States and</w:t>
            </w:r>
          </w:p>
        </w:tc>
      </w:tr>
      <w:tr>
        <w:trPr>
          <w:trHeight w:val="212"/>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7"/>
                <w:szCs w:val="17"/>
                <w:color w:val="auto"/>
                <w:w w:val="97"/>
              </w:rPr>
              <w:t>Canada. These regional sites include fully equipped classrooms and individual student workstations for</w:t>
            </w:r>
          </w:p>
        </w:tc>
      </w:tr>
      <w:tr>
        <w:trPr>
          <w:trHeight w:val="217"/>
        </w:trPr>
        <w:tc>
          <w:tcPr>
            <w:tcW w:w="2700" w:type="dxa"/>
            <w:vAlign w:val="bottom"/>
          </w:tcPr>
          <w:p>
            <w:pPr>
              <w:spacing w:after="0"/>
              <w:rPr>
                <w:sz w:val="18"/>
                <w:szCs w:val="18"/>
                <w:color w:val="auto"/>
              </w:rPr>
            </w:pPr>
          </w:p>
        </w:tc>
        <w:tc>
          <w:tcPr>
            <w:tcW w:w="8720" w:type="dxa"/>
            <w:vAlign w:val="bottom"/>
          </w:tcPr>
          <w:p>
            <w:pPr>
              <w:ind w:left="1200"/>
              <w:spacing w:after="0"/>
              <w:rPr>
                <w:sz w:val="20"/>
                <w:szCs w:val="20"/>
                <w:color w:val="auto"/>
              </w:rPr>
            </w:pPr>
            <w:r>
              <w:rPr>
                <w:rFonts w:ascii="Arial" w:cs="Arial" w:eastAsia="Arial" w:hAnsi="Arial"/>
                <w:sz w:val="17"/>
                <w:szCs w:val="17"/>
                <w:color w:val="auto"/>
              </w:rPr>
              <w:t>hands-on learning</w:t>
            </w:r>
          </w:p>
        </w:tc>
      </w:tr>
      <w:tr>
        <w:trPr>
          <w:trHeight w:val="423"/>
        </w:trPr>
        <w:tc>
          <w:tcPr>
            <w:tcW w:w="2700" w:type="dxa"/>
            <w:vAlign w:val="bottom"/>
          </w:tcPr>
          <w:p>
            <w:pPr>
              <w:spacing w:after="0"/>
              <w:rPr>
                <w:sz w:val="24"/>
                <w:szCs w:val="24"/>
                <w:color w:val="auto"/>
              </w:rPr>
            </w:pPr>
          </w:p>
        </w:tc>
        <w:tc>
          <w:tcPr>
            <w:tcW w:w="8720" w:type="dxa"/>
            <w:vAlign w:val="bottom"/>
          </w:tcPr>
          <w:p>
            <w:pPr>
              <w:ind w:left="2920"/>
              <w:spacing w:after="0"/>
              <w:rPr>
                <w:sz w:val="20"/>
                <w:szCs w:val="20"/>
                <w:color w:val="auto"/>
              </w:rPr>
            </w:pPr>
            <w:r>
              <w:rPr>
                <w:rFonts w:ascii="Arial" w:cs="Arial" w:eastAsia="Arial" w:hAnsi="Arial"/>
                <w:sz w:val="17"/>
                <w:szCs w:val="17"/>
                <w:color w:val="auto"/>
              </w:rPr>
              <w:t>58</w:t>
            </w:r>
          </w:p>
        </w:tc>
      </w:tr>
      <w:tr>
        <w:trPr>
          <w:trHeight w:val="224"/>
        </w:trPr>
        <w:tc>
          <w:tcPr>
            <w:tcW w:w="2700" w:type="dxa"/>
            <w:vAlign w:val="bottom"/>
            <w:tcBorders>
              <w:bottom w:val="single" w:sz="8" w:color="808080"/>
            </w:tcBorders>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3" w:name="page64"/>
    <w:bookmarkEnd w:id="63"/>
    <w:p>
      <w:pPr>
        <w:spacing w:after="0"/>
        <w:tabs>
          <w:tab w:leader="none" w:pos="388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156210</wp:posOffset>
            </wp:positionH>
            <wp:positionV relativeFrom="page">
              <wp:posOffset>794385</wp:posOffset>
            </wp:positionV>
            <wp:extent cx="7249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8255"/>
                    </a:xfrm>
                    <a:prstGeom prst="rect">
                      <a:avLst/>
                    </a:prstGeom>
                    <a:noFill/>
                  </pic:spPr>
                </pic:pic>
              </a:graphicData>
            </a:graphic>
          </wp:anchor>
        </w:drawing>
        <w:t>Education services</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73025</wp:posOffset>
            </wp:positionV>
            <wp:extent cx="72491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40" w:type="dxa"/>
            <w:vAlign w:val="bottom"/>
          </w:tcPr>
          <w:p>
            <w:pPr>
              <w:spacing w:after="0"/>
              <w:rPr>
                <w:sz w:val="20"/>
                <w:szCs w:val="20"/>
                <w:color w:val="auto"/>
              </w:rPr>
            </w:pPr>
            <w:r>
              <w:rPr>
                <w:rFonts w:ascii="Arial" w:cs="Arial" w:eastAsia="Arial" w:hAnsi="Arial"/>
                <w:sz w:val="17"/>
                <w:szCs w:val="17"/>
                <w:color w:val="auto"/>
              </w:rPr>
              <w:t>Onsite Training</w:t>
            </w:r>
          </w:p>
        </w:tc>
        <w:tc>
          <w:tcPr>
            <w:tcW w:w="8780" w:type="dxa"/>
            <w:vAlign w:val="bottom"/>
          </w:tcPr>
          <w:p>
            <w:pPr>
              <w:ind w:left="1260"/>
              <w:spacing w:after="0"/>
              <w:rPr>
                <w:sz w:val="20"/>
                <w:szCs w:val="20"/>
                <w:color w:val="auto"/>
              </w:rPr>
            </w:pPr>
            <w:r>
              <w:rPr>
                <w:rFonts w:ascii="Arial" w:cs="Arial" w:eastAsia="Arial" w:hAnsi="Arial"/>
                <w:sz w:val="17"/>
                <w:szCs w:val="17"/>
                <w:color w:val="auto"/>
                <w:w w:val="95"/>
              </w:rPr>
              <w:t>provided at a customer’s location, typically for customers that have a large group of employees requiring</w:t>
            </w:r>
          </w:p>
        </w:tc>
      </w:tr>
      <w:tr>
        <w:trPr>
          <w:trHeight w:val="217"/>
        </w:trPr>
        <w:tc>
          <w:tcPr>
            <w:tcW w:w="2640" w:type="dxa"/>
            <w:vAlign w:val="bottom"/>
          </w:tcPr>
          <w:p>
            <w:pPr>
              <w:spacing w:after="0"/>
              <w:rPr>
                <w:sz w:val="18"/>
                <w:szCs w:val="18"/>
                <w:color w:val="auto"/>
              </w:rPr>
            </w:pPr>
          </w:p>
        </w:tc>
        <w:tc>
          <w:tcPr>
            <w:tcW w:w="8780" w:type="dxa"/>
            <w:vAlign w:val="bottom"/>
          </w:tcPr>
          <w:p>
            <w:pPr>
              <w:ind w:left="1260"/>
              <w:spacing w:after="0"/>
              <w:rPr>
                <w:sz w:val="20"/>
                <w:szCs w:val="20"/>
                <w:color w:val="auto"/>
              </w:rPr>
            </w:pPr>
            <w:r>
              <w:rPr>
                <w:rFonts w:ascii="Arial" w:cs="Arial" w:eastAsia="Arial" w:hAnsi="Arial"/>
                <w:sz w:val="17"/>
                <w:szCs w:val="17"/>
                <w:color w:val="auto"/>
              </w:rPr>
              <w:t>more specialized training</w:t>
            </w:r>
          </w:p>
        </w:tc>
      </w:tr>
      <w:tr>
        <w:trPr>
          <w:trHeight w:val="418"/>
        </w:trPr>
        <w:tc>
          <w:tcPr>
            <w:tcW w:w="2640" w:type="dxa"/>
            <w:vAlign w:val="bottom"/>
          </w:tcPr>
          <w:p>
            <w:pPr>
              <w:spacing w:after="0"/>
              <w:rPr>
                <w:sz w:val="20"/>
                <w:szCs w:val="20"/>
                <w:color w:val="auto"/>
              </w:rPr>
            </w:pPr>
            <w:r>
              <w:rPr>
                <w:rFonts w:ascii="Arial" w:cs="Arial" w:eastAsia="Arial" w:hAnsi="Arial"/>
                <w:sz w:val="17"/>
                <w:szCs w:val="17"/>
                <w:color w:val="auto"/>
              </w:rPr>
              <w:t>Web-Based and</w:t>
            </w:r>
          </w:p>
        </w:tc>
        <w:tc>
          <w:tcPr>
            <w:tcW w:w="8780" w:type="dxa"/>
            <w:vAlign w:val="bottom"/>
          </w:tcPr>
          <w:p>
            <w:pPr>
              <w:ind w:left="1260"/>
              <w:spacing w:after="0"/>
              <w:rPr>
                <w:sz w:val="20"/>
                <w:szCs w:val="20"/>
                <w:color w:val="auto"/>
              </w:rPr>
            </w:pPr>
            <w:r>
              <w:rPr>
                <w:rFonts w:ascii="Arial" w:cs="Arial" w:eastAsia="Arial" w:hAnsi="Arial"/>
                <w:sz w:val="17"/>
                <w:szCs w:val="17"/>
                <w:color w:val="auto"/>
                <w:w w:val="92"/>
              </w:rPr>
              <w:t>includes computer-based training, online courses and our new eLearning Library. The eLearning Library is a</w:t>
            </w:r>
          </w:p>
        </w:tc>
      </w:tr>
      <w:tr>
        <w:trPr>
          <w:trHeight w:val="217"/>
        </w:trPr>
        <w:tc>
          <w:tcPr>
            <w:tcW w:w="2640" w:type="dxa"/>
            <w:vAlign w:val="bottom"/>
          </w:tcPr>
          <w:p>
            <w:pPr>
              <w:spacing w:after="0"/>
              <w:rPr>
                <w:sz w:val="20"/>
                <w:szCs w:val="20"/>
                <w:color w:val="auto"/>
              </w:rPr>
            </w:pPr>
            <w:r>
              <w:rPr>
                <w:rFonts w:ascii="Arial" w:cs="Arial" w:eastAsia="Arial" w:hAnsi="Arial"/>
                <w:sz w:val="17"/>
                <w:szCs w:val="17"/>
                <w:color w:val="auto"/>
              </w:rPr>
              <w:t>Self-Paced Training</w:t>
            </w:r>
          </w:p>
        </w:tc>
        <w:tc>
          <w:tcPr>
            <w:tcW w:w="8780" w:type="dxa"/>
            <w:vAlign w:val="bottom"/>
          </w:tcPr>
          <w:p>
            <w:pPr>
              <w:ind w:left="1260"/>
              <w:spacing w:after="0"/>
              <w:rPr>
                <w:sz w:val="20"/>
                <w:szCs w:val="20"/>
                <w:color w:val="auto"/>
              </w:rPr>
            </w:pPr>
            <w:r>
              <w:rPr>
                <w:rFonts w:ascii="Arial" w:cs="Arial" w:eastAsia="Arial" w:hAnsi="Arial"/>
                <w:sz w:val="17"/>
                <w:szCs w:val="17"/>
                <w:color w:val="auto"/>
              </w:rPr>
              <w:t>subscription service consisting of a collection of more than 115 online software lessons</w:t>
            </w:r>
          </w:p>
        </w:tc>
      </w:tr>
      <w:tr>
        <w:trPr>
          <w:trHeight w:val="109"/>
        </w:trPr>
        <w:tc>
          <w:tcPr>
            <w:tcW w:w="2640" w:type="dxa"/>
            <w:vAlign w:val="bottom"/>
            <w:tcBorders>
              <w:bottom w:val="single" w:sz="8" w:color="808080"/>
            </w:tcBorders>
          </w:tcPr>
          <w:p>
            <w:pPr>
              <w:spacing w:after="0"/>
              <w:rPr>
                <w:sz w:val="9"/>
                <w:szCs w:val="9"/>
                <w:color w:val="auto"/>
              </w:rPr>
            </w:pPr>
          </w:p>
        </w:tc>
        <w:tc>
          <w:tcPr>
            <w:tcW w:w="878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Analytic services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We provide custom modeling and analytical services, including ProspectPoint and WealthPoint, to help nonprofit organizations maximize their fundraising results.</w:t>
      </w:r>
    </w:p>
    <w:p>
      <w:pPr>
        <w:spacing w:after="0" w:line="23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ProspectPoint, which we introduced in February 2001, is a custom modeling service designed specifically for nonprofits. ProspectPoint employs patent-pending modeling techniques to identify and rank the best donor prospects in an organization’s database and capture the distinct characteristics that define an organization and its constituencies, providing a better opportunity to maximize gift revenue. We use these proprietary statistical models to help our customers identify an individual’s propensity to make any of a number of different types of gifts, including annual fund gifts, major gifts and planned gifts. Our consultants use the ProspectPoint results to prepare customized fundraising plans, which are delivered to our clients with a series of implementation recommendations for increasing the yield of its fundraising efforts.</w:t>
      </w:r>
    </w:p>
    <w:p>
      <w:pPr>
        <w:spacing w:after="0" w:line="187"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We released WealthPoint in July 2003 as our wealth identification and information service. It provides a nonprofit organization with financial, biographical and demographic data on the individuals in its database, enabling the organization to identify its wealthiest donors and to plan the most effective donor cultivation strategies. We match donor and prospect names recorded in The Raiser’s Edge or any other database against sources of publicly available information about an individual’s assets or activities. After the names are matched against the public sources, we then return the data to the clients in a software application that allows them to query, report on, and manipulate the data.</w:t>
      </w:r>
    </w:p>
    <w:p>
      <w:pPr>
        <w:spacing w:after="0" w:line="187"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In addition to these modeling and identification services, we offer services that enrich the quality of the data in our customers’ databases. These include a service that finds outdated address files in the database and makes corrections based on the requirements and certifications of the United States Postal Service and a service that uses known fields in an organization’s constituent records to search and find lost donors and prospects. In addition to these services, we offer services that append to a prospect record important additional information, such as phone, email, age, gender, deceased record, county, and congressional district.</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Maintenance and subscriptions</w:t>
      </w:r>
    </w:p>
    <w:p>
      <w:pPr>
        <w:spacing w:after="0" w:line="2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The vast majority of our customers choose to receive annual maintenance and support from us under one of our tiered maintenance and support programs. In each of the past three years, an average of more than 94% of our customers have renewed their annual maintenance and support contracts for our products. For an annual fee, our customers receive regular upgrades and enhancements to our software and unlimited phone and email support, with extended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64" w:name="page65"/>
    <w:bookmarkEnd w:id="64"/>
    <w:p>
      <w:pPr>
        <w:jc w:val="both"/>
        <w:ind w:right="40"/>
        <w:spacing w:after="0" w:line="273" w:lineRule="auto"/>
        <w:rPr>
          <w:sz w:val="20"/>
          <w:szCs w:val="20"/>
          <w:color w:val="auto"/>
        </w:rPr>
      </w:pPr>
      <w:r>
        <w:rPr>
          <w:rFonts w:ascii="Arial" w:cs="Arial" w:eastAsia="Arial" w:hAnsi="Arial"/>
          <w:sz w:val="17"/>
          <w:szCs w:val="17"/>
          <w:color w:val="auto"/>
        </w:rPr>
        <w:t>hours for upgraded maintenance customers. Our maintenance and support customers also receive around-the-clock access to our extensive online support resources, including our self-help knowledge management system, the FAQ section of our web site, and weekly technical bulletins. Subscriptions cover hosted solutions, data enrichment services and training programs purchased on a subscription basis.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Customers</w:t>
      </w:r>
    </w:p>
    <w:p>
      <w:pPr>
        <w:spacing w:after="0" w:line="22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customers in each of the principal vertical markets within the nonprofit industry. In 2004, we had over 12,700 customers, over 12,300 of which pay us annual maintenance and support fees. These organizations range from small, local charities to health care and higher education organizations to the largest national health and human services organizations. No one customer accounts for more than 2% of our annual revenue.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customer examples</w:t>
      </w:r>
    </w:p>
    <w:p>
      <w:pPr>
        <w:spacing w:after="0" w:line="228"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selected customer examples below are intended to provide brief examples of the different ways our customers are using our software and services solutions to solve their business problems.</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Bowdoin College</w:t>
      </w:r>
    </w:p>
    <w:p>
      <w:pPr>
        <w:spacing w:after="0" w:line="234" w:lineRule="exact"/>
        <w:rPr>
          <w:sz w:val="20"/>
          <w:szCs w:val="20"/>
          <w:color w:val="auto"/>
        </w:rPr>
      </w:pPr>
    </w:p>
    <w:p>
      <w:pPr>
        <w:ind w:left="240"/>
        <w:spacing w:after="0" w:line="264" w:lineRule="auto"/>
        <w:rPr>
          <w:sz w:val="20"/>
          <w:szCs w:val="20"/>
          <w:color w:val="auto"/>
        </w:rPr>
      </w:pPr>
      <w:r>
        <w:rPr>
          <w:rFonts w:ascii="Arial" w:cs="Arial" w:eastAsia="Arial" w:hAnsi="Arial"/>
          <w:sz w:val="17"/>
          <w:szCs w:val="17"/>
          <w:color w:val="auto"/>
        </w:rPr>
        <w:t>Bowdoin College relies on the growth of its $450 million endowment through fundraising contributions to maintain financial stability and achieve its goals. Prior to deploying The Raiser’s Edge, Bowdoin used 15 systems to track student, alumni, parent and other entities associated with the college’s fundraising activities. Deploying The Raiser’s Edge as the centralized data repository allowed Bowdoin to view all aspects of its constituents’ associations with the college, enabling them to drive more personalized contact with constituents, while capturing and maintaining a complete view of all fundraising activities. With the help of our consultants, Bowdoin implemented new business processes that allow them to incorporate and use relevant data from multiple campus systems to improve targeting and resource allocation. Our solution enabled Bowdoin to eliminate several costly databases by consolidating the data into a centralized database and free resources to increase productivity.</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Detroit Zoo</w:t>
      </w:r>
    </w:p>
    <w:p>
      <w:pPr>
        <w:spacing w:after="0" w:line="234" w:lineRule="exact"/>
        <w:rPr>
          <w:sz w:val="20"/>
          <w:szCs w:val="20"/>
          <w:color w:val="auto"/>
        </w:rPr>
      </w:pPr>
    </w:p>
    <w:p>
      <w:pPr>
        <w:ind w:left="240" w:right="80"/>
        <w:spacing w:after="0" w:line="266" w:lineRule="auto"/>
        <w:rPr>
          <w:sz w:val="20"/>
          <w:szCs w:val="20"/>
          <w:color w:val="auto"/>
        </w:rPr>
      </w:pPr>
      <w:r>
        <w:rPr>
          <w:rFonts w:ascii="Arial" w:cs="Arial" w:eastAsia="Arial" w:hAnsi="Arial"/>
          <w:sz w:val="17"/>
          <w:szCs w:val="17"/>
          <w:color w:val="auto"/>
        </w:rPr>
        <w:t>Through over 10,000 donors and approximately 48,000 members, the Detroit Zoological Society relies on fundraising activities to generate a significant portion of its revenue. The Detroit Zoological Society implemented The Raiser’s Edge and other applications of ours to consolidate several inefficient processes into a single comprehensive solution that allowed them to improve fundraising performance. We also provided them with professional services targeting business process refinements resulting in improved efficiencies in areas such as direct mail and fulfillment and also augmented the Society’s ability to analyze and report on membership performance and event attendance.</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Episcopal High School</w:t>
      </w:r>
    </w:p>
    <w:p>
      <w:pPr>
        <w:spacing w:after="0" w:line="234" w:lineRule="exact"/>
        <w:rPr>
          <w:sz w:val="20"/>
          <w:szCs w:val="20"/>
          <w:color w:val="auto"/>
        </w:rPr>
      </w:pPr>
    </w:p>
    <w:p>
      <w:pPr>
        <w:ind w:left="240" w:right="80"/>
        <w:spacing w:after="0" w:line="286" w:lineRule="auto"/>
        <w:rPr>
          <w:sz w:val="20"/>
          <w:szCs w:val="20"/>
          <w:color w:val="auto"/>
        </w:rPr>
      </w:pPr>
      <w:r>
        <w:rPr>
          <w:rFonts w:ascii="Arial" w:cs="Arial" w:eastAsia="Arial" w:hAnsi="Arial"/>
          <w:sz w:val="17"/>
          <w:szCs w:val="17"/>
          <w:color w:val="auto"/>
        </w:rPr>
        <w:t>Episcopal High School is a private high school near Washington D.C. with over 400 students. We were selected to implement The Education Edge as a campus-wide system that could support the needs of their many offices, provide customizable transcripts and scheduling</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65" w:name="page66"/>
    <w:bookmarkEnd w:id="65"/>
    <w:p>
      <w:pPr>
        <w:ind w:left="240" w:right="120"/>
        <w:spacing w:after="0" w:line="286" w:lineRule="auto"/>
        <w:rPr>
          <w:sz w:val="20"/>
          <w:szCs w:val="20"/>
          <w:color w:val="auto"/>
        </w:rPr>
      </w:pPr>
      <w:r>
        <w:rPr>
          <w:rFonts w:ascii="Arial" w:cs="Arial" w:eastAsia="Arial" w:hAnsi="Arial"/>
          <w:sz w:val="17"/>
          <w:szCs w:val="17"/>
          <w:color w:val="auto"/>
        </w:rPr>
        <w:t>and allow web-based access for teachers and parents. The Education Edge now serves as the backbone of the school’s operations, automating its manual systems and providing customized reports with a complete picture of each student’s educational experience.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Help the Aged</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Help the Aged is a well-known nonprofit in the United Kingdom dedicated to addressing issues facing the elderly. In managing its relationship with over</w:t>
      </w:r>
    </w:p>
    <w:p>
      <w:pPr>
        <w:spacing w:after="0" w:line="33" w:lineRule="exact"/>
        <w:rPr>
          <w:sz w:val="20"/>
          <w:szCs w:val="20"/>
          <w:color w:val="auto"/>
        </w:rPr>
      </w:pPr>
    </w:p>
    <w:p>
      <w:pPr>
        <w:ind w:left="240" w:right="160"/>
        <w:spacing w:after="0" w:line="294" w:lineRule="auto"/>
        <w:rPr>
          <w:sz w:val="20"/>
          <w:szCs w:val="20"/>
          <w:color w:val="auto"/>
        </w:rPr>
      </w:pPr>
      <w:r>
        <w:rPr>
          <w:rFonts w:ascii="Arial" w:cs="Arial" w:eastAsia="Arial" w:hAnsi="Arial"/>
          <w:sz w:val="16"/>
          <w:szCs w:val="16"/>
          <w:color w:val="auto"/>
        </w:rPr>
        <w:t>three million constituents, they were using seven separate systems, utilized by over 100 users, to collect information and manage fundraising activities. Help the Aged engaged us to implement Information Edge and Raiser’s Edge, which provided those 100 users a single comprehensive view of each constituent. Our consulting team also works with Help the Aged to refine their fundraising processes and leverage the wealth of their data.</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Mayo Foundation</w:t>
      </w:r>
    </w:p>
    <w:p>
      <w:pPr>
        <w:spacing w:after="0" w:line="234" w:lineRule="exact"/>
        <w:rPr>
          <w:sz w:val="20"/>
          <w:szCs w:val="20"/>
          <w:color w:val="auto"/>
        </w:rPr>
      </w:pPr>
    </w:p>
    <w:p>
      <w:pPr>
        <w:ind w:left="240" w:right="80"/>
        <w:spacing w:after="0" w:line="290" w:lineRule="auto"/>
        <w:rPr>
          <w:sz w:val="20"/>
          <w:szCs w:val="20"/>
          <w:color w:val="auto"/>
        </w:rPr>
      </w:pPr>
      <w:r>
        <w:rPr>
          <w:rFonts w:ascii="Arial" w:cs="Arial" w:eastAsia="Arial" w:hAnsi="Arial"/>
          <w:sz w:val="16"/>
          <w:szCs w:val="16"/>
          <w:color w:val="auto"/>
        </w:rPr>
        <w:t>Mayo Clinic’s mission is to provide the best care to every patient every day through integrated clinical practice, education and research. Mayo Foundation chose The Raiser’s Edge to enable over 130 staff members in the Department of Development to gain direct access to the relevant data necessary to support fundraising programs that contribute over $100 million annually toward the Mayo Clinic’s mission. In addition, Mayo is in the process of implementing The Information Edge to optimize their fundraising programs by providing improved analysis and reporting across the fundraising organization.</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US Naval Academy Alumni Association</w:t>
      </w:r>
    </w:p>
    <w:p>
      <w:pPr>
        <w:spacing w:after="0" w:line="234" w:lineRule="exact"/>
        <w:rPr>
          <w:sz w:val="20"/>
          <w:szCs w:val="20"/>
          <w:color w:val="auto"/>
        </w:rPr>
      </w:pPr>
    </w:p>
    <w:p>
      <w:pPr>
        <w:ind w:left="240" w:right="80"/>
        <w:spacing w:after="0" w:line="315" w:lineRule="auto"/>
        <w:rPr>
          <w:sz w:val="20"/>
          <w:szCs w:val="20"/>
          <w:color w:val="auto"/>
        </w:rPr>
      </w:pPr>
      <w:r>
        <w:rPr>
          <w:rFonts w:ascii="Arial" w:cs="Arial" w:eastAsia="Arial" w:hAnsi="Arial"/>
          <w:sz w:val="15"/>
          <w:szCs w:val="15"/>
          <w:color w:val="auto"/>
        </w:rPr>
        <w:t>The US Naval Academy Alumni Association relies on the strength of coordinated development efforts to maintain a strong and educated community of widely dispersed alumni. The association selected The Financial Edge as their financial management system to track and distribute over 700 different restricted funds while adhering to specific accounting and compliance requirements. Our consulting team worked with the US Naval Academy Alumni Association to implement business processes that help them utilize our software while complying with the unique requirements and protocols of a U.S. Military Service Academy.</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United Way of America</w:t>
      </w:r>
    </w:p>
    <w:p>
      <w:pPr>
        <w:spacing w:after="0" w:line="234" w:lineRule="exact"/>
        <w:rPr>
          <w:sz w:val="20"/>
          <w:szCs w:val="20"/>
          <w:color w:val="auto"/>
        </w:rPr>
      </w:pPr>
    </w:p>
    <w:p>
      <w:pPr>
        <w:ind w:left="240"/>
        <w:spacing w:after="0" w:line="310" w:lineRule="auto"/>
        <w:rPr>
          <w:sz w:val="20"/>
          <w:szCs w:val="20"/>
          <w:color w:val="auto"/>
        </w:rPr>
      </w:pPr>
      <w:r>
        <w:rPr>
          <w:rFonts w:ascii="Arial" w:cs="Arial" w:eastAsia="Arial" w:hAnsi="Arial"/>
          <w:sz w:val="15"/>
          <w:szCs w:val="15"/>
          <w:color w:val="auto"/>
        </w:rPr>
        <w:t>United Way of America is a national organization dedicated to leading the United Way movement, which includes approximately 1,400 independent, community-based United Way organizations, in making a measurable impact in every community in America. We recently entered into an agreement with United Way of America to develop a version of The Raiser’s Edge to handle the unique needs of United Way organizations. Previously, United Way of America had developed and supported a proprietary campaign management system used by more than 100 local United Way organizations. Under the agreement, we now own that system and, in exchange for minimum fees, will support it for at least 24 months as these local United Way organizations transition to The Raiser’s Edge.</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Sales and marketing</w:t>
      </w:r>
    </w:p>
    <w:p>
      <w:pPr>
        <w:spacing w:after="0" w:line="227" w:lineRule="exact"/>
        <w:rPr>
          <w:sz w:val="20"/>
          <w:szCs w:val="20"/>
          <w:color w:val="auto"/>
        </w:rPr>
      </w:pPr>
    </w:p>
    <w:p>
      <w:pPr>
        <w:ind w:right="780"/>
        <w:spacing w:after="0" w:line="286" w:lineRule="auto"/>
        <w:rPr>
          <w:sz w:val="20"/>
          <w:szCs w:val="20"/>
          <w:color w:val="auto"/>
        </w:rPr>
      </w:pPr>
      <w:r>
        <w:rPr>
          <w:rFonts w:ascii="Arial" w:cs="Arial" w:eastAsia="Arial" w:hAnsi="Arial"/>
          <w:sz w:val="17"/>
          <w:szCs w:val="17"/>
          <w:color w:val="auto"/>
        </w:rPr>
        <w:t>We sell all of our software and related services through our direct sales force, which is complemented by our team of account development representatives responsible for sales lead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6" w:name="page67"/>
    <w:bookmarkEnd w:id="66"/>
    <w:p>
      <w:pPr>
        <w:ind w:right="60"/>
        <w:spacing w:after="0" w:line="268" w:lineRule="auto"/>
        <w:rPr>
          <w:sz w:val="20"/>
          <w:szCs w:val="20"/>
          <w:color w:val="auto"/>
        </w:rPr>
      </w:pPr>
      <w:r>
        <w:rPr>
          <w:rFonts w:ascii="Arial" w:cs="Arial" w:eastAsia="Arial" w:hAnsi="Arial"/>
          <w:sz w:val="17"/>
          <w:szCs w:val="17"/>
          <w:color w:val="auto"/>
        </w:rPr>
        <w:t>generation and qualification. We also sell The Financial Edge application indirectly through our network of value-added resellers. As of September 30, 2004, we had approximately 200 sales and marketing employees, 165 of whom comprised our direct sales force and account development representatives. These sales and marketing professionals are located at our headquarters in Charleston and in metropolitan areas throughout the United States, the United Kingdom, Canada and Australia. We plan to continue expanding our direct sales force in the Americas, Europe and Asia.</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Our sales force is divided into three main areas of responsibility:</w:t>
      </w:r>
    </w:p>
    <w:p>
      <w:pPr>
        <w:spacing w:after="0" w:line="228" w:lineRule="exact"/>
        <w:rPr>
          <w:sz w:val="20"/>
          <w:szCs w:val="20"/>
          <w:color w:val="auto"/>
        </w:rPr>
      </w:pPr>
    </w:p>
    <w:p>
      <w:pPr>
        <w:ind w:left="240" w:hanging="234"/>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selling products and services to existing customers;</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acquiring new customers; and</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developing and managing relationships with our resellers.</w:t>
      </w:r>
    </w:p>
    <w:p>
      <w:pPr>
        <w:spacing w:after="0" w:line="22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we have a dedicated portion of our outside sales team focused exclusively on large, enterprise-wide accounts and a group of sales engineers who support both new and existing customers. In general, each sales representative is assigned responsibility for handling just one product line in a designated geographic area, except for sales representatives for the K-12 education market who are responsible for selling all of our software products in that market. We frequently lead our sales efforts with the sale of one of our primary products, such as The Raiser’s Edge, then sell the customer additional products and services, such as vertical-specific software applications and related implementation and technical services.</w:t>
      </w:r>
    </w:p>
    <w:p>
      <w:pPr>
        <w:spacing w:after="0" w:line="1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conduct a variety of marketing programs that are designed to create brand recognition and market awareness for our products and services. Our marketing efforts include participation at tradeshows, technical conferences and technology seminars, publication of technical and educational articles in industry journals and preparation of competitive analyses. Our customers and strategic partners provide references and recommendations that we often feature in our advertising and promotional activities.</w:t>
      </w:r>
    </w:p>
    <w:p>
      <w:pPr>
        <w:spacing w:after="0" w:line="185" w:lineRule="exact"/>
        <w:rPr>
          <w:sz w:val="20"/>
          <w:szCs w:val="20"/>
          <w:color w:val="auto"/>
        </w:rPr>
      </w:pPr>
    </w:p>
    <w:p>
      <w:pPr>
        <w:ind w:right="580"/>
        <w:spacing w:after="0" w:line="290" w:lineRule="auto"/>
        <w:rPr>
          <w:sz w:val="20"/>
          <w:szCs w:val="20"/>
          <w:color w:val="auto"/>
        </w:rPr>
      </w:pPr>
      <w:r>
        <w:rPr>
          <w:rFonts w:ascii="Arial" w:cs="Arial" w:eastAsia="Arial" w:hAnsi="Arial"/>
          <w:sz w:val="16"/>
          <w:szCs w:val="16"/>
          <w:color w:val="auto"/>
        </w:rPr>
        <w:t>We believe relationships with third parties can enhance our sales and marketing efforts. We have, and intend to seek to establish additional, relationships with companies that provide services to the nonprofit industry, such as consultants, educators, publishers, financial service providers, complementary technology providers and data providers. For example, we have developed a business solutions provider network with a number of resellers and accounting firms. These companies promote or complement our nonprofit solutions and provide us access to new customers.</w:t>
      </w:r>
    </w:p>
    <w:p>
      <w:pPr>
        <w:spacing w:after="0" w:line="169" w:lineRule="exact"/>
        <w:rPr>
          <w:sz w:val="20"/>
          <w:szCs w:val="20"/>
          <w:color w:val="auto"/>
        </w:rPr>
      </w:pPr>
    </w:p>
    <w:p>
      <w:pPr>
        <w:jc w:val="both"/>
        <w:ind w:right="160"/>
        <w:spacing w:after="0" w:line="273" w:lineRule="auto"/>
        <w:rPr>
          <w:sz w:val="20"/>
          <w:szCs w:val="20"/>
          <w:color w:val="auto"/>
        </w:rPr>
      </w:pPr>
      <w:r>
        <w:rPr>
          <w:rFonts w:ascii="Arial" w:cs="Arial" w:eastAsia="Arial" w:hAnsi="Arial"/>
          <w:sz w:val="17"/>
          <w:szCs w:val="17"/>
          <w:color w:val="auto"/>
        </w:rPr>
        <w:t>We believe that active participation in charitable activities is good for the community and helps us build relationships with our clients and enhances our employees’ awareness of their activities. We have established a number of employee volunteer activities and are actively involved with a number of local and regional charities and nonprofit organizations, further demonstrating our dedication to assisting these organizations.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27" w:lineRule="exact"/>
        <w:rPr>
          <w:sz w:val="20"/>
          <w:szCs w:val="20"/>
          <w:color w:val="auto"/>
        </w:rPr>
      </w:pPr>
    </w:p>
    <w:p>
      <w:pPr>
        <w:ind w:right="200"/>
        <w:spacing w:after="0" w:line="315" w:lineRule="auto"/>
        <w:rPr>
          <w:sz w:val="20"/>
          <w:szCs w:val="20"/>
          <w:color w:val="auto"/>
        </w:rPr>
      </w:pPr>
      <w:r>
        <w:rPr>
          <w:rFonts w:ascii="Arial" w:cs="Arial" w:eastAsia="Arial" w:hAnsi="Arial"/>
          <w:sz w:val="15"/>
          <w:szCs w:val="15"/>
          <w:color w:val="auto"/>
        </w:rPr>
        <w:t>The market for software and related services for nonprofit organizations is fragmented, competitive and rapidly evolving, and there are limited barriers to entry for some aspects of this market. We expect to encounter new and evolving competition as this market consolidates and matures and as nonprofit organizations become more aware of the advantages and efficiencies that can be attained from the use of specialized software and other technology solutions. A number of diversified software enterprises have made recent acquisitions or developed products for the market, including Intuit, Sage and SunGard. Other companies that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7" w:name="page68"/>
    <w:bookmarkEnd w:id="67"/>
    <w:p>
      <w:pPr>
        <w:ind w:right="60"/>
        <w:spacing w:after="0" w:line="273" w:lineRule="auto"/>
        <w:rPr>
          <w:sz w:val="20"/>
          <w:szCs w:val="20"/>
          <w:color w:val="auto"/>
        </w:rPr>
      </w:pPr>
      <w:r>
        <w:rPr>
          <w:rFonts w:ascii="Arial" w:cs="Arial" w:eastAsia="Arial" w:hAnsi="Arial"/>
          <w:sz w:val="17"/>
          <w:szCs w:val="17"/>
          <w:color w:val="auto"/>
        </w:rPr>
        <w:t>have greater marketing resources and generate greater revenues and market recognition than we do, such as Microsoft, Oracle and PeopleSoft, offer products that are not designed specifically for nonprofits but still provide some of the functionality of our products and could be considered competitors. In addition, these larger companies could decide to enter the market directly, including through acquisitions of smaller current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mainly face competition from four sources:</w:t>
      </w:r>
    </w:p>
    <w:p>
      <w:pPr>
        <w:spacing w:after="0" w:line="228" w:lineRule="exact"/>
        <w:rPr>
          <w:sz w:val="20"/>
          <w:szCs w:val="20"/>
          <w:color w:val="auto"/>
        </w:rPr>
      </w:pPr>
    </w:p>
    <w:p>
      <w:pPr>
        <w:ind w:left="240" w:hanging="234"/>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software developers offering specialized products designed to address specific needs of nonprofit organizations;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providers of traditional, less automated fundraising services;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custom-developed solutions; and</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software developers offering general products not designed to address specific needs of nonprofit organizations.</w:t>
      </w:r>
    </w:p>
    <w:p>
      <w:pPr>
        <w:spacing w:after="0" w:line="22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Although there are numerous general software developers marketing products that have some application in the nonprofit market, these competitors have generally neglected to focus specifically on the nonprofit market and typically lack the domain expertise to cost effectively build or implement integrated solutions for the needs of the nonprofit market.</w:t>
      </w:r>
    </w:p>
    <w:p>
      <w:pPr>
        <w:spacing w:after="0" w:line="18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compete with custom-developed solutions created either internally by the nonprofit organization or outside custom service providers. However, building a custom solution often requires extensive financial and technical resources that may not be available or cost-effective for the nonprofit organization. In addition, in many cases the customer’s legacy database and software system were not designed to support the increasingly complex and advanced needs of today’s growing community of nonprofit organizations.</w:t>
      </w:r>
    </w:p>
    <w:p>
      <w:pPr>
        <w:spacing w:after="0" w:line="185" w:lineRule="exact"/>
        <w:rPr>
          <w:sz w:val="20"/>
          <w:szCs w:val="20"/>
          <w:color w:val="auto"/>
        </w:rPr>
      </w:pPr>
    </w:p>
    <w:p>
      <w:pPr>
        <w:ind w:right="240"/>
        <w:spacing w:after="0" w:line="325" w:lineRule="auto"/>
        <w:rPr>
          <w:sz w:val="20"/>
          <w:szCs w:val="20"/>
          <w:color w:val="auto"/>
        </w:rPr>
      </w:pPr>
      <w:r>
        <w:rPr>
          <w:rFonts w:ascii="Arial" w:cs="Arial" w:eastAsia="Arial" w:hAnsi="Arial"/>
          <w:sz w:val="15"/>
          <w:szCs w:val="15"/>
          <w:color w:val="auto"/>
        </w:rPr>
        <w:t>We also compete with providers of traditional, less automated fundraising services, including parties providing services in support of traditional direct mail campaigns, special events fundraising, telemarketing and personal solicitations. We believe we compete successfully against these traditional fundraising services, primarily because our products and services are more automated, robust and efficient than the traditional fundraising methods supported by these providers.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227"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We have made substantial investments in research and development, and expect to continue to do so as a part of our strategy to introduce additional products and services. As of September 30, 2004 we had approximately 150 employees working on research and development. Our research and development expenses for the years ended December 31, 2001, 2002 and 2003, and for the nine months ended September 30, 2004 were $14.8 million, $14.4 million, $15.5 million and $13.2 million, respectively.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68" w:name="page69"/>
    <w:bookmarkEnd w:id="68"/>
    <w:p>
      <w:pPr>
        <w:spacing w:after="0"/>
        <w:rPr>
          <w:sz w:val="20"/>
          <w:szCs w:val="20"/>
          <w:color w:val="auto"/>
        </w:rPr>
      </w:pPr>
      <w:r>
        <w:rPr>
          <w:rFonts w:ascii="Arial" w:cs="Arial" w:eastAsia="Arial" w:hAnsi="Arial"/>
          <w:sz w:val="21"/>
          <w:szCs w:val="21"/>
          <w:b w:val="1"/>
          <w:bCs w:val="1"/>
          <w:color w:val="auto"/>
        </w:rPr>
        <w:t>Technology and architecture</w:t>
      </w:r>
    </w:p>
    <w:p>
      <w:pPr>
        <w:spacing w:after="0" w:line="22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We utilize a three-tier Component Object Model, or COM-based development model, because it allows our customers to extend and modify the functionality of our applications without requiring them to make any source code or data modifications themselves. This is important for customers that want to customize our applications by incorporating their own business logic into key areas of the applications. The end result is a robust customization platform through which the application can be modified and extended without requiring source code alteration.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123190</wp:posOffset>
            </wp:positionV>
            <wp:extent cx="3839210" cy="2318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839210" cy="2318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The architecture of our COM-based development model ensures our applications are:</w:t>
      </w:r>
    </w:p>
    <w:p>
      <w:pPr>
        <w:spacing w:after="0" w:line="228" w:lineRule="exact"/>
        <w:rPr>
          <w:sz w:val="20"/>
          <w:szCs w:val="20"/>
          <w:color w:val="auto"/>
        </w:rPr>
      </w:pPr>
    </w:p>
    <w:p>
      <w:pPr>
        <w:ind w:left="240" w:hanging="234"/>
        <w:spacing w:after="0" w:line="286" w:lineRule="auto"/>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Flexible. </w:t>
      </w:r>
      <w:r>
        <w:rPr>
          <w:rFonts w:ascii="Arial" w:cs="Arial" w:eastAsia="Arial" w:hAnsi="Arial"/>
          <w:sz w:val="17"/>
          <w:szCs w:val="17"/>
          <w:color w:val="auto"/>
        </w:rPr>
        <w:t>Our component-based architecture is programmable and easily customized by our customers without requiring modification of the source code, ensuring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technology can be leveraged and extended to accommodate changing demands of our clients and the market.</w:t>
      </w:r>
    </w:p>
    <w:p>
      <w:pPr>
        <w:spacing w:after="0" w:line="195" w:lineRule="exact"/>
        <w:rPr>
          <w:rFonts w:ascii="Arial" w:cs="Arial" w:eastAsia="Arial" w:hAnsi="Arial"/>
          <w:sz w:val="17"/>
          <w:szCs w:val="17"/>
          <w:color w:val="auto"/>
        </w:rPr>
      </w:pPr>
    </w:p>
    <w:p>
      <w:pPr>
        <w:ind w:left="240" w:right="160" w:hanging="234"/>
        <w:spacing w:after="0" w:line="286" w:lineRule="auto"/>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Adaptable. </w:t>
      </w:r>
      <w:r>
        <w:rPr>
          <w:rFonts w:ascii="Arial" w:cs="Arial" w:eastAsia="Arial" w:hAnsi="Arial"/>
          <w:sz w:val="17"/>
          <w:szCs w:val="17"/>
          <w:color w:val="auto"/>
        </w:rPr>
        <w:t>The architecture of our applications allows us to easily add features and functionality or to integrate with third party applications in order to adapt 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needs or market demands.</w:t>
      </w:r>
    </w:p>
    <w:p>
      <w:pPr>
        <w:spacing w:after="0" w:line="195" w:lineRule="exact"/>
        <w:rPr>
          <w:rFonts w:ascii="Arial" w:cs="Arial" w:eastAsia="Arial" w:hAnsi="Arial"/>
          <w:sz w:val="17"/>
          <w:szCs w:val="17"/>
          <w:color w:val="auto"/>
        </w:rPr>
      </w:pPr>
    </w:p>
    <w:p>
      <w:pPr>
        <w:ind w:left="240" w:right="380" w:hanging="234"/>
        <w:spacing w:after="0" w:line="286" w:lineRule="auto"/>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Scalable. </w:t>
      </w:r>
      <w:r>
        <w:rPr>
          <w:rFonts w:ascii="Arial" w:cs="Arial" w:eastAsia="Arial" w:hAnsi="Arial"/>
          <w:sz w:val="17"/>
          <w:szCs w:val="17"/>
          <w:color w:val="auto"/>
        </w:rPr>
        <w:t>We combine a scalable architecture with the performance, capacity, and load balancing of industry-standard web servers and databases used by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ensure the applications can scale to the needs of larger organizations.</w:t>
      </w:r>
    </w:p>
    <w:p>
      <w:pPr>
        <w:spacing w:after="0" w:line="16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and intend to continue to license technologies from third parties that are integrated into our products. Currently, we believe that the loss of any third party technology integrated into our products would not have a material adverse effect on our business. However, our inability to obtain licenses for third party technology for future products could delay product development, which could harm our business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Intellectual property and other proprietary rights</w:t>
      </w:r>
    </w:p>
    <w:p>
      <w:pPr>
        <w:spacing w:after="0" w:line="22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To protect our intellectual property, we rely on a combination of patent, trademark, copyright and trade secret laws in various jurisdictions, and employee and third-party nondisclosure agreements and confidentiality procedures. We have a number of registered trademarks,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6" w:right="259" w:bottom="1440" w:gutter="0" w:footer="0" w:header="0"/>
        </w:sectPr>
      </w:pPr>
    </w:p>
    <w:bookmarkStart w:id="69" w:name="page70"/>
    <w:bookmarkEnd w:id="69"/>
    <w:p>
      <w:pPr>
        <w:ind w:right="580"/>
        <w:spacing w:after="0" w:line="286" w:lineRule="auto"/>
        <w:rPr>
          <w:sz w:val="20"/>
          <w:szCs w:val="20"/>
          <w:color w:val="auto"/>
        </w:rPr>
      </w:pPr>
      <w:r>
        <w:rPr>
          <w:rFonts w:ascii="Arial" w:cs="Arial" w:eastAsia="Arial" w:hAnsi="Arial"/>
          <w:sz w:val="17"/>
          <w:szCs w:val="17"/>
          <w:color w:val="auto"/>
        </w:rPr>
        <w:t>including Blackbaud and The Raiser’s Edge. We have applied for additional trademarks. We currently have six patents pending on our technology, including functionality in The Financial Edge, The Information Edge and ProspectPoint.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September 30, 2004, we had approximately 865 employees, consisting of 200 in sales and marketing, 150 in research and development, 390 in customer support, and 125 general and administrative personnel. None of our employees are represented by unions or covered by collective bargaining agreements. We are not involved in any material disputes with any of our employees, and we believe that relations with our employees are satisfactory.</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Properties</w:t>
      </w:r>
    </w:p>
    <w:p>
      <w:pPr>
        <w:spacing w:after="0" w:line="2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lease our headquarters in Charleston, South Carolina which consists of approximately 230,000 square feet. The lease on our Charleston headquarters expires in July 2010, and we have the option for two 5-year renewal periods. We also lease facilities in Glasgow and Sydney. We believe that our properties are in good operating condition and adequately serve our current business operations. We also anticipate that suitable additional or alternative space, including those under lease options, will be available at commercially reasonable terms for future expansion.</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Legal proceedings</w:t>
      </w:r>
    </w:p>
    <w:p>
      <w:pPr>
        <w:spacing w:after="0" w:line="22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From time to time we may become involved in litigation relating to claims arising from our ordinary course of business. We believe that there are no claims or actions pending or threatened against us, the ultimate disposition of which would have a material adverse affect on us.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70" w:name="page71"/>
    <w:bookmarkEnd w:id="70"/>
    <w:p>
      <w:pPr>
        <w:jc w:val="center"/>
        <w:spacing w:after="0"/>
        <w:rPr>
          <w:sz w:val="20"/>
          <w:szCs w:val="20"/>
          <w:color w:val="auto"/>
        </w:rPr>
      </w:pPr>
      <w:r>
        <w:rPr>
          <w:rFonts w:ascii="Arial" w:cs="Arial" w:eastAsia="Arial" w:hAnsi="Arial"/>
          <w:sz w:val="24"/>
          <w:szCs w:val="24"/>
          <w:b w:val="1"/>
          <w:bCs w:val="1"/>
          <w:color w:val="auto"/>
        </w:rPr>
        <w:t>Management</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officers and directors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executive officers and directors, and their ages and positions,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249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440" w:type="dxa"/>
            <w:vAlign w:val="bottom"/>
          </w:tcPr>
          <w:p>
            <w:pPr>
              <w:ind w:left="760"/>
              <w:spacing w:after="0"/>
              <w:rPr>
                <w:sz w:val="20"/>
                <w:szCs w:val="20"/>
                <w:color w:val="auto"/>
              </w:rPr>
            </w:pPr>
            <w:r>
              <w:rPr>
                <w:rFonts w:ascii="Arial" w:cs="Arial" w:eastAsia="Arial" w:hAnsi="Arial"/>
                <w:sz w:val="13"/>
                <w:szCs w:val="13"/>
                <w:b w:val="1"/>
                <w:bCs w:val="1"/>
                <w:color w:val="auto"/>
              </w:rPr>
              <w:t>Age</w:t>
            </w:r>
          </w:p>
        </w:tc>
        <w:tc>
          <w:tcPr>
            <w:tcW w:w="7420" w:type="dxa"/>
            <w:vAlign w:val="bottom"/>
          </w:tcPr>
          <w:p>
            <w:pPr>
              <w:ind w:left="46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Robert J. Sywolski</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67</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President, Chief Executive Officer and 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Timothy V. Williams</w:t>
            </w:r>
          </w:p>
        </w:tc>
        <w:tc>
          <w:tcPr>
            <w:tcW w:w="1440" w:type="dxa"/>
            <w:vAlign w:val="bottom"/>
          </w:tcPr>
          <w:p>
            <w:pPr>
              <w:ind w:left="760"/>
              <w:spacing w:after="0"/>
              <w:rPr>
                <w:sz w:val="20"/>
                <w:szCs w:val="20"/>
                <w:color w:val="auto"/>
              </w:rPr>
            </w:pPr>
            <w:r>
              <w:rPr>
                <w:rFonts w:ascii="Arial" w:cs="Arial" w:eastAsia="Arial" w:hAnsi="Arial"/>
                <w:sz w:val="17"/>
                <w:szCs w:val="17"/>
                <w:color w:val="auto"/>
              </w:rPr>
              <w:t>55</w:t>
            </w:r>
          </w:p>
        </w:tc>
        <w:tc>
          <w:tcPr>
            <w:tcW w:w="7420" w:type="dxa"/>
            <w:vAlign w:val="bottom"/>
          </w:tcPr>
          <w:p>
            <w:pPr>
              <w:ind w:left="460"/>
              <w:spacing w:after="0"/>
              <w:rPr>
                <w:sz w:val="20"/>
                <w:szCs w:val="20"/>
                <w:color w:val="auto"/>
              </w:rPr>
            </w:pPr>
            <w:r>
              <w:rPr>
                <w:rFonts w:ascii="Arial" w:cs="Arial" w:eastAsia="Arial" w:hAnsi="Arial"/>
                <w:sz w:val="17"/>
                <w:szCs w:val="17"/>
                <w:color w:val="auto"/>
              </w:rPr>
              <w:t>Chief Financial Officer, Vice President, Treasurer and Assistant Secretary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Louis J. Attanasi</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43</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Strategic Technologies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Richard S. Braddock</w:t>
            </w:r>
          </w:p>
        </w:tc>
        <w:tc>
          <w:tcPr>
            <w:tcW w:w="1440" w:type="dxa"/>
            <w:vAlign w:val="bottom"/>
          </w:tcPr>
          <w:p>
            <w:pPr>
              <w:ind w:left="760"/>
              <w:spacing w:after="0"/>
              <w:rPr>
                <w:sz w:val="20"/>
                <w:szCs w:val="20"/>
                <w:color w:val="auto"/>
              </w:rPr>
            </w:pPr>
            <w:r>
              <w:rPr>
                <w:rFonts w:ascii="Arial" w:cs="Arial" w:eastAsia="Arial" w:hAnsi="Arial"/>
                <w:sz w:val="17"/>
                <w:szCs w:val="17"/>
                <w:color w:val="auto"/>
              </w:rPr>
              <w:t>36</w:t>
            </w:r>
          </w:p>
        </w:tc>
        <w:tc>
          <w:tcPr>
            <w:tcW w:w="7420" w:type="dxa"/>
            <w:vAlign w:val="bottom"/>
          </w:tcPr>
          <w:p>
            <w:pPr>
              <w:ind w:left="460"/>
              <w:spacing w:after="0"/>
              <w:rPr>
                <w:sz w:val="20"/>
                <w:szCs w:val="20"/>
                <w:color w:val="auto"/>
              </w:rPr>
            </w:pPr>
            <w:r>
              <w:rPr>
                <w:rFonts w:ascii="Arial" w:cs="Arial" w:eastAsia="Arial" w:hAnsi="Arial"/>
                <w:sz w:val="17"/>
                <w:szCs w:val="17"/>
                <w:color w:val="auto"/>
              </w:rPr>
              <w:t>Vice President of Marketing</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Charles T. Cumbaa</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51</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Services and Development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Andrew L. Howell</w:t>
            </w:r>
          </w:p>
        </w:tc>
        <w:tc>
          <w:tcPr>
            <w:tcW w:w="1440" w:type="dxa"/>
            <w:vAlign w:val="bottom"/>
          </w:tcPr>
          <w:p>
            <w:pPr>
              <w:ind w:left="760"/>
              <w:spacing w:after="0"/>
              <w:rPr>
                <w:sz w:val="20"/>
                <w:szCs w:val="20"/>
                <w:color w:val="auto"/>
              </w:rPr>
            </w:pPr>
            <w:r>
              <w:rPr>
                <w:rFonts w:ascii="Arial" w:cs="Arial" w:eastAsia="Arial" w:hAnsi="Arial"/>
                <w:sz w:val="17"/>
                <w:szCs w:val="17"/>
                <w:color w:val="auto"/>
              </w:rPr>
              <w:t>38</w:t>
            </w:r>
          </w:p>
        </w:tc>
        <w:tc>
          <w:tcPr>
            <w:tcW w:w="7420" w:type="dxa"/>
            <w:vAlign w:val="bottom"/>
          </w:tcPr>
          <w:p>
            <w:pPr>
              <w:ind w:left="460"/>
              <w:spacing w:after="0"/>
              <w:rPr>
                <w:sz w:val="20"/>
                <w:szCs w:val="20"/>
                <w:color w:val="auto"/>
              </w:rPr>
            </w:pPr>
            <w:r>
              <w:rPr>
                <w:rFonts w:ascii="Arial" w:cs="Arial" w:eastAsia="Arial" w:hAnsi="Arial"/>
                <w:sz w:val="17"/>
                <w:szCs w:val="17"/>
                <w:color w:val="auto"/>
              </w:rPr>
              <w:t>General Counsel and Corporate Secretary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Laura W. Kennedy</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40</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Human Resources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Anthony J. Powell, CFRE</w:t>
            </w:r>
          </w:p>
        </w:tc>
        <w:tc>
          <w:tcPr>
            <w:tcW w:w="1440" w:type="dxa"/>
            <w:vAlign w:val="bottom"/>
          </w:tcPr>
          <w:p>
            <w:pPr>
              <w:ind w:left="760"/>
              <w:spacing w:after="0"/>
              <w:rPr>
                <w:sz w:val="20"/>
                <w:szCs w:val="20"/>
                <w:color w:val="auto"/>
              </w:rPr>
            </w:pPr>
            <w:r>
              <w:rPr>
                <w:rFonts w:ascii="Arial" w:cs="Arial" w:eastAsia="Arial" w:hAnsi="Arial"/>
                <w:sz w:val="17"/>
                <w:szCs w:val="17"/>
                <w:color w:val="auto"/>
              </w:rPr>
              <w:t>36</w:t>
            </w:r>
          </w:p>
        </w:tc>
        <w:tc>
          <w:tcPr>
            <w:tcW w:w="7420" w:type="dxa"/>
            <w:vAlign w:val="bottom"/>
          </w:tcPr>
          <w:p>
            <w:pPr>
              <w:ind w:left="460"/>
              <w:spacing w:after="0"/>
              <w:rPr>
                <w:sz w:val="20"/>
                <w:szCs w:val="20"/>
                <w:color w:val="auto"/>
              </w:rPr>
            </w:pPr>
            <w:r>
              <w:rPr>
                <w:rFonts w:ascii="Arial" w:cs="Arial" w:eastAsia="Arial" w:hAnsi="Arial"/>
                <w:sz w:val="17"/>
                <w:szCs w:val="17"/>
                <w:color w:val="auto"/>
              </w:rPr>
              <w:t>Vice President of Consulting Services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Edward M. Roshitsh</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40</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Sales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Heidi H. Strenck</w:t>
            </w:r>
          </w:p>
        </w:tc>
        <w:tc>
          <w:tcPr>
            <w:tcW w:w="1440" w:type="dxa"/>
            <w:vAlign w:val="bottom"/>
          </w:tcPr>
          <w:p>
            <w:pPr>
              <w:ind w:left="760"/>
              <w:spacing w:after="0"/>
              <w:rPr>
                <w:sz w:val="20"/>
                <w:szCs w:val="20"/>
                <w:color w:val="auto"/>
              </w:rPr>
            </w:pPr>
            <w:r>
              <w:rPr>
                <w:rFonts w:ascii="Arial" w:cs="Arial" w:eastAsia="Arial" w:hAnsi="Arial"/>
                <w:sz w:val="17"/>
                <w:szCs w:val="17"/>
                <w:color w:val="auto"/>
              </w:rPr>
              <w:t>35</w:t>
            </w:r>
          </w:p>
        </w:tc>
        <w:tc>
          <w:tcPr>
            <w:tcW w:w="7420" w:type="dxa"/>
            <w:vAlign w:val="bottom"/>
          </w:tcPr>
          <w:p>
            <w:pPr>
              <w:ind w:left="460"/>
              <w:spacing w:after="0"/>
              <w:rPr>
                <w:sz w:val="20"/>
                <w:szCs w:val="20"/>
                <w:color w:val="auto"/>
              </w:rPr>
            </w:pPr>
            <w:r>
              <w:rPr>
                <w:rFonts w:ascii="Arial" w:cs="Arial" w:eastAsia="Arial" w:hAnsi="Arial"/>
                <w:sz w:val="17"/>
                <w:szCs w:val="17"/>
                <w:color w:val="auto"/>
              </w:rPr>
              <w:t>Vice President, Controller, Assistant Treasurer and Assistant Secretary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Christopher R. Todd</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35</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Corporate Development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Germaine M. Ward</w:t>
            </w:r>
          </w:p>
        </w:tc>
        <w:tc>
          <w:tcPr>
            <w:tcW w:w="1440" w:type="dxa"/>
            <w:vAlign w:val="bottom"/>
          </w:tcPr>
          <w:p>
            <w:pPr>
              <w:ind w:left="760"/>
              <w:spacing w:after="0"/>
              <w:rPr>
                <w:sz w:val="20"/>
                <w:szCs w:val="20"/>
                <w:color w:val="auto"/>
              </w:rPr>
            </w:pPr>
            <w:r>
              <w:rPr>
                <w:rFonts w:ascii="Arial" w:cs="Arial" w:eastAsia="Arial" w:hAnsi="Arial"/>
                <w:sz w:val="17"/>
                <w:szCs w:val="17"/>
                <w:color w:val="auto"/>
              </w:rPr>
              <w:t>41</w:t>
            </w:r>
          </w:p>
        </w:tc>
        <w:tc>
          <w:tcPr>
            <w:tcW w:w="7420" w:type="dxa"/>
            <w:vAlign w:val="bottom"/>
          </w:tcPr>
          <w:p>
            <w:pPr>
              <w:ind w:left="460"/>
              <w:spacing w:after="0"/>
              <w:rPr>
                <w:sz w:val="20"/>
                <w:szCs w:val="20"/>
                <w:color w:val="auto"/>
              </w:rPr>
            </w:pPr>
            <w:r>
              <w:rPr>
                <w:rFonts w:ascii="Arial" w:cs="Arial" w:eastAsia="Arial" w:hAnsi="Arial"/>
                <w:sz w:val="17"/>
                <w:szCs w:val="17"/>
                <w:color w:val="auto"/>
              </w:rPr>
              <w:t>Vice President of Products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Gerard J. Zink</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41</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Vice President of Customer Support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Marco W. Hellman</w:t>
            </w:r>
          </w:p>
        </w:tc>
        <w:tc>
          <w:tcPr>
            <w:tcW w:w="1440" w:type="dxa"/>
            <w:vAlign w:val="bottom"/>
          </w:tcPr>
          <w:p>
            <w:pPr>
              <w:ind w:left="760"/>
              <w:spacing w:after="0"/>
              <w:rPr>
                <w:sz w:val="20"/>
                <w:szCs w:val="20"/>
                <w:color w:val="auto"/>
              </w:rPr>
            </w:pPr>
            <w:r>
              <w:rPr>
                <w:rFonts w:ascii="Arial" w:cs="Arial" w:eastAsia="Arial" w:hAnsi="Arial"/>
                <w:sz w:val="17"/>
                <w:szCs w:val="17"/>
                <w:color w:val="auto"/>
              </w:rPr>
              <w:t>43</w:t>
            </w:r>
          </w:p>
        </w:tc>
        <w:tc>
          <w:tcPr>
            <w:tcW w:w="7420" w:type="dxa"/>
            <w:vAlign w:val="bottom"/>
          </w:tcPr>
          <w:p>
            <w:pPr>
              <w:ind w:left="460"/>
              <w:spacing w:after="0"/>
              <w:rPr>
                <w:sz w:val="20"/>
                <w:szCs w:val="20"/>
                <w:color w:val="auto"/>
              </w:rPr>
            </w:pPr>
            <w:r>
              <w:rPr>
                <w:rFonts w:ascii="Arial" w:cs="Arial" w:eastAsia="Arial" w:hAnsi="Arial"/>
                <w:sz w:val="17"/>
                <w:szCs w:val="17"/>
                <w:color w:val="auto"/>
              </w:rPr>
              <w:t>Director, Chairman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Paul V. Barber</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43</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Dr. Sandra R. Hernández</w:t>
            </w:r>
          </w:p>
        </w:tc>
        <w:tc>
          <w:tcPr>
            <w:tcW w:w="1440" w:type="dxa"/>
            <w:vAlign w:val="bottom"/>
          </w:tcPr>
          <w:p>
            <w:pPr>
              <w:ind w:left="760"/>
              <w:spacing w:after="0"/>
              <w:rPr>
                <w:sz w:val="20"/>
                <w:szCs w:val="20"/>
                <w:color w:val="auto"/>
              </w:rPr>
            </w:pPr>
            <w:r>
              <w:rPr>
                <w:rFonts w:ascii="Arial" w:cs="Arial" w:eastAsia="Arial" w:hAnsi="Arial"/>
                <w:sz w:val="17"/>
                <w:szCs w:val="17"/>
                <w:color w:val="auto"/>
              </w:rPr>
              <w:t>47</w:t>
            </w:r>
          </w:p>
        </w:tc>
        <w:tc>
          <w:tcPr>
            <w:tcW w:w="7420" w:type="dxa"/>
            <w:vAlign w:val="bottom"/>
          </w:tcPr>
          <w:p>
            <w:pPr>
              <w:ind w:left="4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40" w:type="dxa"/>
            <w:vAlign w:val="bottom"/>
            <w:shd w:val="clear" w:color="auto" w:fill="EEEEEE"/>
          </w:tcPr>
          <w:p>
            <w:pPr>
              <w:spacing w:after="0"/>
              <w:rPr>
                <w:sz w:val="20"/>
                <w:szCs w:val="20"/>
                <w:color w:val="auto"/>
              </w:rPr>
            </w:pPr>
            <w:r>
              <w:rPr>
                <w:rFonts w:ascii="Arial" w:cs="Arial" w:eastAsia="Arial" w:hAnsi="Arial"/>
                <w:sz w:val="17"/>
                <w:szCs w:val="17"/>
                <w:color w:val="auto"/>
              </w:rPr>
              <w:t>Andrew M. Leitch</w:t>
            </w:r>
          </w:p>
        </w:tc>
        <w:tc>
          <w:tcPr>
            <w:tcW w:w="1440" w:type="dxa"/>
            <w:vAlign w:val="bottom"/>
            <w:shd w:val="clear" w:color="auto" w:fill="EEEEEE"/>
          </w:tcPr>
          <w:p>
            <w:pPr>
              <w:ind w:left="760"/>
              <w:spacing w:after="0"/>
              <w:rPr>
                <w:sz w:val="20"/>
                <w:szCs w:val="20"/>
                <w:color w:val="auto"/>
              </w:rPr>
            </w:pPr>
            <w:r>
              <w:rPr>
                <w:rFonts w:ascii="Arial" w:cs="Arial" w:eastAsia="Arial" w:hAnsi="Arial"/>
                <w:sz w:val="17"/>
                <w:szCs w:val="17"/>
                <w:color w:val="auto"/>
              </w:rPr>
              <w:t>61</w:t>
            </w:r>
          </w:p>
        </w:tc>
        <w:tc>
          <w:tcPr>
            <w:tcW w:w="7420" w:type="dxa"/>
            <w:vAlign w:val="bottom"/>
            <w:shd w:val="clear" w:color="auto" w:fill="EEEEEE"/>
          </w:tcPr>
          <w:p>
            <w:pPr>
              <w:ind w:left="4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7"/>
                <w:szCs w:val="17"/>
                <w:color w:val="auto"/>
              </w:rPr>
              <w:t>David R. Tunnell</w:t>
            </w:r>
          </w:p>
        </w:tc>
        <w:tc>
          <w:tcPr>
            <w:tcW w:w="1440" w:type="dxa"/>
            <w:vAlign w:val="bottom"/>
          </w:tcPr>
          <w:p>
            <w:pPr>
              <w:ind w:left="760"/>
              <w:spacing w:after="0"/>
              <w:rPr>
                <w:sz w:val="20"/>
                <w:szCs w:val="20"/>
                <w:color w:val="auto"/>
              </w:rPr>
            </w:pPr>
            <w:r>
              <w:rPr>
                <w:rFonts w:ascii="Arial" w:cs="Arial" w:eastAsia="Arial" w:hAnsi="Arial"/>
                <w:sz w:val="17"/>
                <w:szCs w:val="17"/>
                <w:color w:val="auto"/>
              </w:rPr>
              <w:t>34</w:t>
            </w:r>
          </w:p>
        </w:tc>
        <w:tc>
          <w:tcPr>
            <w:tcW w:w="7420" w:type="dxa"/>
            <w:vAlign w:val="bottom"/>
          </w:tcPr>
          <w:p>
            <w:pPr>
              <w:ind w:left="46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00"/>
        </w:trPr>
        <w:tc>
          <w:tcPr>
            <w:tcW w:w="20" w:type="dxa"/>
            <w:vAlign w:val="bottom"/>
            <w:tcBorders>
              <w:bottom w:val="single" w:sz="8" w:color="808080"/>
            </w:tcBorders>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7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i w:val="1"/>
          <w:iCs w:val="1"/>
          <w:color w:val="auto"/>
        </w:rPr>
        <w:t xml:space="preserve">Robert J. Sywolski </w:t>
      </w:r>
      <w:r>
        <w:rPr>
          <w:rFonts w:ascii="Arial" w:cs="Arial" w:eastAsia="Arial" w:hAnsi="Arial"/>
          <w:sz w:val="16"/>
          <w:szCs w:val="16"/>
          <w:color w:val="auto"/>
        </w:rPr>
        <w:t>has served as our President, Chief Executive Officer and a director since March 2000. From May 1998 until February 2000, Mr. Sywolski was a</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partner at JMI Equity Fund, a private investment group. Prior to that, he spent twelve years as the Chairman and CEO of the North American Operations of Cap Gemini, a systems integration, management consulting and information technology services company. A member of the Association of Fundraising Professionals, Mr. Sywolski serves on the boards of the Medical University of South Carolina Cardio Vascular Institute, the South Carolina Aquarium, and ePhilanthropyFoundation.org. He also serves on the boards of the Health Science Foundation of the Medical University of South Carolina and METASeS. Mr. Sywolski holds a BA in electrical engineering from Widener University and an MBA from Long Island University.</w:t>
      </w:r>
    </w:p>
    <w:p>
      <w:pPr>
        <w:spacing w:after="0" w:line="17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i w:val="1"/>
          <w:iCs w:val="1"/>
          <w:color w:val="auto"/>
        </w:rPr>
        <w:t xml:space="preserve">Timothy V. Williams </w:t>
      </w:r>
      <w:r>
        <w:rPr>
          <w:rFonts w:ascii="Arial" w:cs="Arial" w:eastAsia="Arial" w:hAnsi="Arial"/>
          <w:sz w:val="16"/>
          <w:szCs w:val="16"/>
          <w:color w:val="auto"/>
        </w:rPr>
        <w:t>has served as our Chief Financial Officer since January 2001. Mr. Williams is responsible for all of our financial reporting and controls,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human resources, legal and administrative services. From January 1994 to January 2001 he served as Executive Vice President and CFO of Mynd, Inc. (now Computer Sciences Corporation), a provider of software and services to the insurance industry. Prior to that, Mr. Williams worked at Holiday Inn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color w:val="auto"/>
        </w:rPr>
        <w:t>Worldwide, most recently as Executive Vice President &amp; Chief Financial Officer. Mr. Williams holds a BA from the University of Northern Iowa.</w:t>
      </w:r>
    </w:p>
    <w:p>
      <w:pPr>
        <w:spacing w:after="0" w:line="228"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Louis J. Attanasi </w:t>
      </w:r>
      <w:r>
        <w:rPr>
          <w:rFonts w:ascii="Arial" w:cs="Arial" w:eastAsia="Arial" w:hAnsi="Arial"/>
          <w:sz w:val="17"/>
          <w:szCs w:val="17"/>
          <w:color w:val="auto"/>
        </w:rPr>
        <w:t>has served as our Vice President of Strategic Technologies since 2000. Prior to that, he was our Vice President of Product Development since 1996.</w:t>
      </w:r>
      <w:r>
        <w:rPr>
          <w:rFonts w:ascii="Arial" w:cs="Arial" w:eastAsia="Arial" w:hAnsi="Arial"/>
          <w:sz w:val="17"/>
          <w:szCs w:val="17"/>
          <w:i w:val="1"/>
          <w:iCs w:val="1"/>
          <w:color w:val="auto"/>
        </w:rPr>
        <w:t xml:space="preserve"> </w:t>
      </w:r>
      <w:r>
        <w:rPr>
          <w:rFonts w:ascii="Arial" w:cs="Arial" w:eastAsia="Arial" w:hAnsi="Arial"/>
          <w:sz w:val="17"/>
          <w:szCs w:val="17"/>
          <w:color w:val="auto"/>
        </w:rPr>
        <w:t>He joined us in 1986, and in 1988, he began managing our research and development efforts. From 1988 through 1995, Mr. Attanasi was responsible for our software design. Prior to joining us, he taught mathematics at the State University of New York at Stony Brook and worked as a programming engineer at Environmental Energy Corporation. Mr. Attanasi holds a BS in Mathematics from State University of New York at Stony Brook and a MS in Mathematics from the University of Charleston.</w:t>
      </w:r>
    </w:p>
    <w:p>
      <w:pPr>
        <w:spacing w:after="0" w:line="187" w:lineRule="exact"/>
        <w:rPr>
          <w:sz w:val="20"/>
          <w:szCs w:val="20"/>
          <w:color w:val="auto"/>
        </w:rPr>
      </w:pPr>
    </w:p>
    <w:p>
      <w:pPr>
        <w:spacing w:after="0" w:line="266" w:lineRule="auto"/>
        <w:rPr>
          <w:sz w:val="20"/>
          <w:szCs w:val="20"/>
          <w:color w:val="auto"/>
        </w:rPr>
      </w:pPr>
      <w:r>
        <w:rPr>
          <w:rFonts w:ascii="Arial" w:cs="Arial" w:eastAsia="Arial" w:hAnsi="Arial"/>
          <w:sz w:val="17"/>
          <w:szCs w:val="17"/>
          <w:i w:val="1"/>
          <w:iCs w:val="1"/>
          <w:color w:val="auto"/>
        </w:rPr>
        <w:t xml:space="preserve">Richard S. Braddock </w:t>
      </w:r>
      <w:r>
        <w:rPr>
          <w:rFonts w:ascii="Arial" w:cs="Arial" w:eastAsia="Arial" w:hAnsi="Arial"/>
          <w:sz w:val="17"/>
          <w:szCs w:val="17"/>
          <w:color w:val="auto"/>
        </w:rPr>
        <w:t>has served as our Vice President of Marketing since July 2003. Prior to joining us, Mr. Braddock was a Marketing/ Private Equity Consultant</w:t>
      </w:r>
      <w:r>
        <w:rPr>
          <w:rFonts w:ascii="Arial" w:cs="Arial" w:eastAsia="Arial" w:hAnsi="Arial"/>
          <w:sz w:val="17"/>
          <w:szCs w:val="17"/>
          <w:i w:val="1"/>
          <w:iCs w:val="1"/>
          <w:color w:val="auto"/>
        </w:rPr>
        <w:t xml:space="preserve"> </w:t>
      </w:r>
      <w:r>
        <w:rPr>
          <w:rFonts w:ascii="Arial" w:cs="Arial" w:eastAsia="Arial" w:hAnsi="Arial"/>
          <w:sz w:val="17"/>
          <w:szCs w:val="17"/>
          <w:color w:val="auto"/>
        </w:rPr>
        <w:t>for T.I.F.F., a nonprofit cooperative, from February 2003 until May 2003 and for Deutche Bank Venture Capital from June 2002 until January 2003. He was with iMediation Inc., a channel management vendor, from August 2000 until February 2002, most recently as Vice President of Marketing and Strategy, and the Vice President of Marketing for Prime Response, Inc., a customer relations management software company from January 1998 until April 2000. Mr. Braddock holds a BA from Dartmouth College and an MBA from Harvard Business School.</w:t>
      </w:r>
    </w:p>
    <w:p>
      <w:pPr>
        <w:spacing w:after="0" w:line="18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 xml:space="preserve">Charles T. Cumbaa </w:t>
      </w:r>
      <w:r>
        <w:rPr>
          <w:rFonts w:ascii="Arial" w:cs="Arial" w:eastAsia="Arial" w:hAnsi="Arial"/>
          <w:sz w:val="16"/>
          <w:szCs w:val="16"/>
          <w:color w:val="auto"/>
        </w:rPr>
        <w:t>joined us in May 2001. Prior to joining us, Mr. Cumbaa was an Executive Vice President with Intertech Information Management from</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1998 until October 2000. From 1992 until 1998 he was President and Chief Executive Officer of Cognitech, Inc., a software company he founded. Prior to that, he was employed by McKinsey &amp; Company. Mr. Cumbaa holds a BA from Mississippi State University and an MBA from Harvard Business School.</w:t>
      </w:r>
    </w:p>
    <w:p>
      <w:pPr>
        <w:spacing w:after="0" w:line="164"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i w:val="1"/>
          <w:iCs w:val="1"/>
          <w:color w:val="auto"/>
        </w:rPr>
        <w:t xml:space="preserve">Andrew L. Howell </w:t>
      </w:r>
      <w:r>
        <w:rPr>
          <w:rFonts w:ascii="Arial" w:cs="Arial" w:eastAsia="Arial" w:hAnsi="Arial"/>
          <w:sz w:val="17"/>
          <w:szCs w:val="17"/>
          <w:color w:val="auto"/>
        </w:rPr>
        <w:t>has been our General Counsel and Corporate Secretary since July 2002. Prior to joining us, Mr. Howell practiced corporate and technology law,</w:t>
      </w:r>
      <w:r>
        <w:rPr>
          <w:rFonts w:ascii="Arial" w:cs="Arial" w:eastAsia="Arial" w:hAnsi="Arial"/>
          <w:sz w:val="17"/>
          <w:szCs w:val="17"/>
          <w:i w:val="1"/>
          <w:iCs w:val="1"/>
          <w:color w:val="auto"/>
        </w:rPr>
        <w:t xml:space="preserve"> </w:t>
      </w:r>
      <w:r>
        <w:rPr>
          <w:rFonts w:ascii="Arial" w:cs="Arial" w:eastAsia="Arial" w:hAnsi="Arial"/>
          <w:sz w:val="17"/>
          <w:szCs w:val="17"/>
          <w:color w:val="auto"/>
        </w:rPr>
        <w:t>most recently with Sutherland Asbill &amp; Brennan LLP. Mr. Howell received a BA from Washington &amp; Lee University and a JD from Mercer University, where he served as Editor-in-Chief of the Law Review.</w:t>
      </w:r>
    </w:p>
    <w:p>
      <w:pPr>
        <w:spacing w:after="0" w:line="18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i w:val="1"/>
          <w:iCs w:val="1"/>
          <w:color w:val="auto"/>
        </w:rPr>
        <w:t xml:space="preserve">Laura W. Kennedy </w:t>
      </w:r>
      <w:r>
        <w:rPr>
          <w:rFonts w:ascii="Arial" w:cs="Arial" w:eastAsia="Arial" w:hAnsi="Arial"/>
          <w:sz w:val="16"/>
          <w:szCs w:val="16"/>
          <w:color w:val="auto"/>
        </w:rPr>
        <w:t>has been our Vice President of Human Resources since February 2003. She previously served as our Director of Human Resources from</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1996 to February 2003 and prior to that as Manager of Customer Support since 1993. Prior to joining us, Ms. Kennedy held accounting and management positions with Owens &amp; Minor, Inc. and Media General, Inc. Ms. Kennedy holds a BA in accounting from Georgia State University.</w:t>
      </w:r>
    </w:p>
    <w:p>
      <w:pPr>
        <w:spacing w:after="0" w:line="164" w:lineRule="exact"/>
        <w:rPr>
          <w:sz w:val="20"/>
          <w:szCs w:val="20"/>
          <w:color w:val="auto"/>
        </w:rPr>
      </w:pPr>
    </w:p>
    <w:p>
      <w:pPr>
        <w:spacing w:after="0" w:line="325" w:lineRule="auto"/>
        <w:rPr>
          <w:sz w:val="20"/>
          <w:szCs w:val="20"/>
          <w:color w:val="auto"/>
        </w:rPr>
      </w:pPr>
      <w:r>
        <w:rPr>
          <w:rFonts w:ascii="Arial" w:cs="Arial" w:eastAsia="Arial" w:hAnsi="Arial"/>
          <w:sz w:val="15"/>
          <w:szCs w:val="15"/>
          <w:i w:val="1"/>
          <w:iCs w:val="1"/>
          <w:color w:val="auto"/>
        </w:rPr>
        <w:t xml:space="preserve">Anthony J. Powell, </w:t>
      </w:r>
      <w:r>
        <w:rPr>
          <w:rFonts w:ascii="Arial" w:cs="Arial" w:eastAsia="Arial" w:hAnsi="Arial"/>
          <w:sz w:val="15"/>
          <w:szCs w:val="15"/>
          <w:color w:val="auto"/>
        </w:rPr>
        <w:t>CFRE, has served as our Vice President of Consulting Services since October 2002. Prior to that he served as Director of Consulting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since July 1998. Before joining us, Mr. Powell was the Major Gifts Officer at the Smithsonian Institution from June 1997 to July 1998. Prior to that he was the Assistant Vice President for the Greater Baltimore Medical Center Foundation from February 1996 to January 1997. Mr. Powell holds a BA from Allegheny College.</w:t>
      </w:r>
    </w:p>
    <w:p>
      <w:pPr>
        <w:spacing w:after="0" w:line="146" w:lineRule="exact"/>
        <w:rPr>
          <w:sz w:val="20"/>
          <w:szCs w:val="20"/>
          <w:color w:val="auto"/>
        </w:rPr>
      </w:pPr>
    </w:p>
    <w:p>
      <w:pPr>
        <w:jc w:val="both"/>
        <w:ind w:right="580"/>
        <w:spacing w:after="0" w:line="273" w:lineRule="auto"/>
        <w:rPr>
          <w:sz w:val="20"/>
          <w:szCs w:val="20"/>
          <w:color w:val="auto"/>
        </w:rPr>
      </w:pPr>
      <w:r>
        <w:rPr>
          <w:rFonts w:ascii="Arial" w:cs="Arial" w:eastAsia="Arial" w:hAnsi="Arial"/>
          <w:sz w:val="17"/>
          <w:szCs w:val="17"/>
          <w:i w:val="1"/>
          <w:iCs w:val="1"/>
          <w:color w:val="auto"/>
        </w:rPr>
        <w:t xml:space="preserve">Edward M. Roshitsh </w:t>
      </w:r>
      <w:r>
        <w:rPr>
          <w:rFonts w:ascii="Arial" w:cs="Arial" w:eastAsia="Arial" w:hAnsi="Arial"/>
          <w:sz w:val="17"/>
          <w:szCs w:val="17"/>
          <w:color w:val="auto"/>
        </w:rPr>
        <w:t>has been our Vice President of Sales and Marketing since August 2000. From October 1990 until August 2000, he served in a variety of</w:t>
      </w:r>
      <w:r>
        <w:rPr>
          <w:rFonts w:ascii="Arial" w:cs="Arial" w:eastAsia="Arial" w:hAnsi="Arial"/>
          <w:sz w:val="17"/>
          <w:szCs w:val="17"/>
          <w:i w:val="1"/>
          <w:iCs w:val="1"/>
          <w:color w:val="auto"/>
        </w:rPr>
        <w:t xml:space="preserve"> </w:t>
      </w:r>
      <w:r>
        <w:rPr>
          <w:rFonts w:ascii="Arial" w:cs="Arial" w:eastAsia="Arial" w:hAnsi="Arial"/>
          <w:sz w:val="17"/>
          <w:szCs w:val="17"/>
          <w:color w:val="auto"/>
        </w:rPr>
        <w:t>capacities at Data Processing Sciences Corporation, most recently as their Vice President of Sales. Mr. Roshitsh spent several years in the U.S. Air Force as a Network Communications Expert and holds a BA from Indiana Wesleyan University.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72" w:name="page73"/>
    <w:bookmarkEnd w:id="72"/>
    <w:p>
      <w:pPr>
        <w:spacing w:after="0" w:line="268" w:lineRule="auto"/>
        <w:rPr>
          <w:sz w:val="20"/>
          <w:szCs w:val="20"/>
          <w:color w:val="auto"/>
        </w:rPr>
      </w:pPr>
      <w:r>
        <w:rPr>
          <w:rFonts w:ascii="Arial" w:cs="Arial" w:eastAsia="Arial" w:hAnsi="Arial"/>
          <w:sz w:val="17"/>
          <w:szCs w:val="17"/>
          <w:i w:val="1"/>
          <w:iCs w:val="1"/>
          <w:color w:val="auto"/>
        </w:rPr>
        <w:t xml:space="preserve">Heidi H. Strenck </w:t>
      </w:r>
      <w:r>
        <w:rPr>
          <w:rFonts w:ascii="Arial" w:cs="Arial" w:eastAsia="Arial" w:hAnsi="Arial"/>
          <w:sz w:val="17"/>
          <w:szCs w:val="17"/>
          <w:color w:val="auto"/>
        </w:rPr>
        <w:t>has served as our Vice President and Controller since October 2002. Ms. Strenck joined us in September 1996 and held key management roles as</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Manager from 1996 until 1997 and as Controller until 2002. Prior to joining us, she served as a Senior Associate with Coopers &amp; Lybrand and as Internal Auditor for The Raymond Corporation. Ms. Strenck serves on the board of directors of the Trident Area Salvation Army. Ms. Strenck holds a BA from Hartwick College.</w:t>
      </w:r>
    </w:p>
    <w:p>
      <w:pPr>
        <w:spacing w:after="0" w:line="185" w:lineRule="exact"/>
        <w:rPr>
          <w:sz w:val="20"/>
          <w:szCs w:val="20"/>
          <w:color w:val="auto"/>
        </w:rPr>
      </w:pPr>
    </w:p>
    <w:p>
      <w:pPr>
        <w:jc w:val="both"/>
        <w:ind w:right="200"/>
        <w:spacing w:after="0" w:line="297" w:lineRule="auto"/>
        <w:rPr>
          <w:sz w:val="20"/>
          <w:szCs w:val="20"/>
          <w:color w:val="auto"/>
        </w:rPr>
      </w:pPr>
      <w:r>
        <w:rPr>
          <w:rFonts w:ascii="Arial" w:cs="Arial" w:eastAsia="Arial" w:hAnsi="Arial"/>
          <w:sz w:val="16"/>
          <w:szCs w:val="16"/>
          <w:i w:val="1"/>
          <w:iCs w:val="1"/>
          <w:color w:val="auto"/>
        </w:rPr>
        <w:t xml:space="preserve">Christopher R. Todd, </w:t>
      </w:r>
      <w:r>
        <w:rPr>
          <w:rFonts w:ascii="Arial" w:cs="Arial" w:eastAsia="Arial" w:hAnsi="Arial"/>
          <w:sz w:val="16"/>
          <w:szCs w:val="16"/>
          <w:color w:val="auto"/>
        </w:rPr>
        <w:t>our Vice President of Corporate Development, joined us in July 2000. He heads our business development efforts and oversees our analytics</w:t>
      </w:r>
      <w:r>
        <w:rPr>
          <w:rFonts w:ascii="Arial" w:cs="Arial" w:eastAsia="Arial" w:hAnsi="Arial"/>
          <w:sz w:val="16"/>
          <w:szCs w:val="16"/>
          <w:i w:val="1"/>
          <w:iCs w:val="1"/>
          <w:color w:val="auto"/>
        </w:rPr>
        <w:t xml:space="preserve"> </w:t>
      </w:r>
      <w:r>
        <w:rPr>
          <w:rFonts w:ascii="Arial" w:cs="Arial" w:eastAsia="Arial" w:hAnsi="Arial"/>
          <w:sz w:val="16"/>
          <w:szCs w:val="16"/>
          <w:color w:val="auto"/>
        </w:rPr>
        <w:t>division. Prior to joining us, Mr. Todd served as the Director of Business Development and Legal Affairs for NetGen Inc. from July 1999 until July 2000 and as an Associate with McKinsey &amp; Co. from July 1997 until July 1999. Mr. Todd holds a BA from Harvard College and a JD from Yale Law School.</w:t>
      </w:r>
    </w:p>
    <w:p>
      <w:pPr>
        <w:spacing w:after="0" w:line="164" w:lineRule="exact"/>
        <w:rPr>
          <w:sz w:val="20"/>
          <w:szCs w:val="20"/>
          <w:color w:val="auto"/>
        </w:rPr>
      </w:pPr>
    </w:p>
    <w:p>
      <w:pPr>
        <w:jc w:val="both"/>
        <w:ind w:right="300"/>
        <w:spacing w:after="0" w:line="273" w:lineRule="auto"/>
        <w:rPr>
          <w:sz w:val="20"/>
          <w:szCs w:val="20"/>
          <w:color w:val="auto"/>
        </w:rPr>
      </w:pPr>
      <w:r>
        <w:rPr>
          <w:rFonts w:ascii="Arial" w:cs="Arial" w:eastAsia="Arial" w:hAnsi="Arial"/>
          <w:sz w:val="17"/>
          <w:szCs w:val="17"/>
          <w:i w:val="1"/>
          <w:iCs w:val="1"/>
          <w:color w:val="auto"/>
        </w:rPr>
        <w:t xml:space="preserve">Germaine M. Ward </w:t>
      </w:r>
      <w:r>
        <w:rPr>
          <w:rFonts w:ascii="Arial" w:cs="Arial" w:eastAsia="Arial" w:hAnsi="Arial"/>
          <w:sz w:val="17"/>
          <w:szCs w:val="17"/>
          <w:color w:val="auto"/>
        </w:rPr>
        <w:t>has been our Vice President of Products since April 2002. From April 1998 to April 2002, Ms. Ward served as the Vice President for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divisions of Iomega Corporation, most recently Media, Applications and Software. Prior to that, Ms. Ward spent seven years at Symantec Corporation. Ms. Ward holds a BA in computer science from Michigan Technological University.</w:t>
      </w:r>
    </w:p>
    <w:p>
      <w:pPr>
        <w:spacing w:after="0" w:line="18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Gerard J. Zink </w:t>
      </w:r>
      <w:r>
        <w:rPr>
          <w:rFonts w:ascii="Arial" w:cs="Arial" w:eastAsia="Arial" w:hAnsi="Arial"/>
          <w:sz w:val="17"/>
          <w:szCs w:val="17"/>
          <w:color w:val="auto"/>
        </w:rPr>
        <w:t>has served as our Vice President of Customer Support since June 1996. He joined us in November 1987, and served as a Customer Support Analyst</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Manager of Customer Support before assuming his current position. Prior to joining us, Mr. Zink was employed as a computer consultant by the Diocese of Rockville Center in New York.</w:t>
      </w:r>
    </w:p>
    <w:p>
      <w:pPr>
        <w:spacing w:after="0" w:line="18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Marco W. Hellman </w:t>
      </w:r>
      <w:r>
        <w:rPr>
          <w:rFonts w:ascii="Arial" w:cs="Arial" w:eastAsia="Arial" w:hAnsi="Arial"/>
          <w:sz w:val="17"/>
          <w:szCs w:val="17"/>
          <w:color w:val="auto"/>
        </w:rPr>
        <w:t>has been a member of our board of directors since October 1999. Mr. Hellman was an associate and a Managing Director with Hellman &amp;</w:t>
      </w:r>
      <w:r>
        <w:rPr>
          <w:rFonts w:ascii="Arial" w:cs="Arial" w:eastAsia="Arial" w:hAnsi="Arial"/>
          <w:sz w:val="17"/>
          <w:szCs w:val="17"/>
          <w:i w:val="1"/>
          <w:iCs w:val="1"/>
          <w:color w:val="auto"/>
        </w:rPr>
        <w:t xml:space="preserve"> </w:t>
      </w:r>
      <w:r>
        <w:rPr>
          <w:rFonts w:ascii="Arial" w:cs="Arial" w:eastAsia="Arial" w:hAnsi="Arial"/>
          <w:sz w:val="17"/>
          <w:szCs w:val="17"/>
          <w:color w:val="auto"/>
        </w:rPr>
        <w:t>Friedman LLC between August 1987 and February 2001. Mr. Hellman holds an AB from University of California at Berkeley and an MBA from Harvard Business School.</w:t>
      </w:r>
    </w:p>
    <w:p>
      <w:pPr>
        <w:spacing w:after="0" w:line="180" w:lineRule="exact"/>
        <w:rPr>
          <w:sz w:val="20"/>
          <w:szCs w:val="20"/>
          <w:color w:val="auto"/>
        </w:rPr>
      </w:pPr>
    </w:p>
    <w:p>
      <w:pPr>
        <w:ind w:right="100"/>
        <w:spacing w:after="0" w:line="356" w:lineRule="auto"/>
        <w:rPr>
          <w:sz w:val="20"/>
          <w:szCs w:val="20"/>
          <w:color w:val="auto"/>
        </w:rPr>
      </w:pPr>
      <w:r>
        <w:rPr>
          <w:rFonts w:ascii="Arial" w:cs="Arial" w:eastAsia="Arial" w:hAnsi="Arial"/>
          <w:sz w:val="15"/>
          <w:szCs w:val="15"/>
          <w:i w:val="1"/>
          <w:iCs w:val="1"/>
          <w:color w:val="auto"/>
        </w:rPr>
        <w:t xml:space="preserve">Paul V. Barber </w:t>
      </w:r>
      <w:r>
        <w:rPr>
          <w:rFonts w:ascii="Arial" w:cs="Arial" w:eastAsia="Arial" w:hAnsi="Arial"/>
          <w:sz w:val="15"/>
          <w:szCs w:val="15"/>
          <w:color w:val="auto"/>
        </w:rPr>
        <w:t>has served on our board of directors since October 1999. Mr. Barber has been a General Partner with JMI Equity Fund since 1998. He also serves on</w:t>
      </w:r>
      <w:r>
        <w:rPr>
          <w:rFonts w:ascii="Arial" w:cs="Arial" w:eastAsia="Arial" w:hAnsi="Arial"/>
          <w:sz w:val="15"/>
          <w:szCs w:val="15"/>
          <w:i w:val="1"/>
          <w:iCs w:val="1"/>
          <w:color w:val="auto"/>
        </w:rPr>
        <w:t xml:space="preserve"> </w:t>
      </w:r>
      <w:r>
        <w:rPr>
          <w:rFonts w:ascii="Arial" w:cs="Arial" w:eastAsia="Arial" w:hAnsi="Arial"/>
          <w:sz w:val="15"/>
          <w:szCs w:val="15"/>
          <w:color w:val="auto"/>
        </w:rPr>
        <w:t>the boards of several privately held companies. Mr. Barber holds an AB in economics from Stanford University and an MBA from Harvard Business School.</w:t>
      </w:r>
    </w:p>
    <w:p>
      <w:pPr>
        <w:spacing w:after="0" w:line="123"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Dr. Sandra R. Hernández </w:t>
      </w:r>
      <w:r>
        <w:rPr>
          <w:rFonts w:ascii="Arial" w:cs="Arial" w:eastAsia="Arial" w:hAnsi="Arial"/>
          <w:sz w:val="16"/>
          <w:szCs w:val="16"/>
          <w:color w:val="auto"/>
        </w:rPr>
        <w:t>has served on our board of directors since July 2002. Ms. Hernández has served as the Chief Executive Officer of The San Francisco</w:t>
      </w:r>
      <w:r>
        <w:rPr>
          <w:rFonts w:ascii="Arial" w:cs="Arial" w:eastAsia="Arial" w:hAnsi="Arial"/>
          <w:sz w:val="16"/>
          <w:szCs w:val="16"/>
          <w:i w:val="1"/>
          <w:iCs w:val="1"/>
          <w:color w:val="auto"/>
        </w:rPr>
        <w:t xml:space="preserve"> </w:t>
      </w:r>
      <w:r>
        <w:rPr>
          <w:rFonts w:ascii="Arial" w:cs="Arial" w:eastAsia="Arial" w:hAnsi="Arial"/>
          <w:sz w:val="16"/>
          <w:szCs w:val="16"/>
          <w:color w:val="auto"/>
        </w:rPr>
        <w:t>Foundation since September 1997. She has also been an Assistant Clinical Professor at the School of Medicine at the University of California at San Francisco since 1992 and has worked as a Medical Attending physician at the AIDS clinic at the San Francisco General Hospital. She serves on the Board of Directors of a number of nonprofit organizations, including the Lucille Packard Children’s Hospital, the American Foundation for AIDS Research and the Corporation for Supportive Housing. She holds a BA in psychology from Yale University and an MD from Tufts University School of Medicine.</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i w:val="1"/>
          <w:iCs w:val="1"/>
          <w:color w:val="auto"/>
        </w:rPr>
        <w:t xml:space="preserve">Andrew M. Leitch </w:t>
      </w:r>
      <w:r>
        <w:rPr>
          <w:rFonts w:ascii="Arial" w:cs="Arial" w:eastAsia="Arial" w:hAnsi="Arial"/>
          <w:sz w:val="17"/>
          <w:szCs w:val="17"/>
          <w:color w:val="auto"/>
        </w:rPr>
        <w:t>was appointed to our board of directors in February 2004. Mr. Leitch was with Deloitte &amp; Touche LLP for over 27 years, most recently serving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Vice Chairman of the Management Committee, Hong Kong from September 1997 to March 2000. Mr. Leitch also serves on the board of directors of Aldila, Inc., Citicorp Everbright China Fund Limited, Education OnLine USA, Inc., Consolidated Pass International Limited and Publishing and Broadcasting International Limited. Mr. Leitch is a Canadian chartered accountant and a licensed CPA in New York.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73" w:name="page74"/>
    <w:bookmarkEnd w:id="73"/>
    <w:p>
      <w:pPr>
        <w:ind w:right="40"/>
        <w:spacing w:after="0" w:line="273" w:lineRule="auto"/>
        <w:rPr>
          <w:sz w:val="20"/>
          <w:szCs w:val="20"/>
          <w:color w:val="auto"/>
        </w:rPr>
      </w:pPr>
      <w:r>
        <w:rPr>
          <w:rFonts w:ascii="Arial" w:cs="Arial" w:eastAsia="Arial" w:hAnsi="Arial"/>
          <w:sz w:val="17"/>
          <w:szCs w:val="17"/>
          <w:i w:val="1"/>
          <w:iCs w:val="1"/>
          <w:color w:val="auto"/>
        </w:rPr>
        <w:t xml:space="preserve">David R. Tunnell </w:t>
      </w:r>
      <w:r>
        <w:rPr>
          <w:rFonts w:ascii="Arial" w:cs="Arial" w:eastAsia="Arial" w:hAnsi="Arial"/>
          <w:sz w:val="17"/>
          <w:szCs w:val="17"/>
          <w:color w:val="auto"/>
        </w:rPr>
        <w:t>has served on our board of directors since October 1999. Mr. Tunnell joined Hellman &amp; Friedman LLC in 1994 and currently serves as a Managing</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He serves on the board of directors of Arch Capital Group Ltd. and Vertafore, Inc. Mr. Tunnell holds a BA from Harvard College and an MBA from Harvard Business School.</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composition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is composed of a majority of independent directors as defined under Nasdaq Marketplace Rules.</w:t>
      </w:r>
    </w:p>
    <w:p>
      <w:pPr>
        <w:spacing w:after="0" w:line="2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board of directors consists of six directors, which are divided into three classes, each of whose members serve for a staggered three-year term. Our two Class A directors are Paul V. Barber and Marco W. Hellman, our two Class B directors are Dr. Sandra J. Hernández and Andrew M. Leitch, and our two Class C directors are Robert J. Sywolski and David R. Tunnell. At each annual meeting of stockholders, one class of directors will be elected for a three-year term to succeed the directors of the same class whose terms are then expiring. The terms of the Class A directors, Class B directors and Class C directors expire upon the election and qualification of successor directors at the annual meetings of stockholders held during the calendar years 2005, 2006 and 2007, respectively.</w:t>
      </w:r>
    </w:p>
    <w:p>
      <w:pPr>
        <w:spacing w:after="0" w:line="17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Our bylaws provide that the number of directors constituting the board of directors shall not be less than five nor more than nine, and the exact number of directors may be fixed or changed, within this range, by resolution adopted by the affirmative vote of a majority of the directors then in office. Any additional directorships resulting from an increase in the number of directors will be distributed among the three classes so that, as nearly as possible, each class will consist of one-third of the total number of directors. This classification of the board of directors may have the effect of delaying or preventing changes in control or management of our company.</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committees</w:t>
      </w:r>
    </w:p>
    <w:p>
      <w:pPr>
        <w:spacing w:after="0" w:line="22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Each committee is comprised entirely of independent directors in accordance with Nasdaq Marketplace Rules.</w:t>
      </w:r>
    </w:p>
    <w:p>
      <w:pPr>
        <w:spacing w:after="0" w:line="169"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audit committee is comprised of Andrew M. Leitch, Chairman, Paul V. Barber and Dr. Sandra J. Hernández. The audit committee provides assistance to our board of directors in its oversight of the integrity of our financial statements, the qualifications and independence of our independent registered public accounting firm, the performance of our internal audit functions, the procedures undertaken by the independent registered public accounting firm and our compliance with other regulatory and legal requirements. Our audit committee operates pursuant to a formal written charter.</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compensation committee is comprised of Marco W. Hellman, Chairman, Paul V. Barber and David R. Tunnell. The compensation committee reviews and makes recommendations to our board of directors concerning the compensation and benefits of our executive officers and directors, administers our stock option and employee benefit plans, and reviews general policy relating to compensation and benefits.</w:t>
      </w:r>
    </w:p>
    <w:p>
      <w:pPr>
        <w:spacing w:after="0" w:line="180"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Our nominating and corporate governance committee is comprised of Paul V. Barber, Chairman, Andrew M. Leitch and David R. Tunnell. The nominating and corporate governance committee is responsible for identifying and recommending qualified nominees to serve on our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board of directors as well as developing and overseeing our internal corporate governance processes.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22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No member of our compensation committee serves or in the past has served as a member of another entity’s board of directors or compensation committee, which entity has one or more executive officers serving as a member of our board of directors or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Compensation of directors</w:t>
      </w:r>
    </w:p>
    <w:p>
      <w:pPr>
        <w:spacing w:after="0" w:line="22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Members of the board of directors are entitled to receive an annual cash retainer of $7,500. All directors are also entitled to receive $3,000 for each Board meeting attended. The chairperson of the audit committee is entitled to receive an additional $5,000 per year.</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Beginning in February 2004, each incoming member to our board of directors is entitled to receive a one-time option grant to purchase that number of shares of common stock equal to the quotient of $120,000 divided by the fair market value of our common stock on the date of grant, such option to vest over three years. Each member of the board of directors will receive an annual option grant to purchase that number of shares of common stock equal to the quotient of $40,000 divided by the fair market value of our common stock on the date of grant, such option to vest over three years. In addition, if the chairperson of the board of directors is not an executive officer, he or she will receive annual compensation of $10,000 in cash and an option to purchase that number of shares of common stock equal to the quotient of $180,000 divided by the fair market value of our common stock on the date of grant, such option to vest over three years. The exercise price for all these option grants will be the fair market value on the date of grant.</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Indemnification and limitation of director and officer liability</w:t>
      </w:r>
    </w:p>
    <w:p>
      <w:pPr>
        <w:spacing w:after="0" w:line="227"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Our certificate of incorporation limits the liability of our directors for monetary damages arising from a breach of their fiduciary duty as directors, except to the extent otherwise required by the Delaware General Corporation Law. Such limitation of liability does not affect the availability of equitable remedies such as injunctive relief or rescission.</w:t>
      </w:r>
    </w:p>
    <w:p>
      <w:pPr>
        <w:spacing w:after="0" w:line="18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certificate of incorporation and bylaws provide that we will indemnify each person who was or is made a party or threatened to be made a party to or is otherwise involved in any action, suit or proceeding, whether civil, criminal, administrative or investigative, by reason of the fact that he or she or a person of whom he or she is the legal representative is or was one of our directors or officers, or is or was serving at our request as a director, officer, employee or agent of another enterprise, to the fullest extent allowed by the Delaware General Corporation Law. This right of indemnification shall include the right to be paid by us the amount of expenses, including attorneys’ fees, incurred in connection with any such proceeding in advance of its final disposition. However, if Delaware law so requires, the advancement of such expenses will only be made upon the delivery to us of an undertaking by or on behalf of such person to repay all amounts so advanced if it shall ultimately be determined that such person is not entitled to be indemnified for such expenses by us.</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our certificate of incorporation and bylaws provide that we may maintain, at our expense, insurance to protect ourselves and any of our directors, officers, employees or agents against any expense, liability or loss, whether or not we would have the power to indemnify a person against any expense, liability or loss under Delaware law. Our certificate of</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75" w:name="page76"/>
    <w:bookmarkEnd w:id="75"/>
    <w:p>
      <w:pPr>
        <w:ind w:right="80"/>
        <w:spacing w:after="0" w:line="273" w:lineRule="auto"/>
        <w:rPr>
          <w:sz w:val="20"/>
          <w:szCs w:val="20"/>
          <w:color w:val="auto"/>
        </w:rPr>
      </w:pPr>
      <w:r>
        <w:rPr>
          <w:rFonts w:ascii="Arial" w:cs="Arial" w:eastAsia="Arial" w:hAnsi="Arial"/>
          <w:sz w:val="17"/>
          <w:szCs w:val="17"/>
          <w:color w:val="auto"/>
        </w:rPr>
        <w:t>incorporation and bylaws further provide that we may, to the extent permitted by the board of directors, grant rights to indemnification, and rights to advancement of expenses, to any of our employees or agents. We have obtained insurance for the benefit of our officers and directors insuring such persons against liabilities, including liabilities under the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compensation</w:t>
      </w:r>
    </w:p>
    <w:p>
      <w:pPr>
        <w:spacing w:after="0" w:line="22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following table sets forth summary information relating to compensation paid for services rendered for our fiscal year ended December 31, 2004, with respect to the compensation paid and bonuses granted to our Chief Executive Officer as well as each of our other four most highly compensated executive officers, each of whose aggregate compensation during the last fiscal year was greater than $100,000. For purposes of this prospectus, we will refer to the executive officers named in the table below as the named executive officers.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249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3"/>
              </w:rPr>
              <w:t>Long-term</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88"/>
              </w:rPr>
              <w:t>compensation</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3040" w:type="dxa"/>
            <w:vAlign w:val="bottom"/>
            <w:gridSpan w:val="2"/>
          </w:tcPr>
          <w:p>
            <w:pPr>
              <w:spacing w:after="0"/>
              <w:rPr>
                <w:sz w:val="8"/>
                <w:szCs w:val="8"/>
                <w:color w:val="auto"/>
              </w:rPr>
            </w:pPr>
          </w:p>
        </w:tc>
        <w:tc>
          <w:tcPr>
            <w:tcW w:w="2580" w:type="dxa"/>
            <w:vAlign w:val="bottom"/>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2"/>
                <w:szCs w:val="22"/>
                <w:color w:val="auto"/>
              </w:rPr>
            </w:pPr>
          </w:p>
        </w:tc>
        <w:tc>
          <w:tcPr>
            <w:tcW w:w="3040" w:type="dxa"/>
            <w:vAlign w:val="bottom"/>
            <w:gridSpan w:val="2"/>
          </w:tcPr>
          <w:p>
            <w:pPr>
              <w:jc w:val="right"/>
              <w:ind w:right="817"/>
              <w:spacing w:after="0"/>
              <w:rPr>
                <w:sz w:val="20"/>
                <w:szCs w:val="20"/>
                <w:color w:val="auto"/>
              </w:rPr>
            </w:pPr>
            <w:r>
              <w:rPr>
                <w:rFonts w:ascii="Arial" w:cs="Arial" w:eastAsia="Arial" w:hAnsi="Arial"/>
                <w:sz w:val="13"/>
                <w:szCs w:val="13"/>
                <w:b w:val="1"/>
                <w:bCs w:val="1"/>
                <w:color w:val="auto"/>
              </w:rPr>
              <w:t>Annual compensation</w:t>
            </w:r>
          </w:p>
        </w:tc>
        <w:tc>
          <w:tcPr>
            <w:tcW w:w="258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2580" w:type="dxa"/>
            <w:vAlign w:val="bottom"/>
          </w:tcPr>
          <w:p>
            <w:pPr>
              <w:spacing w:after="0"/>
              <w:rPr>
                <w:sz w:val="8"/>
                <w:szCs w:val="8"/>
                <w:color w:val="auto"/>
              </w:rPr>
            </w:pP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securities</w:t>
            </w: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6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580" w:type="dxa"/>
            <w:vAlign w:val="bottom"/>
          </w:tcPr>
          <w:p>
            <w:pPr>
              <w:jc w:val="right"/>
              <w:ind w:right="820"/>
              <w:spacing w:after="0"/>
              <w:rPr>
                <w:sz w:val="20"/>
                <w:szCs w:val="20"/>
                <w:color w:val="auto"/>
              </w:rPr>
            </w:pPr>
            <w:r>
              <w:rPr>
                <w:rFonts w:ascii="Arial" w:cs="Arial" w:eastAsia="Arial" w:hAnsi="Arial"/>
                <w:sz w:val="13"/>
                <w:szCs w:val="13"/>
                <w:b w:val="1"/>
                <w:bCs w:val="1"/>
                <w:color w:val="auto"/>
              </w:rPr>
              <w:t>Other annual</w:t>
            </w:r>
          </w:p>
        </w:tc>
        <w:tc>
          <w:tcPr>
            <w:tcW w:w="1560" w:type="dxa"/>
            <w:vAlign w:val="bottom"/>
          </w:tcPr>
          <w:p>
            <w:pPr>
              <w:jc w:val="center"/>
              <w:spacing w:after="0"/>
              <w:rPr>
                <w:sz w:val="20"/>
                <w:szCs w:val="20"/>
                <w:color w:val="auto"/>
              </w:rPr>
            </w:pPr>
            <w:r>
              <w:rPr>
                <w:rFonts w:ascii="Arial" w:cs="Arial" w:eastAsia="Arial" w:hAnsi="Arial"/>
                <w:sz w:val="13"/>
                <w:szCs w:val="13"/>
                <w:b w:val="1"/>
                <w:bCs w:val="1"/>
                <w:color w:val="auto"/>
                <w:w w:val="90"/>
              </w:rPr>
              <w:t>underlying</w:t>
            </w:r>
          </w:p>
        </w:tc>
        <w:tc>
          <w:tcPr>
            <w:tcW w:w="1580" w:type="dxa"/>
            <w:vAlign w:val="bottom"/>
          </w:tcPr>
          <w:p>
            <w:pPr>
              <w:jc w:val="right"/>
              <w:ind w:right="320"/>
              <w:spacing w:after="0"/>
              <w:rPr>
                <w:sz w:val="20"/>
                <w:szCs w:val="20"/>
                <w:color w:val="auto"/>
              </w:rPr>
            </w:pPr>
            <w:r>
              <w:rPr>
                <w:rFonts w:ascii="Arial" w:cs="Arial" w:eastAsia="Arial" w:hAnsi="Arial"/>
                <w:sz w:val="13"/>
                <w:szCs w:val="13"/>
                <w:b w:val="1"/>
                <w:bCs w:val="1"/>
                <w:color w:val="auto"/>
              </w:rPr>
              <w:t>All other</w:t>
            </w:r>
          </w:p>
        </w:tc>
        <w:tc>
          <w:tcPr>
            <w:tcW w:w="0" w:type="dxa"/>
            <w:vAlign w:val="bottom"/>
          </w:tcPr>
          <w:p>
            <w:pPr>
              <w:spacing w:after="0"/>
              <w:rPr>
                <w:sz w:val="1"/>
                <w:szCs w:val="1"/>
                <w:color w:val="auto"/>
              </w:rPr>
            </w:pPr>
          </w:p>
        </w:tc>
      </w:tr>
      <w:tr>
        <w:trPr>
          <w:trHeight w:val="292"/>
        </w:trPr>
        <w:tc>
          <w:tcPr>
            <w:tcW w:w="2660" w:type="dxa"/>
            <w:vAlign w:val="bottom"/>
            <w:tcBorders>
              <w:bottom w:val="single" w:sz="8" w:color="808080"/>
            </w:tcBorders>
          </w:tcPr>
          <w:p>
            <w:pPr>
              <w:ind w:left="420"/>
              <w:spacing w:after="0"/>
              <w:rPr>
                <w:sz w:val="20"/>
                <w:szCs w:val="20"/>
                <w:color w:val="auto"/>
              </w:rPr>
            </w:pPr>
            <w:r>
              <w:rPr>
                <w:rFonts w:ascii="Arial" w:cs="Arial" w:eastAsia="Arial" w:hAnsi="Arial"/>
                <w:sz w:val="13"/>
                <w:szCs w:val="13"/>
                <w:b w:val="1"/>
                <w:bCs w:val="1"/>
                <w:color w:val="auto"/>
              </w:rPr>
              <w:t>Name and principal position</w:t>
            </w:r>
          </w:p>
        </w:tc>
        <w:tc>
          <w:tcPr>
            <w:tcW w:w="1440" w:type="dxa"/>
            <w:vAlign w:val="bottom"/>
            <w:tcBorders>
              <w:bottom w:val="single" w:sz="8" w:color="808080"/>
            </w:tcBorders>
          </w:tcPr>
          <w:p>
            <w:pPr>
              <w:jc w:val="right"/>
              <w:ind w:right="560"/>
              <w:spacing w:after="0"/>
              <w:rPr>
                <w:sz w:val="20"/>
                <w:szCs w:val="20"/>
                <w:color w:val="auto"/>
              </w:rPr>
            </w:pPr>
            <w:r>
              <w:rPr>
                <w:rFonts w:ascii="Arial" w:cs="Arial" w:eastAsia="Arial" w:hAnsi="Arial"/>
                <w:sz w:val="13"/>
                <w:szCs w:val="13"/>
                <w:b w:val="1"/>
                <w:bCs w:val="1"/>
                <w:color w:val="auto"/>
              </w:rPr>
              <w:t>Salary</w:t>
            </w:r>
          </w:p>
        </w:tc>
        <w:tc>
          <w:tcPr>
            <w:tcW w:w="1600" w:type="dxa"/>
            <w:vAlign w:val="bottom"/>
            <w:tcBorders>
              <w:bottom w:val="single" w:sz="8" w:color="808080"/>
            </w:tcBorders>
          </w:tcPr>
          <w:p>
            <w:pPr>
              <w:jc w:val="right"/>
              <w:ind w:right="477"/>
              <w:spacing w:after="0"/>
              <w:rPr>
                <w:sz w:val="20"/>
                <w:szCs w:val="20"/>
                <w:color w:val="auto"/>
              </w:rPr>
            </w:pPr>
            <w:r>
              <w:rPr>
                <w:rFonts w:ascii="Arial" w:cs="Arial" w:eastAsia="Arial" w:hAnsi="Arial"/>
                <w:sz w:val="13"/>
                <w:szCs w:val="13"/>
                <w:b w:val="1"/>
                <w:bCs w:val="1"/>
                <w:color w:val="auto"/>
              </w:rPr>
              <w:t>Bonus</w:t>
            </w:r>
            <w:r>
              <w:rPr>
                <w:rFonts w:ascii="Arial" w:cs="Arial" w:eastAsia="Arial" w:hAnsi="Arial"/>
                <w:sz w:val="22"/>
                <w:szCs w:val="22"/>
                <w:b w:val="1"/>
                <w:bCs w:val="1"/>
                <w:color w:val="auto"/>
                <w:vertAlign w:val="superscript"/>
              </w:rPr>
              <w:t>(1)</w:t>
            </w:r>
          </w:p>
        </w:tc>
        <w:tc>
          <w:tcPr>
            <w:tcW w:w="2580" w:type="dxa"/>
            <w:vAlign w:val="bottom"/>
            <w:tcBorders>
              <w:bottom w:val="single" w:sz="8" w:color="808080"/>
            </w:tcBorders>
          </w:tcPr>
          <w:p>
            <w:pPr>
              <w:jc w:val="right"/>
              <w:ind w:right="760"/>
              <w:spacing w:after="0"/>
              <w:rPr>
                <w:sz w:val="20"/>
                <w:szCs w:val="20"/>
                <w:color w:val="auto"/>
              </w:rPr>
            </w:pPr>
            <w:r>
              <w:rPr>
                <w:rFonts w:ascii="Arial" w:cs="Arial" w:eastAsia="Arial" w:hAnsi="Arial"/>
                <w:sz w:val="13"/>
                <w:szCs w:val="13"/>
                <w:b w:val="1"/>
                <w:bCs w:val="1"/>
                <w:color w:val="auto"/>
              </w:rPr>
              <w:t>compensation</w:t>
            </w:r>
            <w:r>
              <w:rPr>
                <w:rFonts w:ascii="Arial" w:cs="Arial" w:eastAsia="Arial" w:hAnsi="Arial"/>
                <w:sz w:val="22"/>
                <w:szCs w:val="22"/>
                <w:b w:val="1"/>
                <w:bCs w:val="1"/>
                <w:color w:val="auto"/>
                <w:vertAlign w:val="superscript"/>
              </w:rPr>
              <w:t>(2)</w:t>
            </w:r>
          </w:p>
        </w:tc>
        <w:tc>
          <w:tcPr>
            <w:tcW w:w="1560" w:type="dxa"/>
            <w:vAlign w:val="bottom"/>
            <w:tcBorders>
              <w:bottom w:val="single" w:sz="8" w:color="808080"/>
            </w:tcBorders>
          </w:tcPr>
          <w:p>
            <w:pPr>
              <w:jc w:val="center"/>
              <w:spacing w:after="0"/>
              <w:rPr>
                <w:sz w:val="20"/>
                <w:szCs w:val="20"/>
                <w:color w:val="auto"/>
              </w:rPr>
            </w:pPr>
            <w:r>
              <w:rPr>
                <w:rFonts w:ascii="Arial" w:cs="Arial" w:eastAsia="Arial" w:hAnsi="Arial"/>
                <w:sz w:val="13"/>
                <w:szCs w:val="13"/>
                <w:b w:val="1"/>
                <w:bCs w:val="1"/>
                <w:color w:val="auto"/>
                <w:w w:val="90"/>
              </w:rPr>
              <w:t>options (#)</w:t>
            </w:r>
          </w:p>
        </w:tc>
        <w:tc>
          <w:tcPr>
            <w:tcW w:w="1580" w:type="dxa"/>
            <w:vAlign w:val="bottom"/>
            <w:tcBorders>
              <w:bottom w:val="single" w:sz="8" w:color="808080"/>
            </w:tcBorders>
          </w:tcPr>
          <w:p>
            <w:pPr>
              <w:jc w:val="right"/>
              <w:ind w:right="180"/>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02"/>
        </w:trPr>
        <w:tc>
          <w:tcPr>
            <w:tcW w:w="26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EEEEEE"/>
          </w:tcPr>
          <w:p>
            <w:pPr>
              <w:spacing w:after="0"/>
              <w:rPr>
                <w:sz w:val="20"/>
                <w:szCs w:val="20"/>
                <w:color w:val="auto"/>
              </w:rPr>
            </w:pPr>
            <w:r>
              <w:rPr>
                <w:rFonts w:ascii="Arial" w:cs="Arial" w:eastAsia="Arial" w:hAnsi="Arial"/>
                <w:sz w:val="17"/>
                <w:szCs w:val="17"/>
                <w:color w:val="auto"/>
              </w:rPr>
              <w:t>Robert J. Sywolski</w:t>
            </w:r>
          </w:p>
        </w:tc>
        <w:tc>
          <w:tcPr>
            <w:tcW w:w="1440" w:type="dxa"/>
            <w:vAlign w:val="bottom"/>
            <w:shd w:val="clear" w:color="auto" w:fill="EEEEEE"/>
          </w:tcPr>
          <w:p>
            <w:pPr>
              <w:jc w:val="right"/>
              <w:ind w:right="380"/>
              <w:spacing w:after="0"/>
              <w:rPr>
                <w:sz w:val="20"/>
                <w:szCs w:val="20"/>
                <w:color w:val="auto"/>
              </w:rPr>
            </w:pPr>
            <w:r>
              <w:rPr>
                <w:rFonts w:ascii="Arial" w:cs="Arial" w:eastAsia="Arial" w:hAnsi="Arial"/>
                <w:sz w:val="17"/>
                <w:szCs w:val="17"/>
                <w:color w:val="auto"/>
              </w:rPr>
              <w:t>$525,000</w:t>
            </w:r>
          </w:p>
        </w:tc>
        <w:tc>
          <w:tcPr>
            <w:tcW w:w="160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$486,840</w:t>
            </w:r>
          </w:p>
        </w:tc>
        <w:tc>
          <w:tcPr>
            <w:tcW w:w="2580" w:type="dxa"/>
            <w:vAlign w:val="bottom"/>
            <w:shd w:val="clear" w:color="auto" w:fill="EEEEEE"/>
          </w:tcPr>
          <w:p>
            <w:pPr>
              <w:jc w:val="right"/>
              <w:ind w:right="940"/>
              <w:spacing w:after="0"/>
              <w:rPr>
                <w:sz w:val="20"/>
                <w:szCs w:val="20"/>
                <w:color w:val="auto"/>
              </w:rPr>
            </w:pPr>
            <w:r>
              <w:rPr>
                <w:rFonts w:ascii="Arial" w:cs="Arial" w:eastAsia="Arial" w:hAnsi="Arial"/>
                <w:sz w:val="17"/>
                <w:szCs w:val="17"/>
                <w:color w:val="auto"/>
              </w:rPr>
              <w:t>$7,798</w:t>
            </w:r>
          </w:p>
        </w:tc>
        <w:tc>
          <w:tcPr>
            <w:tcW w:w="1560" w:type="dxa"/>
            <w:vAlign w:val="bottom"/>
            <w:shd w:val="clear" w:color="auto" w:fill="EEEEEE"/>
          </w:tcPr>
          <w:p>
            <w:pPr>
              <w:jc w:val="right"/>
              <w:ind w:right="325"/>
              <w:spacing w:after="0"/>
              <w:rPr>
                <w:sz w:val="20"/>
                <w:szCs w:val="20"/>
                <w:color w:val="auto"/>
              </w:rPr>
            </w:pPr>
            <w:r>
              <w:rPr>
                <w:rFonts w:ascii="Arial" w:cs="Arial" w:eastAsia="Arial" w:hAnsi="Arial"/>
                <w:sz w:val="17"/>
                <w:szCs w:val="17"/>
                <w:color w:val="auto"/>
              </w:rPr>
              <w:t>3,524,244</w:t>
            </w:r>
          </w:p>
        </w:tc>
        <w:tc>
          <w:tcPr>
            <w:tcW w:w="1580" w:type="dxa"/>
            <w:vAlign w:val="bottom"/>
            <w:shd w:val="clear" w:color="auto" w:fill="EEEEEE"/>
          </w:tcPr>
          <w:p>
            <w:pPr>
              <w:jc w:val="right"/>
              <w:ind w:right="140"/>
              <w:spacing w:after="0"/>
              <w:rPr>
                <w:sz w:val="20"/>
                <w:szCs w:val="20"/>
                <w:color w:val="auto"/>
              </w:rPr>
            </w:pPr>
            <w:r>
              <w:rPr>
                <w:rFonts w:ascii="Arial" w:cs="Arial" w:eastAsia="Arial" w:hAnsi="Arial"/>
                <w:sz w:val="17"/>
                <w:szCs w:val="17"/>
                <w:color w:val="auto"/>
              </w:rPr>
              <w:t>$5,683(3)</w:t>
            </w:r>
          </w:p>
        </w:tc>
        <w:tc>
          <w:tcPr>
            <w:tcW w:w="0" w:type="dxa"/>
            <w:vAlign w:val="bottom"/>
          </w:tcPr>
          <w:p>
            <w:pPr>
              <w:spacing w:after="0"/>
              <w:rPr>
                <w:sz w:val="1"/>
                <w:szCs w:val="1"/>
                <w:color w:val="auto"/>
              </w:rPr>
            </w:pPr>
          </w:p>
        </w:tc>
      </w:tr>
      <w:tr>
        <w:trPr>
          <w:trHeight w:val="212"/>
        </w:trPr>
        <w:tc>
          <w:tcPr>
            <w:tcW w:w="2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President and Chief</w:t>
            </w:r>
          </w:p>
        </w:tc>
        <w:tc>
          <w:tcPr>
            <w:tcW w:w="14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Executive Officer</w:t>
            </w:r>
          </w:p>
        </w:tc>
        <w:tc>
          <w:tcPr>
            <w:tcW w:w="144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2580" w:type="dxa"/>
            <w:vAlign w:val="bottom"/>
            <w:shd w:val="clear" w:color="auto" w:fill="EEEEEE"/>
          </w:tcPr>
          <w:p>
            <w:pPr>
              <w:spacing w:after="0"/>
              <w:rPr>
                <w:sz w:val="19"/>
                <w:szCs w:val="19"/>
                <w:color w:val="auto"/>
              </w:rPr>
            </w:pPr>
          </w:p>
        </w:tc>
        <w:tc>
          <w:tcPr>
            <w:tcW w:w="1560" w:type="dxa"/>
            <w:vAlign w:val="bottom"/>
            <w:shd w:val="clear" w:color="auto" w:fill="EEEEEE"/>
          </w:tcPr>
          <w:p>
            <w:pPr>
              <w:spacing w:after="0"/>
              <w:rPr>
                <w:sz w:val="19"/>
                <w:szCs w:val="19"/>
                <w:color w:val="auto"/>
              </w:rPr>
            </w:pPr>
          </w:p>
        </w:tc>
        <w:tc>
          <w:tcPr>
            <w:tcW w:w="1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Timothy V. Williams</w:t>
            </w:r>
          </w:p>
        </w:tc>
        <w:tc>
          <w:tcPr>
            <w:tcW w:w="1440" w:type="dxa"/>
            <w:vAlign w:val="bottom"/>
          </w:tcPr>
          <w:p>
            <w:pPr>
              <w:jc w:val="right"/>
              <w:ind w:right="380"/>
              <w:spacing w:after="0"/>
              <w:rPr>
                <w:sz w:val="20"/>
                <w:szCs w:val="20"/>
                <w:color w:val="auto"/>
              </w:rPr>
            </w:pPr>
            <w:r>
              <w:rPr>
                <w:rFonts w:ascii="Arial" w:cs="Arial" w:eastAsia="Arial" w:hAnsi="Arial"/>
                <w:sz w:val="17"/>
                <w:szCs w:val="17"/>
                <w:color w:val="auto"/>
              </w:rPr>
              <w:t>275,000</w:t>
            </w:r>
          </w:p>
        </w:tc>
        <w:tc>
          <w:tcPr>
            <w:tcW w:w="1600" w:type="dxa"/>
            <w:vAlign w:val="bottom"/>
          </w:tcPr>
          <w:p>
            <w:pPr>
              <w:jc w:val="right"/>
              <w:ind w:right="377"/>
              <w:spacing w:after="0"/>
              <w:rPr>
                <w:sz w:val="20"/>
                <w:szCs w:val="20"/>
                <w:color w:val="auto"/>
              </w:rPr>
            </w:pPr>
            <w:r>
              <w:rPr>
                <w:rFonts w:ascii="Arial" w:cs="Arial" w:eastAsia="Arial" w:hAnsi="Arial"/>
                <w:sz w:val="17"/>
                <w:szCs w:val="17"/>
                <w:color w:val="auto"/>
              </w:rPr>
              <w:t>107,389</w:t>
            </w:r>
          </w:p>
        </w:tc>
        <w:tc>
          <w:tcPr>
            <w:tcW w:w="2580" w:type="dxa"/>
            <w:vAlign w:val="bottom"/>
          </w:tcPr>
          <w:p>
            <w:pPr>
              <w:jc w:val="right"/>
              <w:ind w:right="940"/>
              <w:spacing w:after="0"/>
              <w:rPr>
                <w:sz w:val="20"/>
                <w:szCs w:val="20"/>
                <w:color w:val="auto"/>
              </w:rPr>
            </w:pPr>
            <w:r>
              <w:rPr>
                <w:rFonts w:ascii="Arial" w:cs="Arial" w:eastAsia="Arial" w:hAnsi="Arial"/>
                <w:sz w:val="17"/>
                <w:szCs w:val="17"/>
                <w:color w:val="auto"/>
              </w:rPr>
              <w:t>8,400</w:t>
            </w:r>
          </w:p>
        </w:tc>
        <w:tc>
          <w:tcPr>
            <w:tcW w:w="1560" w:type="dxa"/>
            <w:vAlign w:val="bottom"/>
          </w:tcPr>
          <w:p>
            <w:pPr>
              <w:jc w:val="right"/>
              <w:ind w:right="325"/>
              <w:spacing w:after="0"/>
              <w:rPr>
                <w:sz w:val="20"/>
                <w:szCs w:val="20"/>
                <w:color w:val="auto"/>
              </w:rPr>
            </w:pPr>
            <w:r>
              <w:rPr>
                <w:rFonts w:ascii="Arial" w:cs="Arial" w:eastAsia="Arial" w:hAnsi="Arial"/>
                <w:sz w:val="17"/>
                <w:szCs w:val="17"/>
                <w:color w:val="auto"/>
              </w:rPr>
              <w:t>625,000</w:t>
            </w:r>
          </w:p>
        </w:tc>
        <w:tc>
          <w:tcPr>
            <w:tcW w:w="1580" w:type="dxa"/>
            <w:vAlign w:val="bottom"/>
          </w:tcPr>
          <w:p>
            <w:pPr>
              <w:jc w:val="right"/>
              <w:ind w:right="140"/>
              <w:spacing w:after="0"/>
              <w:rPr>
                <w:sz w:val="20"/>
                <w:szCs w:val="20"/>
                <w:color w:val="auto"/>
              </w:rPr>
            </w:pPr>
            <w:r>
              <w:rPr>
                <w:rFonts w:ascii="Arial" w:cs="Arial" w:eastAsia="Arial" w:hAnsi="Arial"/>
                <w:sz w:val="17"/>
                <w:szCs w:val="17"/>
                <w:color w:val="auto"/>
              </w:rPr>
              <w:t>7,165(4)</w:t>
            </w:r>
          </w:p>
        </w:tc>
        <w:tc>
          <w:tcPr>
            <w:tcW w:w="0" w:type="dxa"/>
            <w:vAlign w:val="bottom"/>
          </w:tcPr>
          <w:p>
            <w:pPr>
              <w:spacing w:after="0"/>
              <w:rPr>
                <w:sz w:val="1"/>
                <w:szCs w:val="1"/>
                <w:color w:val="auto"/>
              </w:rPr>
            </w:pPr>
          </w:p>
        </w:tc>
      </w:tr>
      <w:tr>
        <w:trPr>
          <w:trHeight w:val="212"/>
        </w:trPr>
        <w:tc>
          <w:tcPr>
            <w:tcW w:w="2660" w:type="dxa"/>
            <w:vAlign w:val="bottom"/>
          </w:tcPr>
          <w:p>
            <w:pPr>
              <w:ind w:left="280"/>
              <w:spacing w:after="0"/>
              <w:rPr>
                <w:sz w:val="20"/>
                <w:szCs w:val="20"/>
                <w:color w:val="auto"/>
              </w:rPr>
            </w:pPr>
            <w:r>
              <w:rPr>
                <w:rFonts w:ascii="Arial" w:cs="Arial" w:eastAsia="Arial" w:hAnsi="Arial"/>
                <w:sz w:val="17"/>
                <w:szCs w:val="17"/>
                <w:color w:val="auto"/>
              </w:rPr>
              <w:t>Vice President and Chief</w:t>
            </w: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280"/>
              <w:spacing w:after="0"/>
              <w:rPr>
                <w:sz w:val="20"/>
                <w:szCs w:val="20"/>
                <w:color w:val="auto"/>
              </w:rPr>
            </w:pPr>
            <w:r>
              <w:rPr>
                <w:rFonts w:ascii="Arial" w:cs="Arial" w:eastAsia="Arial" w:hAnsi="Arial"/>
                <w:sz w:val="17"/>
                <w:szCs w:val="17"/>
                <w:color w:val="auto"/>
              </w:rPr>
              <w:t>Financial Officer</w:t>
            </w: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EEEEEE"/>
          </w:tcPr>
          <w:p>
            <w:pPr>
              <w:spacing w:after="0"/>
              <w:rPr>
                <w:sz w:val="20"/>
                <w:szCs w:val="20"/>
                <w:color w:val="auto"/>
              </w:rPr>
            </w:pPr>
            <w:r>
              <w:rPr>
                <w:rFonts w:ascii="Arial" w:cs="Arial" w:eastAsia="Arial" w:hAnsi="Arial"/>
                <w:sz w:val="17"/>
                <w:szCs w:val="17"/>
                <w:color w:val="auto"/>
              </w:rPr>
              <w:t>Charles T. Cumbaa</w:t>
            </w:r>
          </w:p>
        </w:tc>
        <w:tc>
          <w:tcPr>
            <w:tcW w:w="1440" w:type="dxa"/>
            <w:vAlign w:val="bottom"/>
            <w:shd w:val="clear" w:color="auto" w:fill="EEEEEE"/>
          </w:tcPr>
          <w:p>
            <w:pPr>
              <w:jc w:val="right"/>
              <w:ind w:right="380"/>
              <w:spacing w:after="0"/>
              <w:rPr>
                <w:sz w:val="20"/>
                <w:szCs w:val="20"/>
                <w:color w:val="auto"/>
              </w:rPr>
            </w:pPr>
            <w:r>
              <w:rPr>
                <w:rFonts w:ascii="Arial" w:cs="Arial" w:eastAsia="Arial" w:hAnsi="Arial"/>
                <w:sz w:val="17"/>
                <w:szCs w:val="17"/>
                <w:color w:val="auto"/>
              </w:rPr>
              <w:t>255,000</w:t>
            </w:r>
          </w:p>
        </w:tc>
        <w:tc>
          <w:tcPr>
            <w:tcW w:w="160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134,317</w:t>
            </w:r>
          </w:p>
        </w:tc>
        <w:tc>
          <w:tcPr>
            <w:tcW w:w="2580" w:type="dxa"/>
            <w:vAlign w:val="bottom"/>
            <w:shd w:val="clear" w:color="auto" w:fill="EEEEEE"/>
          </w:tcPr>
          <w:p>
            <w:pPr>
              <w:jc w:val="right"/>
              <w:ind w:right="940"/>
              <w:spacing w:after="0"/>
              <w:rPr>
                <w:sz w:val="20"/>
                <w:szCs w:val="20"/>
                <w:color w:val="auto"/>
              </w:rPr>
            </w:pPr>
            <w:r>
              <w:rPr>
                <w:rFonts w:ascii="Arial" w:cs="Arial" w:eastAsia="Arial" w:hAnsi="Arial"/>
                <w:sz w:val="17"/>
                <w:szCs w:val="17"/>
                <w:color w:val="auto"/>
              </w:rPr>
              <w:t>—</w:t>
            </w:r>
          </w:p>
        </w:tc>
        <w:tc>
          <w:tcPr>
            <w:tcW w:w="1560" w:type="dxa"/>
            <w:vAlign w:val="bottom"/>
            <w:shd w:val="clear" w:color="auto" w:fill="EEEEEE"/>
          </w:tcPr>
          <w:p>
            <w:pPr>
              <w:jc w:val="right"/>
              <w:ind w:right="325"/>
              <w:spacing w:after="0"/>
              <w:rPr>
                <w:sz w:val="20"/>
                <w:szCs w:val="20"/>
                <w:color w:val="auto"/>
              </w:rPr>
            </w:pPr>
            <w:r>
              <w:rPr>
                <w:rFonts w:ascii="Arial" w:cs="Arial" w:eastAsia="Arial" w:hAnsi="Arial"/>
                <w:sz w:val="17"/>
                <w:szCs w:val="17"/>
                <w:color w:val="auto"/>
              </w:rPr>
              <w:t>375,000</w:t>
            </w:r>
          </w:p>
        </w:tc>
        <w:tc>
          <w:tcPr>
            <w:tcW w:w="1580" w:type="dxa"/>
            <w:vAlign w:val="bottom"/>
            <w:shd w:val="clear" w:color="auto" w:fill="EEEEEE"/>
          </w:tcPr>
          <w:p>
            <w:pPr>
              <w:jc w:val="right"/>
              <w:ind w:right="140"/>
              <w:spacing w:after="0"/>
              <w:rPr>
                <w:sz w:val="20"/>
                <w:szCs w:val="20"/>
                <w:color w:val="auto"/>
              </w:rPr>
            </w:pPr>
            <w:r>
              <w:rPr>
                <w:rFonts w:ascii="Arial" w:cs="Arial" w:eastAsia="Arial" w:hAnsi="Arial"/>
                <w:sz w:val="17"/>
                <w:szCs w:val="17"/>
                <w:color w:val="auto"/>
              </w:rPr>
              <w:t>7,872(5)</w:t>
            </w:r>
          </w:p>
        </w:tc>
        <w:tc>
          <w:tcPr>
            <w:tcW w:w="0" w:type="dxa"/>
            <w:vAlign w:val="bottom"/>
          </w:tcPr>
          <w:p>
            <w:pPr>
              <w:spacing w:after="0"/>
              <w:rPr>
                <w:sz w:val="1"/>
                <w:szCs w:val="1"/>
                <w:color w:val="auto"/>
              </w:rPr>
            </w:pPr>
          </w:p>
        </w:tc>
      </w:tr>
      <w:tr>
        <w:trPr>
          <w:trHeight w:val="212"/>
        </w:trPr>
        <w:tc>
          <w:tcPr>
            <w:tcW w:w="2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Vice President of Services and</w:t>
            </w:r>
          </w:p>
        </w:tc>
        <w:tc>
          <w:tcPr>
            <w:tcW w:w="14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Development</w:t>
            </w:r>
          </w:p>
        </w:tc>
        <w:tc>
          <w:tcPr>
            <w:tcW w:w="144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2580" w:type="dxa"/>
            <w:vAlign w:val="bottom"/>
            <w:shd w:val="clear" w:color="auto" w:fill="EEEEEE"/>
          </w:tcPr>
          <w:p>
            <w:pPr>
              <w:spacing w:after="0"/>
              <w:rPr>
                <w:sz w:val="19"/>
                <w:szCs w:val="19"/>
                <w:color w:val="auto"/>
              </w:rPr>
            </w:pPr>
          </w:p>
        </w:tc>
        <w:tc>
          <w:tcPr>
            <w:tcW w:w="1560" w:type="dxa"/>
            <w:vAlign w:val="bottom"/>
            <w:shd w:val="clear" w:color="auto" w:fill="EEEEEE"/>
          </w:tcPr>
          <w:p>
            <w:pPr>
              <w:spacing w:after="0"/>
              <w:rPr>
                <w:sz w:val="19"/>
                <w:szCs w:val="19"/>
                <w:color w:val="auto"/>
              </w:rPr>
            </w:pPr>
          </w:p>
        </w:tc>
        <w:tc>
          <w:tcPr>
            <w:tcW w:w="1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Louis J. Attanasi</w:t>
            </w:r>
          </w:p>
        </w:tc>
        <w:tc>
          <w:tcPr>
            <w:tcW w:w="1440" w:type="dxa"/>
            <w:vAlign w:val="bottom"/>
          </w:tcPr>
          <w:p>
            <w:pPr>
              <w:jc w:val="right"/>
              <w:ind w:right="380"/>
              <w:spacing w:after="0"/>
              <w:rPr>
                <w:sz w:val="20"/>
                <w:szCs w:val="20"/>
                <w:color w:val="auto"/>
              </w:rPr>
            </w:pPr>
            <w:r>
              <w:rPr>
                <w:rFonts w:ascii="Arial" w:cs="Arial" w:eastAsia="Arial" w:hAnsi="Arial"/>
                <w:sz w:val="17"/>
                <w:szCs w:val="17"/>
                <w:color w:val="auto"/>
              </w:rPr>
              <w:t>255,000</w:t>
            </w:r>
          </w:p>
        </w:tc>
        <w:tc>
          <w:tcPr>
            <w:tcW w:w="1600" w:type="dxa"/>
            <w:vAlign w:val="bottom"/>
          </w:tcPr>
          <w:p>
            <w:pPr>
              <w:jc w:val="right"/>
              <w:ind w:right="377"/>
              <w:spacing w:after="0"/>
              <w:rPr>
                <w:sz w:val="20"/>
                <w:szCs w:val="20"/>
                <w:color w:val="auto"/>
              </w:rPr>
            </w:pPr>
            <w:r>
              <w:rPr>
                <w:rFonts w:ascii="Arial" w:cs="Arial" w:eastAsia="Arial" w:hAnsi="Arial"/>
                <w:sz w:val="17"/>
                <w:szCs w:val="17"/>
                <w:color w:val="auto"/>
              </w:rPr>
              <w:t>122,401</w:t>
            </w:r>
          </w:p>
        </w:tc>
        <w:tc>
          <w:tcPr>
            <w:tcW w:w="2580" w:type="dxa"/>
            <w:vAlign w:val="bottom"/>
          </w:tcPr>
          <w:p>
            <w:pPr>
              <w:jc w:val="right"/>
              <w:ind w:right="940"/>
              <w:spacing w:after="0"/>
              <w:rPr>
                <w:sz w:val="20"/>
                <w:szCs w:val="20"/>
                <w:color w:val="auto"/>
              </w:rPr>
            </w:pPr>
            <w:r>
              <w:rPr>
                <w:rFonts w:ascii="Arial" w:cs="Arial" w:eastAsia="Arial" w:hAnsi="Arial"/>
                <w:sz w:val="17"/>
                <w:szCs w:val="17"/>
                <w:color w:val="auto"/>
              </w:rPr>
              <w:t>8,400</w:t>
            </w:r>
          </w:p>
        </w:tc>
        <w:tc>
          <w:tcPr>
            <w:tcW w:w="1560" w:type="dxa"/>
            <w:vAlign w:val="bottom"/>
          </w:tcPr>
          <w:p>
            <w:pPr>
              <w:jc w:val="right"/>
              <w:ind w:right="325"/>
              <w:spacing w:after="0"/>
              <w:rPr>
                <w:sz w:val="20"/>
                <w:szCs w:val="20"/>
                <w:color w:val="auto"/>
              </w:rPr>
            </w:pPr>
            <w:r>
              <w:rPr>
                <w:rFonts w:ascii="Arial" w:cs="Arial" w:eastAsia="Arial" w:hAnsi="Arial"/>
                <w:sz w:val="17"/>
                <w:szCs w:val="17"/>
                <w:color w:val="auto"/>
              </w:rPr>
              <w:t>250,000</w:t>
            </w:r>
          </w:p>
        </w:tc>
        <w:tc>
          <w:tcPr>
            <w:tcW w:w="1580" w:type="dxa"/>
            <w:vAlign w:val="bottom"/>
          </w:tcPr>
          <w:p>
            <w:pPr>
              <w:jc w:val="right"/>
              <w:ind w:right="140"/>
              <w:spacing w:after="0"/>
              <w:rPr>
                <w:sz w:val="20"/>
                <w:szCs w:val="20"/>
                <w:color w:val="auto"/>
              </w:rPr>
            </w:pPr>
            <w:r>
              <w:rPr>
                <w:rFonts w:ascii="Arial" w:cs="Arial" w:eastAsia="Arial" w:hAnsi="Arial"/>
                <w:sz w:val="17"/>
                <w:szCs w:val="17"/>
                <w:color w:val="auto"/>
              </w:rPr>
              <w:t>7,135(6)</w:t>
            </w:r>
          </w:p>
        </w:tc>
        <w:tc>
          <w:tcPr>
            <w:tcW w:w="0" w:type="dxa"/>
            <w:vAlign w:val="bottom"/>
          </w:tcPr>
          <w:p>
            <w:pPr>
              <w:spacing w:after="0"/>
              <w:rPr>
                <w:sz w:val="1"/>
                <w:szCs w:val="1"/>
                <w:color w:val="auto"/>
              </w:rPr>
            </w:pPr>
          </w:p>
        </w:tc>
      </w:tr>
      <w:tr>
        <w:trPr>
          <w:trHeight w:val="212"/>
        </w:trPr>
        <w:tc>
          <w:tcPr>
            <w:tcW w:w="2660" w:type="dxa"/>
            <w:vAlign w:val="bottom"/>
          </w:tcPr>
          <w:p>
            <w:pPr>
              <w:ind w:left="280"/>
              <w:spacing w:after="0"/>
              <w:rPr>
                <w:sz w:val="20"/>
                <w:szCs w:val="20"/>
                <w:color w:val="auto"/>
              </w:rPr>
            </w:pPr>
            <w:r>
              <w:rPr>
                <w:rFonts w:ascii="Arial" w:cs="Arial" w:eastAsia="Arial" w:hAnsi="Arial"/>
                <w:sz w:val="17"/>
                <w:szCs w:val="17"/>
                <w:color w:val="auto"/>
              </w:rPr>
              <w:t>Vice President of Strategic</w:t>
            </w:r>
          </w:p>
        </w:tc>
        <w:tc>
          <w:tcPr>
            <w:tcW w:w="1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60" w:type="dxa"/>
            <w:vAlign w:val="bottom"/>
          </w:tcPr>
          <w:p>
            <w:pPr>
              <w:ind w:left="280"/>
              <w:spacing w:after="0"/>
              <w:rPr>
                <w:sz w:val="20"/>
                <w:szCs w:val="20"/>
                <w:color w:val="auto"/>
              </w:rPr>
            </w:pPr>
            <w:r>
              <w:rPr>
                <w:rFonts w:ascii="Arial" w:cs="Arial" w:eastAsia="Arial" w:hAnsi="Arial"/>
                <w:sz w:val="17"/>
                <w:szCs w:val="17"/>
                <w:color w:val="auto"/>
              </w:rPr>
              <w:t>Technologies</w:t>
            </w:r>
          </w:p>
        </w:tc>
        <w:tc>
          <w:tcPr>
            <w:tcW w:w="1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EEEEEE"/>
          </w:tcPr>
          <w:p>
            <w:pPr>
              <w:spacing w:after="0"/>
              <w:rPr>
                <w:sz w:val="20"/>
                <w:szCs w:val="20"/>
                <w:color w:val="auto"/>
              </w:rPr>
            </w:pPr>
            <w:r>
              <w:rPr>
                <w:rFonts w:ascii="Arial" w:cs="Arial" w:eastAsia="Arial" w:hAnsi="Arial"/>
                <w:sz w:val="17"/>
                <w:szCs w:val="17"/>
                <w:color w:val="auto"/>
              </w:rPr>
              <w:t>Edward M. Roshitsh</w:t>
            </w:r>
          </w:p>
        </w:tc>
        <w:tc>
          <w:tcPr>
            <w:tcW w:w="1440" w:type="dxa"/>
            <w:vAlign w:val="bottom"/>
            <w:shd w:val="clear" w:color="auto" w:fill="EEEEEE"/>
          </w:tcPr>
          <w:p>
            <w:pPr>
              <w:jc w:val="right"/>
              <w:ind w:right="380"/>
              <w:spacing w:after="0"/>
              <w:rPr>
                <w:sz w:val="20"/>
                <w:szCs w:val="20"/>
                <w:color w:val="auto"/>
              </w:rPr>
            </w:pPr>
            <w:r>
              <w:rPr>
                <w:rFonts w:ascii="Arial" w:cs="Arial" w:eastAsia="Arial" w:hAnsi="Arial"/>
                <w:sz w:val="17"/>
                <w:szCs w:val="17"/>
                <w:color w:val="auto"/>
              </w:rPr>
              <w:t>225,000</w:t>
            </w:r>
          </w:p>
        </w:tc>
        <w:tc>
          <w:tcPr>
            <w:tcW w:w="160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135,000</w:t>
            </w:r>
          </w:p>
        </w:tc>
        <w:tc>
          <w:tcPr>
            <w:tcW w:w="2580" w:type="dxa"/>
            <w:vAlign w:val="bottom"/>
            <w:shd w:val="clear" w:color="auto" w:fill="EEEEEE"/>
          </w:tcPr>
          <w:p>
            <w:pPr>
              <w:jc w:val="right"/>
              <w:ind w:right="940"/>
              <w:spacing w:after="0"/>
              <w:rPr>
                <w:sz w:val="20"/>
                <w:szCs w:val="20"/>
                <w:color w:val="auto"/>
              </w:rPr>
            </w:pPr>
            <w:r>
              <w:rPr>
                <w:rFonts w:ascii="Arial" w:cs="Arial" w:eastAsia="Arial" w:hAnsi="Arial"/>
                <w:sz w:val="17"/>
                <w:szCs w:val="17"/>
                <w:color w:val="auto"/>
              </w:rPr>
              <w:t>6,000</w:t>
            </w:r>
          </w:p>
        </w:tc>
        <w:tc>
          <w:tcPr>
            <w:tcW w:w="1560" w:type="dxa"/>
            <w:vAlign w:val="bottom"/>
            <w:shd w:val="clear" w:color="auto" w:fill="EEEEEE"/>
          </w:tcPr>
          <w:p>
            <w:pPr>
              <w:jc w:val="right"/>
              <w:ind w:right="325"/>
              <w:spacing w:after="0"/>
              <w:rPr>
                <w:sz w:val="20"/>
                <w:szCs w:val="20"/>
                <w:color w:val="auto"/>
              </w:rPr>
            </w:pPr>
            <w:r>
              <w:rPr>
                <w:rFonts w:ascii="Arial" w:cs="Arial" w:eastAsia="Arial" w:hAnsi="Arial"/>
                <w:sz w:val="17"/>
                <w:szCs w:val="17"/>
                <w:color w:val="auto"/>
              </w:rPr>
              <w:t>250,000</w:t>
            </w:r>
          </w:p>
        </w:tc>
        <w:tc>
          <w:tcPr>
            <w:tcW w:w="1580" w:type="dxa"/>
            <w:vAlign w:val="bottom"/>
            <w:shd w:val="clear" w:color="auto" w:fill="EEEEEE"/>
          </w:tcPr>
          <w:p>
            <w:pPr>
              <w:jc w:val="right"/>
              <w:ind w:right="140"/>
              <w:spacing w:after="0"/>
              <w:rPr>
                <w:sz w:val="20"/>
                <w:szCs w:val="20"/>
                <w:color w:val="auto"/>
              </w:rPr>
            </w:pPr>
            <w:r>
              <w:rPr>
                <w:rFonts w:ascii="Arial" w:cs="Arial" w:eastAsia="Arial" w:hAnsi="Arial"/>
                <w:sz w:val="17"/>
                <w:szCs w:val="17"/>
                <w:color w:val="auto"/>
              </w:rPr>
              <w:t>8,817(7)</w:t>
            </w:r>
          </w:p>
        </w:tc>
        <w:tc>
          <w:tcPr>
            <w:tcW w:w="0" w:type="dxa"/>
            <w:vAlign w:val="bottom"/>
          </w:tcPr>
          <w:p>
            <w:pPr>
              <w:spacing w:after="0"/>
              <w:rPr>
                <w:sz w:val="1"/>
                <w:szCs w:val="1"/>
                <w:color w:val="auto"/>
              </w:rPr>
            </w:pPr>
          </w:p>
        </w:tc>
      </w:tr>
      <w:tr>
        <w:trPr>
          <w:trHeight w:val="220"/>
        </w:trPr>
        <w:tc>
          <w:tcPr>
            <w:tcW w:w="2660" w:type="dxa"/>
            <w:vAlign w:val="bottom"/>
            <w:shd w:val="clear" w:color="auto" w:fill="EEEEEE"/>
          </w:tcPr>
          <w:p>
            <w:pPr>
              <w:ind w:left="280"/>
              <w:spacing w:after="0"/>
              <w:rPr>
                <w:sz w:val="20"/>
                <w:szCs w:val="20"/>
                <w:color w:val="auto"/>
              </w:rPr>
            </w:pPr>
            <w:r>
              <w:rPr>
                <w:rFonts w:ascii="Arial" w:cs="Arial" w:eastAsia="Arial" w:hAnsi="Arial"/>
                <w:sz w:val="17"/>
                <w:szCs w:val="17"/>
                <w:color w:val="auto"/>
              </w:rPr>
              <w:t>Vice President of Sales</w:t>
            </w:r>
          </w:p>
        </w:tc>
        <w:tc>
          <w:tcPr>
            <w:tcW w:w="1440" w:type="dxa"/>
            <w:vAlign w:val="bottom"/>
            <w:shd w:val="clear" w:color="auto" w:fill="EEEEEE"/>
          </w:tcPr>
          <w:p>
            <w:pPr>
              <w:spacing w:after="0"/>
              <w:rPr>
                <w:sz w:val="19"/>
                <w:szCs w:val="19"/>
                <w:color w:val="auto"/>
              </w:rPr>
            </w:pPr>
          </w:p>
        </w:tc>
        <w:tc>
          <w:tcPr>
            <w:tcW w:w="1600" w:type="dxa"/>
            <w:vAlign w:val="bottom"/>
            <w:shd w:val="clear" w:color="auto" w:fill="EEEEEE"/>
          </w:tcPr>
          <w:p>
            <w:pPr>
              <w:spacing w:after="0"/>
              <w:rPr>
                <w:sz w:val="19"/>
                <w:szCs w:val="19"/>
                <w:color w:val="auto"/>
              </w:rPr>
            </w:pPr>
          </w:p>
        </w:tc>
        <w:tc>
          <w:tcPr>
            <w:tcW w:w="2580" w:type="dxa"/>
            <w:vAlign w:val="bottom"/>
            <w:shd w:val="clear" w:color="auto" w:fill="EEEEEE"/>
          </w:tcPr>
          <w:p>
            <w:pPr>
              <w:spacing w:after="0"/>
              <w:rPr>
                <w:sz w:val="19"/>
                <w:szCs w:val="19"/>
                <w:color w:val="auto"/>
              </w:rPr>
            </w:pPr>
          </w:p>
        </w:tc>
        <w:tc>
          <w:tcPr>
            <w:tcW w:w="1560" w:type="dxa"/>
            <w:vAlign w:val="bottom"/>
            <w:shd w:val="clear" w:color="auto" w:fill="EEEEEE"/>
          </w:tcPr>
          <w:p>
            <w:pPr>
              <w:spacing w:after="0"/>
              <w:rPr>
                <w:sz w:val="19"/>
                <w:szCs w:val="19"/>
                <w:color w:val="auto"/>
              </w:rPr>
            </w:pPr>
          </w:p>
        </w:tc>
        <w:tc>
          <w:tcPr>
            <w:tcW w:w="1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6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a reimbursement for tax preparation services of $5,000 for Mr. Sywolski.</w:t>
      </w:r>
    </w:p>
    <w:p>
      <w:pPr>
        <w:spacing w:after="0" w:line="227" w:lineRule="exact"/>
        <w:rPr>
          <w:rFonts w:ascii="Arial" w:cs="Arial" w:eastAsia="Arial" w:hAnsi="Arial"/>
          <w:sz w:val="17"/>
          <w:szCs w:val="17"/>
          <w:color w:val="auto"/>
        </w:rPr>
      </w:pPr>
    </w:p>
    <w:p>
      <w:pPr>
        <w:ind w:right="660" w:firstLine="6"/>
        <w:spacing w:after="0" w:line="286" w:lineRule="auto"/>
        <w:tabs>
          <w:tab w:leader="none" w:pos="244"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a perquisite for the dollar value of the use of a company automobile for Mr. Sywolski and an automobile allowance for each of Mr. Williams, Mr. Attanasi and Mr. Roshitsh.</w:t>
      </w:r>
    </w:p>
    <w:p>
      <w:pPr>
        <w:spacing w:after="0" w:line="169" w:lineRule="exact"/>
        <w:rPr>
          <w:rFonts w:ascii="Arial" w:cs="Arial" w:eastAsia="Arial" w:hAnsi="Arial"/>
          <w:sz w:val="17"/>
          <w:szCs w:val="17"/>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$4,644 for a matching contributions under our 401(k) plan and payment of $1,040 for life insurance premiums.</w:t>
      </w:r>
    </w:p>
    <w:p>
      <w:pPr>
        <w:spacing w:after="0" w:line="227" w:lineRule="exact"/>
        <w:rPr>
          <w:rFonts w:ascii="Arial" w:cs="Arial" w:eastAsia="Arial" w:hAnsi="Arial"/>
          <w:sz w:val="17"/>
          <w:szCs w:val="17"/>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$6,500 for a matching contribution under our 401(k) plan and payment of $665 for life insurance premiums.</w:t>
      </w:r>
    </w:p>
    <w:p>
      <w:pPr>
        <w:spacing w:after="0" w:line="227" w:lineRule="exact"/>
        <w:rPr>
          <w:rFonts w:ascii="Arial" w:cs="Arial" w:eastAsia="Arial" w:hAnsi="Arial"/>
          <w:sz w:val="17"/>
          <w:szCs w:val="17"/>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$6,500 for a matching contribution under our 401(k) plan, an equipment subsidy of $738 and payment of $635 for life insurance premiums.</w:t>
      </w:r>
    </w:p>
    <w:p>
      <w:pPr>
        <w:spacing w:after="0" w:line="227" w:lineRule="exact"/>
        <w:rPr>
          <w:rFonts w:ascii="Arial" w:cs="Arial" w:eastAsia="Arial" w:hAnsi="Arial"/>
          <w:sz w:val="17"/>
          <w:szCs w:val="17"/>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$6,500 for a matching contribution under our 401(k) plan and payment of $635 for life insurance premiums.</w:t>
      </w:r>
    </w:p>
    <w:p>
      <w:pPr>
        <w:spacing w:after="0" w:line="227" w:lineRule="exact"/>
        <w:rPr>
          <w:rFonts w:ascii="Arial" w:cs="Arial" w:eastAsia="Arial" w:hAnsi="Arial"/>
          <w:sz w:val="17"/>
          <w:szCs w:val="17"/>
          <w:color w:val="auto"/>
        </w:rPr>
      </w:pPr>
    </w:p>
    <w:p>
      <w:pPr>
        <w:ind w:left="240" w:hanging="234"/>
        <w:spacing w:after="0"/>
        <w:tabs>
          <w:tab w:leader="none" w:pos="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Includes $8,228 for a matching contribution under our 401(k) plan and payment of $589 for life insurance premiums.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grants in last fiscal year</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grants of stock options to any of our named executive officers during the fiscal year ended December 31, 2004.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color w:val="auto"/>
        </w:rPr>
        <w:t>Aggregated option exercises in last fiscal year and fiscal year-end option values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 named executive officers exercised any options during the fiscal year ended December 31, 2004.</w:t>
      </w:r>
    </w:p>
    <w:p>
      <w:pPr>
        <w:spacing w:after="0" w:line="228"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The following table sets forth information about the exercisable and unexercisable options held by the named executive officers as of December 31, 2004. The “Value of unexercised in-the-money options at December 31, 2004” is calculated based on the difference between $14.64, the closing price on December 31, 2004, and the exercise price for the shares underlying the option, multiplied by the number of shares issuable upon exercise of the option. All options were granted under our 1999, 2000 and 2001 Stock Option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324485</wp:posOffset>
            </wp:positionV>
            <wp:extent cx="7249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Number of shares underlying</w:t>
            </w:r>
          </w:p>
        </w:tc>
        <w:tc>
          <w:tcPr>
            <w:tcW w:w="260" w:type="dxa"/>
            <w:vAlign w:val="bottom"/>
          </w:tcPr>
          <w:p>
            <w:pPr>
              <w:spacing w:after="0"/>
              <w:rPr>
                <w:sz w:val="13"/>
                <w:szCs w:val="13"/>
                <w:color w:val="auto"/>
              </w:rPr>
            </w:pPr>
          </w:p>
        </w:tc>
        <w:tc>
          <w:tcPr>
            <w:tcW w:w="2600" w:type="dxa"/>
            <w:vAlign w:val="bottom"/>
          </w:tcPr>
          <w:p>
            <w:pPr>
              <w:jc w:val="center"/>
              <w:ind w:left="1214"/>
              <w:spacing w:after="0"/>
              <w:rPr>
                <w:sz w:val="20"/>
                <w:szCs w:val="20"/>
                <w:color w:val="auto"/>
              </w:rPr>
            </w:pPr>
            <w:r>
              <w:rPr>
                <w:rFonts w:ascii="Arial" w:cs="Arial" w:eastAsia="Arial" w:hAnsi="Arial"/>
                <w:sz w:val="13"/>
                <w:szCs w:val="13"/>
                <w:b w:val="1"/>
                <w:bCs w:val="1"/>
                <w:color w:val="auto"/>
                <w:w w:val="89"/>
              </w:rPr>
              <w:t>Value of unexercised</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720" w:type="dxa"/>
            <w:vAlign w:val="bottom"/>
          </w:tcPr>
          <w:p>
            <w:pPr>
              <w:jc w:val="center"/>
              <w:ind w:right="1241"/>
              <w:spacing w:after="0" w:line="146" w:lineRule="exact"/>
              <w:rPr>
                <w:sz w:val="20"/>
                <w:szCs w:val="20"/>
                <w:color w:val="auto"/>
              </w:rPr>
            </w:pPr>
            <w:r>
              <w:rPr>
                <w:rFonts w:ascii="Arial" w:cs="Arial" w:eastAsia="Arial" w:hAnsi="Arial"/>
                <w:sz w:val="13"/>
                <w:szCs w:val="13"/>
                <w:b w:val="1"/>
                <w:bCs w:val="1"/>
                <w:color w:val="auto"/>
                <w:w w:val="88"/>
              </w:rPr>
              <w:t>unexercised options</w:t>
            </w:r>
          </w:p>
        </w:tc>
        <w:tc>
          <w:tcPr>
            <w:tcW w:w="260" w:type="dxa"/>
            <w:vAlign w:val="bottom"/>
          </w:tcPr>
          <w:p>
            <w:pPr>
              <w:spacing w:after="0"/>
              <w:rPr>
                <w:sz w:val="12"/>
                <w:szCs w:val="12"/>
                <w:color w:val="auto"/>
              </w:rPr>
            </w:pPr>
          </w:p>
        </w:tc>
        <w:tc>
          <w:tcPr>
            <w:tcW w:w="2600" w:type="dxa"/>
            <w:vAlign w:val="bottom"/>
          </w:tcPr>
          <w:p>
            <w:pPr>
              <w:jc w:val="center"/>
              <w:ind w:left="1214"/>
              <w:spacing w:after="0" w:line="146" w:lineRule="exact"/>
              <w:rPr>
                <w:sz w:val="20"/>
                <w:szCs w:val="20"/>
                <w:color w:val="auto"/>
              </w:rPr>
            </w:pPr>
            <w:r>
              <w:rPr>
                <w:rFonts w:ascii="Arial" w:cs="Arial" w:eastAsia="Arial" w:hAnsi="Arial"/>
                <w:sz w:val="13"/>
                <w:szCs w:val="13"/>
                <w:b w:val="1"/>
                <w:bCs w:val="1"/>
                <w:color w:val="auto"/>
                <w:w w:val="90"/>
              </w:rPr>
              <w:t>in-the-money options</w:t>
            </w: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20" w:type="dxa"/>
            <w:vAlign w:val="bottom"/>
          </w:tcPr>
          <w:p>
            <w:pPr>
              <w:jc w:val="center"/>
              <w:ind w:right="1241"/>
              <w:spacing w:after="0"/>
              <w:rPr>
                <w:sz w:val="20"/>
                <w:szCs w:val="20"/>
                <w:color w:val="auto"/>
              </w:rPr>
            </w:pPr>
            <w:r>
              <w:rPr>
                <w:rFonts w:ascii="Arial" w:cs="Arial" w:eastAsia="Arial" w:hAnsi="Arial"/>
                <w:sz w:val="13"/>
                <w:szCs w:val="13"/>
                <w:b w:val="1"/>
                <w:bCs w:val="1"/>
                <w:color w:val="auto"/>
                <w:w w:val="92"/>
              </w:rPr>
              <w:t>at December 31, 2004 (#)</w:t>
            </w:r>
          </w:p>
        </w:tc>
        <w:tc>
          <w:tcPr>
            <w:tcW w:w="260" w:type="dxa"/>
            <w:vAlign w:val="bottom"/>
          </w:tcPr>
          <w:p>
            <w:pPr>
              <w:spacing w:after="0"/>
              <w:rPr>
                <w:sz w:val="14"/>
                <w:szCs w:val="14"/>
                <w:color w:val="auto"/>
              </w:rPr>
            </w:pPr>
          </w:p>
        </w:tc>
        <w:tc>
          <w:tcPr>
            <w:tcW w:w="2600" w:type="dxa"/>
            <w:vAlign w:val="bottom"/>
          </w:tcPr>
          <w:p>
            <w:pPr>
              <w:jc w:val="center"/>
              <w:ind w:left="1234"/>
              <w:spacing w:after="0"/>
              <w:rPr>
                <w:sz w:val="20"/>
                <w:szCs w:val="20"/>
                <w:color w:val="auto"/>
              </w:rPr>
            </w:pPr>
            <w:r>
              <w:rPr>
                <w:rFonts w:ascii="Arial" w:cs="Arial" w:eastAsia="Arial" w:hAnsi="Arial"/>
                <w:sz w:val="13"/>
                <w:szCs w:val="13"/>
                <w:b w:val="1"/>
                <w:bCs w:val="1"/>
                <w:color w:val="auto"/>
                <w:w w:val="92"/>
              </w:rPr>
              <w:t>at December 31, 2004</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20" w:type="dxa"/>
            <w:vAlign w:val="bottom"/>
          </w:tcPr>
          <w:p>
            <w:pPr>
              <w:ind w:left="1300"/>
              <w:spacing w:after="0"/>
              <w:rPr>
                <w:sz w:val="20"/>
                <w:szCs w:val="20"/>
                <w:color w:val="auto"/>
              </w:rPr>
            </w:pPr>
            <w:r>
              <w:rPr>
                <w:rFonts w:ascii="Arial" w:cs="Arial" w:eastAsia="Arial" w:hAnsi="Arial"/>
                <w:sz w:val="13"/>
                <w:szCs w:val="13"/>
                <w:b w:val="1"/>
                <w:bCs w:val="1"/>
                <w:color w:val="auto"/>
              </w:rPr>
              <w:t>Name</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Exercisable</w:t>
            </w:r>
          </w:p>
        </w:tc>
        <w:tc>
          <w:tcPr>
            <w:tcW w:w="2720" w:type="dxa"/>
            <w:vAlign w:val="bottom"/>
          </w:tcPr>
          <w:p>
            <w:pPr>
              <w:jc w:val="right"/>
              <w:ind w:right="501"/>
              <w:spacing w:after="0"/>
              <w:rPr>
                <w:sz w:val="20"/>
                <w:szCs w:val="20"/>
                <w:color w:val="auto"/>
              </w:rPr>
            </w:pPr>
            <w:r>
              <w:rPr>
                <w:rFonts w:ascii="Arial" w:cs="Arial" w:eastAsia="Arial" w:hAnsi="Arial"/>
                <w:sz w:val="13"/>
                <w:szCs w:val="13"/>
                <w:b w:val="1"/>
                <w:bCs w:val="1"/>
                <w:color w:val="auto"/>
              </w:rPr>
              <w:t>Unexercisable</w:t>
            </w:r>
          </w:p>
        </w:tc>
        <w:tc>
          <w:tcPr>
            <w:tcW w:w="260" w:type="dxa"/>
            <w:vAlign w:val="bottom"/>
          </w:tcPr>
          <w:p>
            <w:pPr>
              <w:spacing w:after="0"/>
              <w:rPr>
                <w:sz w:val="22"/>
                <w:szCs w:val="22"/>
                <w:color w:val="auto"/>
              </w:rPr>
            </w:pPr>
          </w:p>
        </w:tc>
        <w:tc>
          <w:tcPr>
            <w:tcW w:w="2600" w:type="dxa"/>
            <w:vAlign w:val="bottom"/>
          </w:tcPr>
          <w:p>
            <w:pPr>
              <w:jc w:val="right"/>
              <w:ind w:right="1234"/>
              <w:spacing w:after="0"/>
              <w:rPr>
                <w:sz w:val="20"/>
                <w:szCs w:val="20"/>
                <w:color w:val="auto"/>
              </w:rPr>
            </w:pPr>
            <w:r>
              <w:rPr>
                <w:rFonts w:ascii="Arial" w:cs="Arial" w:eastAsia="Arial" w:hAnsi="Arial"/>
                <w:sz w:val="13"/>
                <w:szCs w:val="13"/>
                <w:b w:val="1"/>
                <w:bCs w:val="1"/>
                <w:color w:val="auto"/>
              </w:rPr>
              <w:t>Exercisable</w:t>
            </w:r>
          </w:p>
        </w:tc>
        <w:tc>
          <w:tcPr>
            <w:tcW w:w="1280" w:type="dxa"/>
            <w:vAlign w:val="bottom"/>
            <w:gridSpan w:val="2"/>
          </w:tcPr>
          <w:p>
            <w:pPr>
              <w:ind w:left="40"/>
              <w:spacing w:after="0"/>
              <w:rPr>
                <w:sz w:val="20"/>
                <w:szCs w:val="20"/>
                <w:color w:val="auto"/>
              </w:rPr>
            </w:pPr>
            <w:r>
              <w:rPr>
                <w:rFonts w:ascii="Arial" w:cs="Arial" w:eastAsia="Arial" w:hAnsi="Arial"/>
                <w:sz w:val="13"/>
                <w:szCs w:val="13"/>
                <w:b w:val="1"/>
                <w:bCs w:val="1"/>
                <w:color w:val="auto"/>
              </w:rPr>
              <w:t>Unexercisable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2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7"/>
                <w:szCs w:val="17"/>
                <w:color w:val="auto"/>
              </w:rPr>
              <w:t>Robert J. Sywolski</w:t>
            </w:r>
          </w:p>
        </w:tc>
        <w:tc>
          <w:tcPr>
            <w:tcW w:w="13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3,524,244</w:t>
            </w:r>
          </w:p>
        </w:tc>
        <w:tc>
          <w:tcPr>
            <w:tcW w:w="2720" w:type="dxa"/>
            <w:vAlign w:val="bottom"/>
            <w:shd w:val="clear" w:color="auto" w:fill="EEEEEE"/>
          </w:tcPr>
          <w:p>
            <w:pPr>
              <w:jc w:val="right"/>
              <w:ind w:right="601"/>
              <w:spacing w:after="0"/>
              <w:rPr>
                <w:sz w:val="20"/>
                <w:szCs w:val="20"/>
                <w:color w:val="auto"/>
              </w:rPr>
            </w:pPr>
            <w:r>
              <w:rPr>
                <w:rFonts w:ascii="Arial" w:cs="Arial" w:eastAsia="Arial" w:hAnsi="Arial"/>
                <w:sz w:val="17"/>
                <w:szCs w:val="17"/>
                <w:color w:val="auto"/>
              </w:rPr>
              <w:t>—</w:t>
            </w:r>
          </w:p>
        </w:tc>
        <w:tc>
          <w:tcPr>
            <w:tcW w:w="2860" w:type="dxa"/>
            <w:vAlign w:val="bottom"/>
            <w:gridSpan w:val="2"/>
            <w:shd w:val="clear" w:color="auto" w:fill="EEEEEE"/>
          </w:tcPr>
          <w:p>
            <w:pPr>
              <w:jc w:val="right"/>
              <w:ind w:right="1134"/>
              <w:spacing w:after="0"/>
              <w:rPr>
                <w:sz w:val="20"/>
                <w:szCs w:val="20"/>
                <w:color w:val="auto"/>
              </w:rPr>
            </w:pPr>
            <w:r>
              <w:rPr>
                <w:rFonts w:ascii="Arial" w:cs="Arial" w:eastAsia="Arial" w:hAnsi="Arial"/>
                <w:sz w:val="17"/>
                <w:szCs w:val="17"/>
                <w:color w:val="auto"/>
              </w:rPr>
              <w:t>$34,678,561</w:t>
            </w:r>
          </w:p>
        </w:tc>
        <w:tc>
          <w:tcPr>
            <w:tcW w:w="140" w:type="dxa"/>
            <w:vAlign w:val="bottom"/>
            <w:shd w:val="clear" w:color="auto" w:fill="EEEEEE"/>
          </w:tcPr>
          <w:p>
            <w:pPr>
              <w:ind w:left="6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Timothy V. Williams</w:t>
            </w:r>
          </w:p>
        </w:tc>
        <w:tc>
          <w:tcPr>
            <w:tcW w:w="1320" w:type="dxa"/>
            <w:vAlign w:val="bottom"/>
          </w:tcPr>
          <w:p>
            <w:pPr>
              <w:jc w:val="right"/>
              <w:spacing w:after="0"/>
              <w:rPr>
                <w:sz w:val="20"/>
                <w:szCs w:val="20"/>
                <w:color w:val="auto"/>
              </w:rPr>
            </w:pPr>
            <w:r>
              <w:rPr>
                <w:rFonts w:ascii="Arial" w:cs="Arial" w:eastAsia="Arial" w:hAnsi="Arial"/>
                <w:sz w:val="17"/>
                <w:szCs w:val="17"/>
                <w:color w:val="auto"/>
              </w:rPr>
              <w:t>625,000</w:t>
            </w:r>
          </w:p>
        </w:tc>
        <w:tc>
          <w:tcPr>
            <w:tcW w:w="2720" w:type="dxa"/>
            <w:vAlign w:val="bottom"/>
          </w:tcPr>
          <w:p>
            <w:pPr>
              <w:jc w:val="right"/>
              <w:ind w:right="601"/>
              <w:spacing w:after="0"/>
              <w:rPr>
                <w:sz w:val="20"/>
                <w:szCs w:val="20"/>
                <w:color w:val="auto"/>
              </w:rPr>
            </w:pPr>
            <w:r>
              <w:rPr>
                <w:rFonts w:ascii="Arial" w:cs="Arial" w:eastAsia="Arial" w:hAnsi="Arial"/>
                <w:sz w:val="17"/>
                <w:szCs w:val="17"/>
                <w:color w:val="auto"/>
              </w:rPr>
              <w:t>—</w:t>
            </w:r>
          </w:p>
        </w:tc>
        <w:tc>
          <w:tcPr>
            <w:tcW w:w="2860" w:type="dxa"/>
            <w:vAlign w:val="bottom"/>
            <w:gridSpan w:val="2"/>
          </w:tcPr>
          <w:p>
            <w:pPr>
              <w:jc w:val="right"/>
              <w:ind w:right="1134"/>
              <w:spacing w:after="0"/>
              <w:rPr>
                <w:sz w:val="20"/>
                <w:szCs w:val="20"/>
                <w:color w:val="auto"/>
              </w:rPr>
            </w:pPr>
            <w:r>
              <w:rPr>
                <w:rFonts w:ascii="Arial" w:cs="Arial" w:eastAsia="Arial" w:hAnsi="Arial"/>
                <w:sz w:val="17"/>
                <w:szCs w:val="17"/>
                <w:color w:val="auto"/>
              </w:rPr>
              <w:t>6,150,000</w:t>
            </w:r>
          </w:p>
        </w:tc>
        <w:tc>
          <w:tcPr>
            <w:tcW w:w="140" w:type="dxa"/>
            <w:vAlign w:val="bottom"/>
          </w:tcPr>
          <w:p>
            <w:pPr>
              <w:spacing w:after="0"/>
              <w:rPr>
                <w:sz w:val="18"/>
                <w:szCs w:val="18"/>
                <w:color w:val="auto"/>
              </w:rPr>
            </w:pPr>
          </w:p>
        </w:tc>
        <w:tc>
          <w:tcPr>
            <w:tcW w:w="1140" w:type="dxa"/>
            <w:vAlign w:val="bottom"/>
          </w:tcPr>
          <w:p>
            <w:pPr>
              <w:jc w:val="right"/>
              <w:ind w:right="3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7"/>
                <w:szCs w:val="17"/>
                <w:color w:val="auto"/>
              </w:rPr>
              <w:t>Charles T. Cumbaa</w:t>
            </w:r>
          </w:p>
        </w:tc>
        <w:tc>
          <w:tcPr>
            <w:tcW w:w="13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250,000</w:t>
            </w:r>
          </w:p>
        </w:tc>
        <w:tc>
          <w:tcPr>
            <w:tcW w:w="2720" w:type="dxa"/>
            <w:vAlign w:val="bottom"/>
            <w:shd w:val="clear" w:color="auto" w:fill="EEEEEE"/>
          </w:tcPr>
          <w:p>
            <w:pPr>
              <w:jc w:val="right"/>
              <w:ind w:right="601"/>
              <w:spacing w:after="0"/>
              <w:rPr>
                <w:sz w:val="20"/>
                <w:szCs w:val="20"/>
                <w:color w:val="auto"/>
              </w:rPr>
            </w:pPr>
            <w:r>
              <w:rPr>
                <w:rFonts w:ascii="Arial" w:cs="Arial" w:eastAsia="Arial" w:hAnsi="Arial"/>
                <w:sz w:val="17"/>
                <w:szCs w:val="17"/>
                <w:color w:val="auto"/>
              </w:rPr>
              <w:t>125,000</w:t>
            </w:r>
          </w:p>
        </w:tc>
        <w:tc>
          <w:tcPr>
            <w:tcW w:w="2860" w:type="dxa"/>
            <w:vAlign w:val="bottom"/>
            <w:gridSpan w:val="2"/>
            <w:shd w:val="clear" w:color="auto" w:fill="EEEEEE"/>
          </w:tcPr>
          <w:p>
            <w:pPr>
              <w:jc w:val="right"/>
              <w:ind w:right="1134"/>
              <w:spacing w:after="0"/>
              <w:rPr>
                <w:sz w:val="20"/>
                <w:szCs w:val="20"/>
                <w:color w:val="auto"/>
              </w:rPr>
            </w:pPr>
            <w:r>
              <w:rPr>
                <w:rFonts w:ascii="Arial" w:cs="Arial" w:eastAsia="Arial" w:hAnsi="Arial"/>
                <w:sz w:val="17"/>
                <w:szCs w:val="17"/>
                <w:color w:val="auto"/>
              </w:rPr>
              <w:t>2,420,000</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4"/>
              <w:spacing w:after="0"/>
              <w:rPr>
                <w:sz w:val="20"/>
                <w:szCs w:val="20"/>
                <w:color w:val="auto"/>
              </w:rPr>
            </w:pPr>
            <w:r>
              <w:rPr>
                <w:rFonts w:ascii="Arial" w:cs="Arial" w:eastAsia="Arial" w:hAnsi="Arial"/>
                <w:sz w:val="17"/>
                <w:szCs w:val="17"/>
                <w:color w:val="auto"/>
                <w:w w:val="89"/>
              </w:rPr>
              <w:t>1,190,000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7"/>
                <w:szCs w:val="17"/>
                <w:color w:val="auto"/>
              </w:rPr>
              <w:t>Louis J. Attanasi</w:t>
            </w:r>
          </w:p>
        </w:tc>
        <w:tc>
          <w:tcPr>
            <w:tcW w:w="1320" w:type="dxa"/>
            <w:vAlign w:val="bottom"/>
          </w:tcPr>
          <w:p>
            <w:pPr>
              <w:jc w:val="right"/>
              <w:spacing w:after="0"/>
              <w:rPr>
                <w:sz w:val="20"/>
                <w:szCs w:val="20"/>
                <w:color w:val="auto"/>
              </w:rPr>
            </w:pPr>
            <w:r>
              <w:rPr>
                <w:rFonts w:ascii="Arial" w:cs="Arial" w:eastAsia="Arial" w:hAnsi="Arial"/>
                <w:sz w:val="17"/>
                <w:szCs w:val="17"/>
                <w:color w:val="auto"/>
              </w:rPr>
              <w:t>232,693</w:t>
            </w:r>
          </w:p>
        </w:tc>
        <w:tc>
          <w:tcPr>
            <w:tcW w:w="2720" w:type="dxa"/>
            <w:vAlign w:val="bottom"/>
          </w:tcPr>
          <w:p>
            <w:pPr>
              <w:jc w:val="right"/>
              <w:ind w:right="601"/>
              <w:spacing w:after="0"/>
              <w:rPr>
                <w:sz w:val="20"/>
                <w:szCs w:val="20"/>
                <w:color w:val="auto"/>
              </w:rPr>
            </w:pPr>
            <w:r>
              <w:rPr>
                <w:rFonts w:ascii="Arial" w:cs="Arial" w:eastAsia="Arial" w:hAnsi="Arial"/>
                <w:sz w:val="17"/>
                <w:szCs w:val="17"/>
                <w:color w:val="auto"/>
              </w:rPr>
              <w:t>17,307</w:t>
            </w:r>
          </w:p>
        </w:tc>
        <w:tc>
          <w:tcPr>
            <w:tcW w:w="2860" w:type="dxa"/>
            <w:vAlign w:val="bottom"/>
            <w:gridSpan w:val="2"/>
          </w:tcPr>
          <w:p>
            <w:pPr>
              <w:jc w:val="right"/>
              <w:ind w:right="1134"/>
              <w:spacing w:after="0"/>
              <w:rPr>
                <w:sz w:val="20"/>
                <w:szCs w:val="20"/>
                <w:color w:val="auto"/>
              </w:rPr>
            </w:pPr>
            <w:r>
              <w:rPr>
                <w:rFonts w:ascii="Arial" w:cs="Arial" w:eastAsia="Arial" w:hAnsi="Arial"/>
                <w:sz w:val="17"/>
                <w:szCs w:val="17"/>
                <w:color w:val="auto"/>
              </w:rPr>
              <w:t>2,278,623</w:t>
            </w:r>
          </w:p>
        </w:tc>
        <w:tc>
          <w:tcPr>
            <w:tcW w:w="140" w:type="dxa"/>
            <w:vAlign w:val="bottom"/>
          </w:tcPr>
          <w:p>
            <w:pPr>
              <w:spacing w:after="0"/>
              <w:rPr>
                <w:sz w:val="18"/>
                <w:szCs w:val="18"/>
                <w:color w:val="auto"/>
              </w:rPr>
            </w:pPr>
          </w:p>
        </w:tc>
        <w:tc>
          <w:tcPr>
            <w:tcW w:w="1140" w:type="dxa"/>
            <w:vAlign w:val="bottom"/>
          </w:tcPr>
          <w:p>
            <w:pPr>
              <w:jc w:val="right"/>
              <w:ind w:right="354"/>
              <w:spacing w:after="0"/>
              <w:rPr>
                <w:sz w:val="20"/>
                <w:szCs w:val="20"/>
                <w:color w:val="auto"/>
              </w:rPr>
            </w:pPr>
            <w:r>
              <w:rPr>
                <w:rFonts w:ascii="Arial" w:cs="Arial" w:eastAsia="Arial" w:hAnsi="Arial"/>
                <w:sz w:val="17"/>
                <w:szCs w:val="17"/>
                <w:color w:val="auto"/>
              </w:rPr>
              <w:t>159,224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20" w:type="dxa"/>
            <w:vAlign w:val="bottom"/>
            <w:shd w:val="clear" w:color="auto" w:fill="EEEEEE"/>
          </w:tcPr>
          <w:p>
            <w:pPr>
              <w:spacing w:after="0"/>
              <w:rPr>
                <w:sz w:val="20"/>
                <w:szCs w:val="20"/>
                <w:color w:val="auto"/>
              </w:rPr>
            </w:pPr>
            <w:r>
              <w:rPr>
                <w:rFonts w:ascii="Arial" w:cs="Arial" w:eastAsia="Arial" w:hAnsi="Arial"/>
                <w:sz w:val="17"/>
                <w:szCs w:val="17"/>
                <w:color w:val="auto"/>
              </w:rPr>
              <w:t>Edward M. Roshitsh</w:t>
            </w:r>
          </w:p>
        </w:tc>
        <w:tc>
          <w:tcPr>
            <w:tcW w:w="13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250,000</w:t>
            </w:r>
          </w:p>
        </w:tc>
        <w:tc>
          <w:tcPr>
            <w:tcW w:w="2720" w:type="dxa"/>
            <w:vAlign w:val="bottom"/>
            <w:shd w:val="clear" w:color="auto" w:fill="EEEEEE"/>
          </w:tcPr>
          <w:p>
            <w:pPr>
              <w:jc w:val="right"/>
              <w:ind w:right="601"/>
              <w:spacing w:after="0"/>
              <w:rPr>
                <w:sz w:val="20"/>
                <w:szCs w:val="20"/>
                <w:color w:val="auto"/>
              </w:rPr>
            </w:pPr>
            <w:r>
              <w:rPr>
                <w:rFonts w:ascii="Arial" w:cs="Arial" w:eastAsia="Arial" w:hAnsi="Arial"/>
                <w:sz w:val="17"/>
                <w:szCs w:val="17"/>
                <w:color w:val="auto"/>
              </w:rPr>
              <w:t>—</w:t>
            </w:r>
          </w:p>
        </w:tc>
        <w:tc>
          <w:tcPr>
            <w:tcW w:w="2860" w:type="dxa"/>
            <w:vAlign w:val="bottom"/>
            <w:gridSpan w:val="2"/>
            <w:shd w:val="clear" w:color="auto" w:fill="EEEEEE"/>
          </w:tcPr>
          <w:p>
            <w:pPr>
              <w:jc w:val="right"/>
              <w:ind w:right="1134"/>
              <w:spacing w:after="0"/>
              <w:rPr>
                <w:sz w:val="20"/>
                <w:szCs w:val="20"/>
                <w:color w:val="auto"/>
              </w:rPr>
            </w:pPr>
            <w:r>
              <w:rPr>
                <w:rFonts w:ascii="Arial" w:cs="Arial" w:eastAsia="Arial" w:hAnsi="Arial"/>
                <w:sz w:val="17"/>
                <w:szCs w:val="17"/>
                <w:color w:val="auto"/>
              </w:rPr>
              <w:t>2,460,000</w:t>
            </w:r>
          </w:p>
        </w:tc>
        <w:tc>
          <w:tcPr>
            <w:tcW w:w="14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and severance agreements</w:t>
      </w:r>
    </w:p>
    <w:p>
      <w:pPr>
        <w:spacing w:after="0" w:line="234" w:lineRule="exact"/>
        <w:rPr>
          <w:sz w:val="20"/>
          <w:szCs w:val="20"/>
          <w:color w:val="auto"/>
        </w:rPr>
      </w:pPr>
    </w:p>
    <w:p>
      <w:pPr>
        <w:ind w:right="560"/>
        <w:spacing w:after="0" w:line="298" w:lineRule="auto"/>
        <w:rPr>
          <w:sz w:val="20"/>
          <w:szCs w:val="20"/>
          <w:color w:val="auto"/>
        </w:rPr>
      </w:pPr>
      <w:r>
        <w:rPr>
          <w:rFonts w:ascii="Arial" w:cs="Arial" w:eastAsia="Arial" w:hAnsi="Arial"/>
          <w:sz w:val="15"/>
          <w:szCs w:val="15"/>
          <w:color w:val="auto"/>
        </w:rPr>
        <w:t>In April 2004, we entered into a two year employment agreement with Robert J. Sywolski to serve as our President and Chief Executive Officer. Under the agreement, Mr. Sywolski is entitled to an annual base salary of $525,000 per year, subject to periodic review and adjustment by our compensation committee.</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Mr. Sywolski is also entitled to receive an annual bonus, 80% of which is based on attainment of revenue and Adjusted EBITDA goals and 20% of which is based on the subjective evaluation of Mr. Sywolski’s performance by the compensation committee. Mr. Sywolski’s bonus is targeted at 80% of his annual base salary, but can increase to approximately 150% of his annual base salary if we exceed our revenue and Adjusted EBITDA goals and Mr. Sywolski qualifies for the full amount of the subjective portion of his bonus. In addition, Mr. Sywolski’s bonus may be less than 80% of his base salary if we do not meet our revenue and Adjusted EBITDA goals or he does not qualify for the full amount of the subjective portion of this bonus; provided that Mr. Sywolski had a guaranteed minimum bonus of $100,000 for 2004. For purposes of this bonus calculation, Adjusted EBITDA means the sum of the following determined on a consolidated basis, without duplication, for us and our subsidiaries in accordance with generally accepted accounting principles: (a) net income plus (b) the sum of the following to the extent deducted in determining net income (i) income and franchise taxes, (ii) interest expense, (iii) bonus expense and (iv) amortization, depreciation and other non-cash charges (including non-cash stock compensation charges) less (c) interest income and any extraordinary gains.</w:t>
      </w:r>
    </w:p>
    <w:p>
      <w:pPr>
        <w:spacing w:after="0" w:line="179"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Subject to certain exceptions, Mr. Sywolski is entitled to a severance payment equal to his base salary for the remainder of the term of the agreement if we terminate his employment without cause, if he is constructively terminated or if he terminates his employment upon a change in control. Pursuant to our prior employment agreement with Mr. Sywolski dated March 2000, we also granted Mr. Sywolski an option to purchase 3,524,244 shares of our common stock. Among other things, this option requires us to pay Mr. Sywolski 10% of his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77" w:name="page78"/>
    <w:bookmarkEnd w:id="77"/>
    <w:p>
      <w:pPr>
        <w:ind w:right="120"/>
        <w:spacing w:after="0" w:line="286" w:lineRule="auto"/>
        <w:rPr>
          <w:sz w:val="20"/>
          <w:szCs w:val="20"/>
          <w:color w:val="auto"/>
        </w:rPr>
      </w:pPr>
      <w:r>
        <w:rPr>
          <w:rFonts w:ascii="Arial" w:cs="Arial" w:eastAsia="Arial" w:hAnsi="Arial"/>
          <w:sz w:val="17"/>
          <w:szCs w:val="17"/>
          <w:color w:val="auto"/>
        </w:rPr>
        <w:t>gain upon exercise, in order to help satisfy his tax obligations. Mr. Sywolski has agreed to certain confidentiality and non-competition provisions in his employment agreement.</w:t>
      </w:r>
    </w:p>
    <w:p>
      <w:pPr>
        <w:spacing w:after="0" w:line="169" w:lineRule="exact"/>
        <w:rPr>
          <w:sz w:val="20"/>
          <w:szCs w:val="20"/>
          <w:color w:val="auto"/>
        </w:rPr>
      </w:pPr>
    </w:p>
    <w:p>
      <w:pPr>
        <w:jc w:val="both"/>
        <w:ind w:right="80"/>
        <w:spacing w:after="0" w:line="297" w:lineRule="auto"/>
        <w:rPr>
          <w:sz w:val="20"/>
          <w:szCs w:val="20"/>
          <w:color w:val="auto"/>
        </w:rPr>
      </w:pPr>
      <w:r>
        <w:rPr>
          <w:rFonts w:ascii="Arial" w:cs="Arial" w:eastAsia="Arial" w:hAnsi="Arial"/>
          <w:sz w:val="15"/>
          <w:szCs w:val="15"/>
          <w:color w:val="auto"/>
        </w:rPr>
        <w:t>We have also entered into at-will employment agreements with Timothy V. Williams, Charles T. Cumbaa, Louis J. Attanasi and Edward M. Roshitsh to employ each officer in their current positions, which agreements are dated January 2, 2001, May 16, 2001, December 17, 2002 and September 1, 2000, respectively. The relevant agreement provides for a base salary in the amount of $275,000 for Mr. Williams, $255,000 for Mr. Cumbaa, $255,000 for Mr. Attanasi and $225,000 for</w:t>
      </w:r>
    </w:p>
    <w:p>
      <w:pPr>
        <w:spacing w:after="0" w:line="294" w:lineRule="auto"/>
        <w:rPr>
          <w:sz w:val="20"/>
          <w:szCs w:val="20"/>
          <w:color w:val="auto"/>
        </w:rPr>
      </w:pPr>
      <w:r>
        <w:rPr>
          <w:rFonts w:ascii="Arial" w:cs="Arial" w:eastAsia="Arial" w:hAnsi="Arial"/>
          <w:sz w:val="15"/>
          <w:szCs w:val="15"/>
          <w:color w:val="auto"/>
        </w:rPr>
        <w:t>Mr. Roshitsh, each of which are subject to increase at the discretion of the board of directors or the compensation committee. Messrs. Williams, Cumbaa and Attanasi are entitled to receive an annual bonus equal to a certain percentage of their base salary (40% for Mr. Williams and Mr. Attanasi, and 45% for Mr. Cumbaa) based upon Blackbaud’s attainment of revenue and Adjusted EBITDA (computed as discussed above for Mr. Sywolski) goals, provided that the bonus for each officer can be increased up to two times the target bonus if we exceed our revenue and Adjusted EBITDA goals. Mr. Roshitsh is entitled to receive an annual bonus equal to</w:t>
      </w:r>
    </w:p>
    <w:p>
      <w:pPr>
        <w:spacing w:after="0" w:line="1" w:lineRule="exact"/>
        <w:rPr>
          <w:sz w:val="20"/>
          <w:szCs w:val="20"/>
          <w:color w:val="auto"/>
        </w:rPr>
      </w:pPr>
    </w:p>
    <w:p>
      <w:pPr>
        <w:jc w:val="both"/>
        <w:ind w:right="120"/>
        <w:spacing w:after="0" w:line="321" w:lineRule="auto"/>
        <w:rPr>
          <w:sz w:val="20"/>
          <w:szCs w:val="20"/>
          <w:color w:val="auto"/>
        </w:rPr>
      </w:pPr>
      <w:r>
        <w:rPr>
          <w:rFonts w:ascii="Arial" w:cs="Arial" w:eastAsia="Arial" w:hAnsi="Arial"/>
          <w:sz w:val="15"/>
          <w:szCs w:val="15"/>
          <w:color w:val="auto"/>
        </w:rPr>
        <w:t>50% of his base salary based upon Blackbaud’s attainment of sales goals and Blackbaud Europe’s revenue goals, provided that his bonus can be increased up to two times the target bonus if these sales and revenue goals are exceeded. In addition, the bonus amount of each executive is subject to increase or decrease based on the subjective evaluation of each officer by the compensation committee, but in no event will the bonus exceed two times the target bonus for such executive officer.</w:t>
      </w:r>
    </w:p>
    <w:p>
      <w:pPr>
        <w:spacing w:after="0" w:line="149" w:lineRule="exact"/>
        <w:rPr>
          <w:sz w:val="20"/>
          <w:szCs w:val="20"/>
          <w:color w:val="auto"/>
        </w:rPr>
      </w:pPr>
    </w:p>
    <w:p>
      <w:pPr>
        <w:jc w:val="both"/>
        <w:ind w:right="180"/>
        <w:spacing w:after="0" w:line="273" w:lineRule="auto"/>
        <w:rPr>
          <w:sz w:val="20"/>
          <w:szCs w:val="20"/>
          <w:color w:val="auto"/>
        </w:rPr>
      </w:pPr>
      <w:r>
        <w:rPr>
          <w:rFonts w:ascii="Arial" w:cs="Arial" w:eastAsia="Arial" w:hAnsi="Arial"/>
          <w:sz w:val="17"/>
          <w:szCs w:val="17"/>
          <w:color w:val="auto"/>
        </w:rPr>
        <w:t>Each officer may participate in our executive bonus plan and all other employee benefit plans that we offer. Each agreement prohibits the officer from entering into employment with any direct competitor and from soliciting any employee of ours to leave us while the agreement is in effect and for two years after termination of the agreement. None of the agreements provide for any severance payments. The agreements have no set term.</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benefit and stock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355600</wp:posOffset>
            </wp:positionV>
            <wp:extent cx="7249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920" w:type="dxa"/>
            <w:vAlign w:val="bottom"/>
          </w:tcPr>
          <w:p>
            <w:pPr>
              <w:jc w:val="center"/>
              <w:ind w:left="446"/>
              <w:spacing w:after="0"/>
              <w:rPr>
                <w:sz w:val="20"/>
                <w:szCs w:val="20"/>
                <w:color w:val="auto"/>
              </w:rPr>
            </w:pPr>
            <w:r>
              <w:rPr>
                <w:rFonts w:ascii="Arial" w:cs="Arial" w:eastAsia="Arial" w:hAnsi="Arial"/>
                <w:sz w:val="13"/>
                <w:szCs w:val="13"/>
                <w:b w:val="1"/>
                <w:bCs w:val="1"/>
                <w:color w:val="auto"/>
              </w:rPr>
              <w:t>(a)</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2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87"/>
              </w:rPr>
              <w:t>(c)</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1"/>
              </w:rPr>
              <w:t>Number of securities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20" w:type="dxa"/>
            <w:vAlign w:val="bottom"/>
          </w:tcPr>
          <w:p>
            <w:pPr>
              <w:jc w:val="center"/>
              <w:ind w:left="426"/>
              <w:spacing w:after="0" w:line="146" w:lineRule="exact"/>
              <w:rPr>
                <w:sz w:val="20"/>
                <w:szCs w:val="20"/>
                <w:color w:val="auto"/>
              </w:rPr>
            </w:pPr>
            <w:r>
              <w:rPr>
                <w:rFonts w:ascii="Arial" w:cs="Arial" w:eastAsia="Arial" w:hAnsi="Arial"/>
                <w:sz w:val="13"/>
                <w:szCs w:val="13"/>
                <w:b w:val="1"/>
                <w:bCs w:val="1"/>
                <w:color w:val="auto"/>
                <w:w w:val="91"/>
              </w:rPr>
              <w:t>Number of 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remaining available for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20" w:type="dxa"/>
            <w:vAlign w:val="bottom"/>
          </w:tcPr>
          <w:p>
            <w:pPr>
              <w:jc w:val="center"/>
              <w:ind w:left="426"/>
              <w:spacing w:after="0" w:line="146" w:lineRule="exact"/>
              <w:rPr>
                <w:sz w:val="20"/>
                <w:szCs w:val="20"/>
                <w:color w:val="auto"/>
              </w:rPr>
            </w:pPr>
            <w:r>
              <w:rPr>
                <w:rFonts w:ascii="Arial" w:cs="Arial" w:eastAsia="Arial" w:hAnsi="Arial"/>
                <w:sz w:val="13"/>
                <w:szCs w:val="13"/>
                <w:b w:val="1"/>
                <w:bCs w:val="1"/>
                <w:color w:val="auto"/>
                <w:w w:val="88"/>
              </w:rPr>
              <w:t>to be issued upon</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Weighted-average</w:t>
            </w:r>
          </w:p>
        </w:tc>
        <w:tc>
          <w:tcPr>
            <w:tcW w:w="280" w:type="dxa"/>
            <w:vAlign w:val="bottom"/>
          </w:tcPr>
          <w:p>
            <w:pPr>
              <w:spacing w:after="0"/>
              <w:rPr>
                <w:sz w:val="12"/>
                <w:szCs w:val="12"/>
                <w:color w:val="auto"/>
              </w:rPr>
            </w:pPr>
          </w:p>
        </w:tc>
        <w:tc>
          <w:tcPr>
            <w:tcW w:w="2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issuance under equity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20" w:type="dxa"/>
            <w:vAlign w:val="bottom"/>
          </w:tcPr>
          <w:p>
            <w:pPr>
              <w:jc w:val="center"/>
              <w:ind w:left="426"/>
              <w:spacing w:after="0" w:line="146" w:lineRule="exact"/>
              <w:rPr>
                <w:sz w:val="20"/>
                <w:szCs w:val="20"/>
                <w:color w:val="auto"/>
              </w:rPr>
            </w:pPr>
            <w:r>
              <w:rPr>
                <w:rFonts w:ascii="Arial" w:cs="Arial" w:eastAsia="Arial" w:hAnsi="Arial"/>
                <w:sz w:val="13"/>
                <w:szCs w:val="13"/>
                <w:b w:val="1"/>
                <w:bCs w:val="1"/>
                <w:color w:val="auto"/>
                <w:w w:val="85"/>
              </w:rPr>
              <w:t>exercise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price of</w:t>
            </w:r>
          </w:p>
        </w:tc>
        <w:tc>
          <w:tcPr>
            <w:tcW w:w="280" w:type="dxa"/>
            <w:vAlign w:val="bottom"/>
          </w:tcPr>
          <w:p>
            <w:pPr>
              <w:spacing w:after="0"/>
              <w:rPr>
                <w:sz w:val="12"/>
                <w:szCs w:val="12"/>
                <w:color w:val="auto"/>
              </w:rPr>
            </w:pPr>
          </w:p>
        </w:tc>
        <w:tc>
          <w:tcPr>
            <w:tcW w:w="2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7"/>
              </w:rPr>
              <w:t>compensation plans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920" w:type="dxa"/>
            <w:vAlign w:val="bottom"/>
          </w:tcPr>
          <w:p>
            <w:pPr>
              <w:jc w:val="center"/>
              <w:ind w:left="426"/>
              <w:spacing w:after="0" w:line="146" w:lineRule="exact"/>
              <w:rPr>
                <w:sz w:val="20"/>
                <w:szCs w:val="20"/>
                <w:color w:val="auto"/>
              </w:rPr>
            </w:pPr>
            <w:r>
              <w:rPr>
                <w:rFonts w:ascii="Arial" w:cs="Arial" w:eastAsia="Arial" w:hAnsi="Arial"/>
                <w:sz w:val="13"/>
                <w:szCs w:val="13"/>
                <w:b w:val="1"/>
                <w:bCs w:val="1"/>
                <w:color w:val="auto"/>
                <w:w w:val="88"/>
              </w:rPr>
              <w:t>outstanding options,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0"/>
              </w:rPr>
              <w:t>outstanding options,</w:t>
            </w:r>
          </w:p>
        </w:tc>
        <w:tc>
          <w:tcPr>
            <w:tcW w:w="280" w:type="dxa"/>
            <w:vAlign w:val="bottom"/>
          </w:tcPr>
          <w:p>
            <w:pPr>
              <w:spacing w:after="0"/>
              <w:rPr>
                <w:sz w:val="12"/>
                <w:szCs w:val="12"/>
                <w:color w:val="auto"/>
              </w:rPr>
            </w:pPr>
          </w:p>
        </w:tc>
        <w:tc>
          <w:tcPr>
            <w:tcW w:w="266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(excluding securities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960" w:type="dxa"/>
            <w:vAlign w:val="bottom"/>
          </w:tcPr>
          <w:p>
            <w:pPr>
              <w:ind w:left="640"/>
              <w:spacing w:after="0"/>
              <w:rPr>
                <w:sz w:val="20"/>
                <w:szCs w:val="20"/>
                <w:color w:val="auto"/>
              </w:rPr>
            </w:pPr>
            <w:r>
              <w:rPr>
                <w:rFonts w:ascii="Arial" w:cs="Arial" w:eastAsia="Arial" w:hAnsi="Arial"/>
                <w:sz w:val="13"/>
                <w:szCs w:val="13"/>
                <w:b w:val="1"/>
                <w:bCs w:val="1"/>
                <w:color w:val="auto"/>
              </w:rPr>
              <w:t>Plan category</w:t>
            </w:r>
          </w:p>
        </w:tc>
        <w:tc>
          <w:tcPr>
            <w:tcW w:w="1920" w:type="dxa"/>
            <w:vAlign w:val="bottom"/>
          </w:tcPr>
          <w:p>
            <w:pPr>
              <w:jc w:val="center"/>
              <w:ind w:left="446"/>
              <w:spacing w:after="0"/>
              <w:rPr>
                <w:sz w:val="20"/>
                <w:szCs w:val="20"/>
                <w:color w:val="auto"/>
              </w:rPr>
            </w:pPr>
            <w:r>
              <w:rPr>
                <w:rFonts w:ascii="Arial" w:cs="Arial" w:eastAsia="Arial" w:hAnsi="Arial"/>
                <w:sz w:val="13"/>
                <w:szCs w:val="13"/>
                <w:b w:val="1"/>
                <w:bCs w:val="1"/>
                <w:color w:val="auto"/>
                <w:w w:val="95"/>
              </w:rPr>
              <w:t>warrant and rights</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3"/>
                <w:szCs w:val="13"/>
                <w:b w:val="1"/>
                <w:bCs w:val="1"/>
                <w:color w:val="auto"/>
                <w:w w:val="95"/>
              </w:rPr>
              <w:t>warrant and rights</w:t>
            </w:r>
          </w:p>
        </w:tc>
        <w:tc>
          <w:tcPr>
            <w:tcW w:w="280" w:type="dxa"/>
            <w:vAlign w:val="bottom"/>
          </w:tcPr>
          <w:p>
            <w:pPr>
              <w:spacing w:after="0"/>
              <w:rPr>
                <w:sz w:val="14"/>
                <w:szCs w:val="14"/>
                <w:color w:val="auto"/>
              </w:rPr>
            </w:pPr>
          </w:p>
        </w:tc>
        <w:tc>
          <w:tcPr>
            <w:tcW w:w="2660" w:type="dxa"/>
            <w:vAlign w:val="bottom"/>
          </w:tcPr>
          <w:p>
            <w:pPr>
              <w:jc w:val="center"/>
              <w:spacing w:after="0"/>
              <w:rPr>
                <w:sz w:val="20"/>
                <w:szCs w:val="20"/>
                <w:color w:val="auto"/>
              </w:rPr>
            </w:pPr>
            <w:r>
              <w:rPr>
                <w:rFonts w:ascii="Arial" w:cs="Arial" w:eastAsia="Arial" w:hAnsi="Arial"/>
                <w:sz w:val="13"/>
                <w:szCs w:val="13"/>
                <w:b w:val="1"/>
                <w:bCs w:val="1"/>
                <w:color w:val="auto"/>
                <w:w w:val="92"/>
              </w:rPr>
              <w:t>reflected in column (a))</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580" w:type="dxa"/>
            <w:vAlign w:val="bottom"/>
            <w:tcBorders>
              <w:bottom w:val="single" w:sz="8" w:color="808080"/>
            </w:tcBorders>
            <w:gridSpan w:val="2"/>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0" w:type="dxa"/>
            <w:vAlign w:val="bottom"/>
          </w:tcPr>
          <w:p>
            <w:pPr>
              <w:spacing w:after="0"/>
              <w:rPr>
                <w:sz w:val="8"/>
                <w:szCs w:val="8"/>
                <w:color w:val="auto"/>
              </w:rPr>
            </w:pPr>
          </w:p>
        </w:tc>
        <w:tc>
          <w:tcPr>
            <w:tcW w:w="29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Equity compensation plans approved by</w:t>
            </w:r>
          </w:p>
        </w:tc>
        <w:tc>
          <w:tcPr>
            <w:tcW w:w="19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80" w:type="dxa"/>
            <w:vAlign w:val="bottom"/>
            <w:gridSpan w:val="2"/>
            <w:shd w:val="clear" w:color="auto" w:fill="EEEEEE"/>
          </w:tcPr>
          <w:p>
            <w:pPr>
              <w:ind w:left="120"/>
              <w:spacing w:after="0"/>
              <w:rPr>
                <w:sz w:val="20"/>
                <w:szCs w:val="20"/>
                <w:color w:val="auto"/>
              </w:rPr>
            </w:pPr>
            <w:r>
              <w:rPr>
                <w:rFonts w:ascii="Arial" w:cs="Arial" w:eastAsia="Arial" w:hAnsi="Arial"/>
                <w:sz w:val="17"/>
                <w:szCs w:val="17"/>
                <w:color w:val="auto"/>
              </w:rPr>
              <w:t>security holders</w:t>
            </w:r>
          </w:p>
        </w:tc>
        <w:tc>
          <w:tcPr>
            <w:tcW w:w="19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2004</w:t>
            </w:r>
          </w:p>
        </w:tc>
        <w:tc>
          <w:tcPr>
            <w:tcW w:w="2960" w:type="dxa"/>
            <w:vAlign w:val="bottom"/>
          </w:tcPr>
          <w:p>
            <w:pPr>
              <w:ind w:left="40"/>
              <w:spacing w:after="0"/>
              <w:rPr>
                <w:sz w:val="20"/>
                <w:szCs w:val="20"/>
                <w:color w:val="auto"/>
              </w:rPr>
            </w:pPr>
            <w:r>
              <w:rPr>
                <w:rFonts w:ascii="Arial" w:cs="Arial" w:eastAsia="Arial" w:hAnsi="Arial"/>
                <w:sz w:val="17"/>
                <w:szCs w:val="17"/>
                <w:color w:val="auto"/>
              </w:rPr>
              <w:t>Stock Plan</w:t>
            </w:r>
          </w:p>
        </w:tc>
        <w:tc>
          <w:tcPr>
            <w:tcW w:w="1920" w:type="dxa"/>
            <w:vAlign w:val="bottom"/>
          </w:tcPr>
          <w:p>
            <w:pPr>
              <w:jc w:val="right"/>
              <w:ind w:right="246"/>
              <w:spacing w:after="0"/>
              <w:rPr>
                <w:sz w:val="20"/>
                <w:szCs w:val="20"/>
                <w:color w:val="auto"/>
              </w:rPr>
            </w:pPr>
            <w:r>
              <w:rPr>
                <w:rFonts w:ascii="Arial" w:cs="Arial" w:eastAsia="Arial" w:hAnsi="Arial"/>
                <w:sz w:val="17"/>
                <w:szCs w:val="17"/>
                <w:color w:val="auto"/>
              </w:rPr>
              <w:t>501,615</w:t>
            </w:r>
          </w:p>
        </w:tc>
        <w:tc>
          <w:tcPr>
            <w:tcW w:w="2960" w:type="dxa"/>
            <w:vAlign w:val="bottom"/>
            <w:gridSpan w:val="3"/>
          </w:tcPr>
          <w:p>
            <w:pPr>
              <w:jc w:val="right"/>
              <w:ind w:right="754"/>
              <w:spacing w:after="0"/>
              <w:rPr>
                <w:sz w:val="20"/>
                <w:szCs w:val="20"/>
                <w:color w:val="auto"/>
              </w:rPr>
            </w:pPr>
            <w:r>
              <w:rPr>
                <w:rFonts w:ascii="Arial" w:cs="Arial" w:eastAsia="Arial" w:hAnsi="Arial"/>
                <w:sz w:val="17"/>
                <w:szCs w:val="17"/>
                <w:color w:val="auto"/>
              </w:rPr>
              <w:t>$9.13</w:t>
            </w:r>
          </w:p>
        </w:tc>
        <w:tc>
          <w:tcPr>
            <w:tcW w:w="2940" w:type="dxa"/>
            <w:vAlign w:val="bottom"/>
            <w:gridSpan w:val="2"/>
          </w:tcPr>
          <w:p>
            <w:pPr>
              <w:jc w:val="right"/>
              <w:ind w:right="968"/>
              <w:spacing w:after="0"/>
              <w:rPr>
                <w:sz w:val="20"/>
                <w:szCs w:val="20"/>
                <w:color w:val="auto"/>
              </w:rPr>
            </w:pPr>
            <w:r>
              <w:rPr>
                <w:rFonts w:ascii="Arial" w:cs="Arial" w:eastAsia="Arial" w:hAnsi="Arial"/>
                <w:sz w:val="17"/>
                <w:szCs w:val="17"/>
                <w:color w:val="auto"/>
              </w:rPr>
              <w:t>654,635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2001</w:t>
            </w:r>
          </w:p>
        </w:tc>
        <w:tc>
          <w:tcPr>
            <w:tcW w:w="2960" w:type="dxa"/>
            <w:vAlign w:val="bottom"/>
            <w:shd w:val="clear" w:color="auto" w:fill="EEEEEE"/>
          </w:tcPr>
          <w:p>
            <w:pPr>
              <w:ind w:left="40"/>
              <w:spacing w:after="0"/>
              <w:rPr>
                <w:sz w:val="20"/>
                <w:szCs w:val="20"/>
                <w:color w:val="auto"/>
              </w:rPr>
            </w:pPr>
            <w:r>
              <w:rPr>
                <w:rFonts w:ascii="Arial" w:cs="Arial" w:eastAsia="Arial" w:hAnsi="Arial"/>
                <w:sz w:val="17"/>
                <w:szCs w:val="17"/>
                <w:color w:val="auto"/>
              </w:rPr>
              <w:t>Stock Option Plan</w:t>
            </w:r>
          </w:p>
        </w:tc>
        <w:tc>
          <w:tcPr>
            <w:tcW w:w="1920" w:type="dxa"/>
            <w:vAlign w:val="bottom"/>
            <w:shd w:val="clear" w:color="auto" w:fill="EEEEEE"/>
          </w:tcPr>
          <w:p>
            <w:pPr>
              <w:jc w:val="right"/>
              <w:ind w:right="246"/>
              <w:spacing w:after="0"/>
              <w:rPr>
                <w:sz w:val="20"/>
                <w:szCs w:val="20"/>
                <w:color w:val="auto"/>
              </w:rPr>
            </w:pPr>
            <w:r>
              <w:rPr>
                <w:rFonts w:ascii="Arial" w:cs="Arial" w:eastAsia="Arial" w:hAnsi="Arial"/>
                <w:sz w:val="17"/>
                <w:szCs w:val="17"/>
                <w:color w:val="auto"/>
              </w:rPr>
              <w:t>4,000,513</w:t>
            </w:r>
          </w:p>
        </w:tc>
        <w:tc>
          <w:tcPr>
            <w:tcW w:w="2960" w:type="dxa"/>
            <w:vAlign w:val="bottom"/>
            <w:gridSpan w:val="3"/>
            <w:shd w:val="clear" w:color="auto" w:fill="EEEEEE"/>
          </w:tcPr>
          <w:p>
            <w:pPr>
              <w:jc w:val="right"/>
              <w:ind w:right="754"/>
              <w:spacing w:after="0"/>
              <w:rPr>
                <w:sz w:val="20"/>
                <w:szCs w:val="20"/>
                <w:color w:val="auto"/>
              </w:rPr>
            </w:pPr>
            <w:r>
              <w:rPr>
                <w:rFonts w:ascii="Arial" w:cs="Arial" w:eastAsia="Arial" w:hAnsi="Arial"/>
                <w:sz w:val="17"/>
                <w:szCs w:val="17"/>
                <w:color w:val="auto"/>
              </w:rPr>
              <w:t>$5.09</w:t>
            </w:r>
          </w:p>
        </w:tc>
        <w:tc>
          <w:tcPr>
            <w:tcW w:w="280" w:type="dxa"/>
            <w:vAlign w:val="bottom"/>
            <w:shd w:val="clear" w:color="auto" w:fill="EEEEEE"/>
          </w:tcPr>
          <w:p>
            <w:pPr>
              <w:spacing w:after="0"/>
              <w:rPr>
                <w:sz w:val="18"/>
                <w:szCs w:val="18"/>
                <w:color w:val="auto"/>
              </w:rPr>
            </w:pPr>
          </w:p>
        </w:tc>
        <w:tc>
          <w:tcPr>
            <w:tcW w:w="2660" w:type="dxa"/>
            <w:vAlign w:val="bottom"/>
            <w:shd w:val="clear" w:color="auto" w:fill="EEEEEE"/>
          </w:tcPr>
          <w:p>
            <w:pPr>
              <w:jc w:val="right"/>
              <w:ind w:right="96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1999</w:t>
            </w:r>
          </w:p>
        </w:tc>
        <w:tc>
          <w:tcPr>
            <w:tcW w:w="2960" w:type="dxa"/>
            <w:vAlign w:val="bottom"/>
          </w:tcPr>
          <w:p>
            <w:pPr>
              <w:ind w:left="40"/>
              <w:spacing w:after="0"/>
              <w:rPr>
                <w:sz w:val="20"/>
                <w:szCs w:val="20"/>
                <w:color w:val="auto"/>
              </w:rPr>
            </w:pPr>
            <w:r>
              <w:rPr>
                <w:rFonts w:ascii="Arial" w:cs="Arial" w:eastAsia="Arial" w:hAnsi="Arial"/>
                <w:sz w:val="17"/>
                <w:szCs w:val="17"/>
                <w:color w:val="auto"/>
              </w:rPr>
              <w:t>Stock Option Plan</w:t>
            </w:r>
          </w:p>
        </w:tc>
        <w:tc>
          <w:tcPr>
            <w:tcW w:w="1920" w:type="dxa"/>
            <w:vAlign w:val="bottom"/>
          </w:tcPr>
          <w:p>
            <w:pPr>
              <w:jc w:val="right"/>
              <w:ind w:right="246"/>
              <w:spacing w:after="0"/>
              <w:rPr>
                <w:sz w:val="20"/>
                <w:szCs w:val="20"/>
                <w:color w:val="auto"/>
              </w:rPr>
            </w:pPr>
            <w:r>
              <w:rPr>
                <w:rFonts w:ascii="Arial" w:cs="Arial" w:eastAsia="Arial" w:hAnsi="Arial"/>
                <w:sz w:val="17"/>
                <w:szCs w:val="17"/>
                <w:color w:val="auto"/>
              </w:rPr>
              <w:t>1,798,025</w:t>
            </w:r>
          </w:p>
        </w:tc>
        <w:tc>
          <w:tcPr>
            <w:tcW w:w="2960" w:type="dxa"/>
            <w:vAlign w:val="bottom"/>
            <w:gridSpan w:val="3"/>
          </w:tcPr>
          <w:p>
            <w:pPr>
              <w:jc w:val="right"/>
              <w:ind w:right="754"/>
              <w:spacing w:after="0"/>
              <w:rPr>
                <w:sz w:val="20"/>
                <w:szCs w:val="20"/>
                <w:color w:val="auto"/>
              </w:rPr>
            </w:pPr>
            <w:r>
              <w:rPr>
                <w:rFonts w:ascii="Arial" w:cs="Arial" w:eastAsia="Arial" w:hAnsi="Arial"/>
                <w:sz w:val="17"/>
                <w:szCs w:val="17"/>
                <w:color w:val="auto"/>
              </w:rPr>
              <w:t>$4.80</w:t>
            </w:r>
          </w:p>
        </w:tc>
        <w:tc>
          <w:tcPr>
            <w:tcW w:w="280" w:type="dxa"/>
            <w:vAlign w:val="bottom"/>
          </w:tcPr>
          <w:p>
            <w:pPr>
              <w:spacing w:after="0"/>
              <w:rPr>
                <w:sz w:val="18"/>
                <w:szCs w:val="18"/>
                <w:color w:val="auto"/>
              </w:rPr>
            </w:pPr>
          </w:p>
        </w:tc>
        <w:tc>
          <w:tcPr>
            <w:tcW w:w="2660" w:type="dxa"/>
            <w:vAlign w:val="bottom"/>
          </w:tcPr>
          <w:p>
            <w:pPr>
              <w:jc w:val="right"/>
              <w:ind w:right="96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3580" w:type="dxa"/>
            <w:vAlign w:val="bottom"/>
            <w:gridSpan w:val="2"/>
          </w:tcPr>
          <w:p>
            <w:pPr>
              <w:spacing w:after="0"/>
              <w:rPr>
                <w:sz w:val="17"/>
                <w:szCs w:val="17"/>
                <w:color w:val="auto"/>
              </w:rPr>
            </w:pPr>
          </w:p>
        </w:tc>
        <w:tc>
          <w:tcPr>
            <w:tcW w:w="1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80" w:type="dxa"/>
            <w:vAlign w:val="bottom"/>
            <w:gridSpan w:val="2"/>
            <w:shd w:val="clear" w:color="auto" w:fill="EEEEEE"/>
          </w:tcPr>
          <w:p>
            <w:pPr>
              <w:spacing w:after="0"/>
              <w:rPr>
                <w:sz w:val="20"/>
                <w:szCs w:val="20"/>
                <w:color w:val="auto"/>
              </w:rPr>
            </w:pPr>
            <w:r>
              <w:rPr>
                <w:rFonts w:ascii="Arial" w:cs="Arial" w:eastAsia="Arial" w:hAnsi="Arial"/>
                <w:sz w:val="17"/>
                <w:szCs w:val="17"/>
                <w:color w:val="auto"/>
              </w:rPr>
              <w:t>Equity compensation plans not approved by</w:t>
            </w:r>
          </w:p>
        </w:tc>
        <w:tc>
          <w:tcPr>
            <w:tcW w:w="19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1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6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80" w:type="dxa"/>
            <w:vAlign w:val="bottom"/>
            <w:gridSpan w:val="2"/>
            <w:shd w:val="clear" w:color="auto" w:fill="EEEEEE"/>
          </w:tcPr>
          <w:p>
            <w:pPr>
              <w:ind w:left="120"/>
              <w:spacing w:after="0"/>
              <w:rPr>
                <w:sz w:val="20"/>
                <w:szCs w:val="20"/>
                <w:color w:val="auto"/>
              </w:rPr>
            </w:pPr>
            <w:r>
              <w:rPr>
                <w:rFonts w:ascii="Arial" w:cs="Arial" w:eastAsia="Arial" w:hAnsi="Arial"/>
                <w:sz w:val="17"/>
                <w:szCs w:val="17"/>
                <w:color w:val="auto"/>
              </w:rPr>
              <w:t>security holders</w:t>
            </w:r>
          </w:p>
        </w:tc>
        <w:tc>
          <w:tcPr>
            <w:tcW w:w="19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1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6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2000</w:t>
            </w:r>
          </w:p>
        </w:tc>
        <w:tc>
          <w:tcPr>
            <w:tcW w:w="2960" w:type="dxa"/>
            <w:vAlign w:val="bottom"/>
          </w:tcPr>
          <w:p>
            <w:pPr>
              <w:ind w:left="40"/>
              <w:spacing w:after="0"/>
              <w:rPr>
                <w:sz w:val="20"/>
                <w:szCs w:val="20"/>
                <w:color w:val="auto"/>
              </w:rPr>
            </w:pPr>
            <w:r>
              <w:rPr>
                <w:rFonts w:ascii="Arial" w:cs="Arial" w:eastAsia="Arial" w:hAnsi="Arial"/>
                <w:sz w:val="17"/>
                <w:szCs w:val="17"/>
                <w:color w:val="auto"/>
              </w:rPr>
              <w:t>Stock Option Plan</w:t>
            </w:r>
          </w:p>
        </w:tc>
        <w:tc>
          <w:tcPr>
            <w:tcW w:w="1920" w:type="dxa"/>
            <w:vAlign w:val="bottom"/>
          </w:tcPr>
          <w:p>
            <w:pPr>
              <w:jc w:val="right"/>
              <w:ind w:right="246"/>
              <w:spacing w:after="0"/>
              <w:rPr>
                <w:sz w:val="20"/>
                <w:szCs w:val="20"/>
                <w:color w:val="auto"/>
              </w:rPr>
            </w:pPr>
            <w:r>
              <w:rPr>
                <w:rFonts w:ascii="Arial" w:cs="Arial" w:eastAsia="Arial" w:hAnsi="Arial"/>
                <w:sz w:val="17"/>
                <w:szCs w:val="17"/>
                <w:color w:val="auto"/>
              </w:rPr>
              <w:t>3,524,244</w:t>
            </w:r>
          </w:p>
        </w:tc>
        <w:tc>
          <w:tcPr>
            <w:tcW w:w="2960" w:type="dxa"/>
            <w:vAlign w:val="bottom"/>
            <w:gridSpan w:val="3"/>
          </w:tcPr>
          <w:p>
            <w:pPr>
              <w:jc w:val="right"/>
              <w:ind w:right="754"/>
              <w:spacing w:after="0"/>
              <w:rPr>
                <w:sz w:val="20"/>
                <w:szCs w:val="20"/>
                <w:color w:val="auto"/>
              </w:rPr>
            </w:pPr>
            <w:r>
              <w:rPr>
                <w:rFonts w:ascii="Arial" w:cs="Arial" w:eastAsia="Arial" w:hAnsi="Arial"/>
                <w:sz w:val="17"/>
                <w:szCs w:val="17"/>
                <w:color w:val="auto"/>
              </w:rPr>
              <w:t>$4.80</w:t>
            </w:r>
          </w:p>
        </w:tc>
        <w:tc>
          <w:tcPr>
            <w:tcW w:w="280" w:type="dxa"/>
            <w:vAlign w:val="bottom"/>
          </w:tcPr>
          <w:p>
            <w:pPr>
              <w:spacing w:after="0"/>
              <w:rPr>
                <w:sz w:val="18"/>
                <w:szCs w:val="18"/>
                <w:color w:val="auto"/>
              </w:rPr>
            </w:pPr>
          </w:p>
        </w:tc>
        <w:tc>
          <w:tcPr>
            <w:tcW w:w="2660" w:type="dxa"/>
            <w:vAlign w:val="bottom"/>
          </w:tcPr>
          <w:p>
            <w:pPr>
              <w:jc w:val="right"/>
              <w:ind w:right="96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9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20" w:type="dxa"/>
            <w:vAlign w:val="bottom"/>
          </w:tcPr>
          <w:p>
            <w:pPr>
              <w:jc w:val="right"/>
              <w:ind w:right="154"/>
              <w:spacing w:after="0"/>
              <w:rPr>
                <w:sz w:val="20"/>
                <w:szCs w:val="20"/>
                <w:color w:val="auto"/>
              </w:rPr>
            </w:pPr>
            <w:r>
              <w:rPr>
                <w:rFonts w:ascii="Arial" w:cs="Arial" w:eastAsia="Arial" w:hAnsi="Arial"/>
                <w:sz w:val="17"/>
                <w:szCs w:val="17"/>
                <w:color w:val="auto"/>
              </w:rPr>
              <w:t>73</w:t>
            </w:r>
          </w:p>
        </w:tc>
        <w:tc>
          <w:tcPr>
            <w:tcW w:w="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color w:val="auto"/>
        </w:rPr>
        <w:t>Description of plans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1999 Stock Option Plan, 2000 Stock Option Plan and 2001 Stock Option Plan</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Our 1999 Stock Option Plan was adopted by our board of directors and approved by our stockholders in October 1999. Our 2000 Stock Option Plan was adopted by</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our board of directors in May 2000. Our 2001 Stock Option Plan was adopted by our board of directors in July 2001 and approved by our stockholders at the annual</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stockholders meeting in May 2002. A total of 8,424,945 shares of our common stock were authorized and reserved for issuance under the 1999 Stock Option Plan,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2000 Stock Option Plan and the 2001 Stock Option Plan, and options to purchase 9,377,186 shares of common stock, at a weighted average exercise price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$4.93 per share, were outstanding under such plans as of September 30, 2004. In connection with the adoption of our 2004 Stock Plan, the 1999 Stock Option Plan,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2000 Stock Option Plan and 2001 Stock Option Plan were terminated with respect to future grants.</w:t>
      </w:r>
    </w:p>
    <w:p>
      <w:pPr>
        <w:spacing w:after="0" w:line="222"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Generally, options granted under the 1999 Stock Option Plan vest in eight equal semi-annual installments beginning on the 180th day after the date of grant. The option granted under the 2000 Stock Option Plan vested 25% on the date of grant, with the remainder vesting in eight equal semi-annual installments thereafter. Options granted under the 2001 Stock Option Plan vest in equal annual installments on the first, second, third and fourth anniversaries of the date of grant. Subject to the terms of the plans, options may be transferred by will or the laws of descent and distribution and, in the case of nonstatutory stock options, may also be transferred with the approval of our board of directors or a committee thereof to certain of the optionee’s family members. In the event of certain changes in control of our company, all outstanding options under the 1999 Stock Option Plan, 2000 Stock Option Plan and 2001 Stock Option Plan shall become immediately exercisable.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2004 Stock Plan</w:t>
      </w:r>
    </w:p>
    <w:p>
      <w:pPr>
        <w:spacing w:after="0" w:line="22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2004 Stock Plan was adopted by our board of directors and our stockholders on March 23, 2004. A total of 1,156,250 shares of common stock have been reserved for issuance under the 2004 Stock Plan. The 2004 Stock Plan is administered by our board of directors, or a committee consisting of members appointed by our board of directors, and provides for grants of “incentive stock options” within the meaning of Section 422 of the Internal Revenue Code of 1986, as amended, as well as grants of non-statutory options and purchase rights. Generally, options granted under the 2004 Plan will vest as to 25% of the shares on the first, second, third and fourth anniversaries of the date of grant. Options may only be transferred by will or the laws of descent and distribution. In the event of certain changes in control of our company, all outstanding options and purchase rights under the 2004 Stock Plan shall either be assumed or replaced by the successor company, or upon proper written notice to the grantees, the options and purchase rights will terminate upon the change in control. As of the date of this prospectus, options to purchase 501,615 shares of our common stock have been granted pursuant to the 2004 Stock Plan.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6" w:right="259" w:bottom="1440" w:gutter="0" w:footer="0" w:header="0"/>
        </w:sectPr>
      </w:pPr>
    </w:p>
    <w:bookmarkStart w:id="79" w:name="page80"/>
    <w:bookmarkEnd w:id="79"/>
    <w:p>
      <w:pPr>
        <w:jc w:val="center"/>
        <w:spacing w:after="0"/>
        <w:rPr>
          <w:sz w:val="20"/>
          <w:szCs w:val="20"/>
          <w:color w:val="auto"/>
        </w:rPr>
      </w:pPr>
      <w:r>
        <w:rPr>
          <w:rFonts w:ascii="Arial" w:cs="Arial" w:eastAsia="Arial" w:hAnsi="Arial"/>
          <w:sz w:val="24"/>
          <w:szCs w:val="24"/>
          <w:b w:val="1"/>
          <w:bCs w:val="1"/>
          <w:color w:val="auto"/>
        </w:rPr>
        <w:t>Principal and selling stockholders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regarding the beneficial ownership of our common stock as of December 31, 2004, by the following individuals or groups:</w:t>
      </w:r>
    </w:p>
    <w:p>
      <w:pPr>
        <w:spacing w:after="0" w:line="251" w:lineRule="exact"/>
        <w:rPr>
          <w:sz w:val="20"/>
          <w:szCs w:val="20"/>
          <w:color w:val="auto"/>
        </w:rPr>
      </w:pPr>
    </w:p>
    <w:p>
      <w:pPr>
        <w:ind w:left="240" w:hanging="234"/>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person or entity known by us to beneficially own more than 5% of our common stock;</w:t>
      </w:r>
    </w:p>
    <w:p>
      <w:pPr>
        <w:spacing w:after="0" w:line="21" w:lineRule="exact"/>
        <w:rPr>
          <w:rFonts w:ascii="Arial" w:cs="Arial" w:eastAsia="Arial" w:hAnsi="Arial"/>
          <w:sz w:val="17"/>
          <w:szCs w:val="17"/>
          <w:color w:val="auto"/>
        </w:rPr>
      </w:pPr>
    </w:p>
    <w:p>
      <w:pPr>
        <w:ind w:left="240" w:hanging="234"/>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 named executive officers;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directors and executive officers as a group; and</w:t>
      </w:r>
    </w:p>
    <w:p>
      <w:pPr>
        <w:spacing w:after="0" w:line="16" w:lineRule="exact"/>
        <w:rPr>
          <w:rFonts w:ascii="Arial" w:cs="Arial" w:eastAsia="Arial" w:hAnsi="Arial"/>
          <w:sz w:val="17"/>
          <w:szCs w:val="17"/>
          <w:color w:val="auto"/>
        </w:rPr>
      </w:pPr>
    </w:p>
    <w:p>
      <w:pPr>
        <w:ind w:left="240" w:hanging="234"/>
        <w:spacing w:after="0"/>
        <w:tabs>
          <w:tab w:leader="none" w:pos="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selling stockholder.</w:t>
      </w:r>
    </w:p>
    <w:p>
      <w:pPr>
        <w:spacing w:after="0" w:line="22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Beneficial ownership of a security is determined in accordance with the rules and regulations of the SEC. Under these rules, a person is deemed to beneficially own a share of our common stock if that person has or shares voting power or investment power with respect to that share, or has the right to acquire beneficial ownership of that share within 60 days, including through the exercise of any option or other right or the conversion or any other security. Shares issuable under stock options are deemed outstanding for computing the percentage of the person holding options but are not outstanding for computing the percentage of any other person. The percentage of beneficial ownership shown in the following table is based upon 42,549,056 shares of capital stock outstanding as of December 31, 2004. The number and percentage of shares beneficially owned after the offering in the table below assumes that the selling stockholders sell all shares of common stock registered under this prospectus. The selling stockholders might not sell all or any of these shares.</w:t>
      </w:r>
    </w:p>
    <w:p>
      <w:pPr>
        <w:spacing w:after="0" w:line="175"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Unless otherwise indicated, the address for each listed stockholder is: c/o Blackbaud, Inc., 2000 Daniel Island Drive, Charleston, South Carolina 29492-7541. To our knowledge, except as indicated in the footnotes to this table and pursuant to applicable community property laws, the persons named in the table have sole voting and investment power with respect to all shares of capital stock. To our knowledge, at the time of the acquisition of the securities being registered under this prospectus the selling stockholders had no agreements, understandings or arrangements with any other persons, either directly or indirectly, to dispose of the securities acquired from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325755</wp:posOffset>
            </wp:positionV>
            <wp:extent cx="7249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500" w:type="dxa"/>
            <w:vAlign w:val="bottom"/>
            <w:gridSpan w:val="2"/>
          </w:tcPr>
          <w:p>
            <w:pPr>
              <w:jc w:val="right"/>
              <w:ind w:right="577"/>
              <w:spacing w:after="0"/>
              <w:rPr>
                <w:sz w:val="20"/>
                <w:szCs w:val="20"/>
                <w:color w:val="auto"/>
              </w:rPr>
            </w:pPr>
            <w:r>
              <w:rPr>
                <w:rFonts w:ascii="Arial" w:cs="Arial" w:eastAsia="Arial" w:hAnsi="Arial"/>
                <w:sz w:val="13"/>
                <w:szCs w:val="13"/>
                <w:b w:val="1"/>
                <w:bCs w:val="1"/>
                <w:color w:val="auto"/>
              </w:rPr>
              <w:t>Percentage of shares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520" w:type="dxa"/>
            <w:vAlign w:val="bottom"/>
          </w:tcPr>
          <w:p>
            <w:pPr>
              <w:jc w:val="center"/>
              <w:ind w:right="39"/>
              <w:spacing w:after="0"/>
              <w:rPr>
                <w:sz w:val="20"/>
                <w:szCs w:val="20"/>
                <w:color w:val="auto"/>
              </w:rPr>
            </w:pPr>
            <w:r>
              <w:rPr>
                <w:rFonts w:ascii="Arial" w:cs="Arial" w:eastAsia="Arial" w:hAnsi="Arial"/>
                <w:sz w:val="13"/>
                <w:szCs w:val="13"/>
                <w:b w:val="1"/>
                <w:bCs w:val="1"/>
                <w:color w:val="auto"/>
                <w:w w:val="91"/>
              </w:rPr>
              <w:t>Beneficial</w:t>
            </w:r>
          </w:p>
        </w:tc>
        <w:tc>
          <w:tcPr>
            <w:tcW w:w="1780" w:type="dxa"/>
            <w:vAlign w:val="bottom"/>
          </w:tcPr>
          <w:p>
            <w:pPr>
              <w:spacing w:after="0"/>
              <w:rPr>
                <w:sz w:val="14"/>
                <w:szCs w:val="14"/>
                <w:color w:val="auto"/>
              </w:rPr>
            </w:pPr>
          </w:p>
        </w:tc>
        <w:tc>
          <w:tcPr>
            <w:tcW w:w="1900" w:type="dxa"/>
            <w:vAlign w:val="bottom"/>
          </w:tcPr>
          <w:p>
            <w:pPr>
              <w:jc w:val="center"/>
              <w:ind w:right="59"/>
              <w:spacing w:after="0"/>
              <w:rPr>
                <w:sz w:val="20"/>
                <w:szCs w:val="20"/>
                <w:color w:val="auto"/>
              </w:rPr>
            </w:pPr>
            <w:r>
              <w:rPr>
                <w:rFonts w:ascii="Arial" w:cs="Arial" w:eastAsia="Arial" w:hAnsi="Arial"/>
                <w:sz w:val="13"/>
                <w:szCs w:val="13"/>
                <w:b w:val="1"/>
                <w:bCs w:val="1"/>
                <w:color w:val="auto"/>
                <w:w w:val="91"/>
              </w:rPr>
              <w:t>Beneficial</w:t>
            </w:r>
          </w:p>
        </w:tc>
        <w:tc>
          <w:tcPr>
            <w:tcW w:w="2500" w:type="dxa"/>
            <w:vAlign w:val="bottom"/>
            <w:gridSpan w:val="2"/>
          </w:tcPr>
          <w:p>
            <w:pPr>
              <w:jc w:val="right"/>
              <w:ind w:right="637"/>
              <w:spacing w:after="0"/>
              <w:rPr>
                <w:sz w:val="20"/>
                <w:szCs w:val="20"/>
                <w:color w:val="auto"/>
              </w:rPr>
            </w:pPr>
            <w:r>
              <w:rPr>
                <w:rFonts w:ascii="Arial" w:cs="Arial" w:eastAsia="Arial" w:hAnsi="Arial"/>
                <w:sz w:val="13"/>
                <w:szCs w:val="13"/>
                <w:b w:val="1"/>
                <w:bCs w:val="1"/>
                <w:color w:val="auto"/>
              </w:rPr>
              <w:t>beneficially owned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152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89"/>
              </w:rPr>
              <w:t>ownership</w:t>
            </w:r>
          </w:p>
        </w:tc>
        <w:tc>
          <w:tcPr>
            <w:tcW w:w="1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900" w:type="dxa"/>
            <w:vAlign w:val="bottom"/>
            <w:vMerge w:val="restart"/>
          </w:tcPr>
          <w:p>
            <w:pPr>
              <w:jc w:val="center"/>
              <w:ind w:right="59"/>
              <w:spacing w:after="0"/>
              <w:rPr>
                <w:sz w:val="20"/>
                <w:szCs w:val="20"/>
                <w:color w:val="auto"/>
              </w:rPr>
            </w:pPr>
            <w:r>
              <w:rPr>
                <w:rFonts w:ascii="Arial" w:cs="Arial" w:eastAsia="Arial" w:hAnsi="Arial"/>
                <w:sz w:val="13"/>
                <w:szCs w:val="13"/>
                <w:b w:val="1"/>
                <w:bCs w:val="1"/>
                <w:color w:val="auto"/>
                <w:w w:val="92"/>
              </w:rPr>
              <w:t>ownership</w:t>
            </w: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70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17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520" w:type="dxa"/>
            <w:vAlign w:val="bottom"/>
          </w:tcPr>
          <w:p>
            <w:pPr>
              <w:jc w:val="center"/>
              <w:ind w:right="59"/>
              <w:spacing w:after="0"/>
              <w:rPr>
                <w:sz w:val="20"/>
                <w:szCs w:val="20"/>
                <w:color w:val="auto"/>
              </w:rPr>
            </w:pPr>
            <w:r>
              <w:rPr>
                <w:rFonts w:ascii="Arial" w:cs="Arial" w:eastAsia="Arial" w:hAnsi="Arial"/>
                <w:sz w:val="13"/>
                <w:szCs w:val="13"/>
                <w:b w:val="1"/>
                <w:bCs w:val="1"/>
                <w:color w:val="auto"/>
                <w:w w:val="92"/>
              </w:rPr>
              <w:t>prior to</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89"/>
              </w:rPr>
              <w:t>registered</w:t>
            </w:r>
          </w:p>
        </w:tc>
        <w:tc>
          <w:tcPr>
            <w:tcW w:w="1900" w:type="dxa"/>
            <w:vAlign w:val="bottom"/>
          </w:tcPr>
          <w:p>
            <w:pPr>
              <w:jc w:val="center"/>
              <w:ind w:right="59"/>
              <w:spacing w:after="0"/>
              <w:rPr>
                <w:sz w:val="20"/>
                <w:szCs w:val="20"/>
                <w:color w:val="auto"/>
              </w:rPr>
            </w:pPr>
            <w:r>
              <w:rPr>
                <w:rFonts w:ascii="Arial" w:cs="Arial" w:eastAsia="Arial" w:hAnsi="Arial"/>
                <w:sz w:val="13"/>
                <w:szCs w:val="13"/>
                <w:b w:val="1"/>
                <w:bCs w:val="1"/>
                <w:color w:val="auto"/>
                <w:w w:val="93"/>
              </w:rPr>
              <w:t>after the</w:t>
            </w:r>
          </w:p>
        </w:tc>
        <w:tc>
          <w:tcPr>
            <w:tcW w:w="1280" w:type="dxa"/>
            <w:vAlign w:val="bottom"/>
          </w:tcPr>
          <w:p>
            <w:pPr>
              <w:jc w:val="right"/>
              <w:ind w:right="359"/>
              <w:spacing w:after="0"/>
              <w:rPr>
                <w:sz w:val="20"/>
                <w:szCs w:val="20"/>
                <w:color w:val="auto"/>
              </w:rPr>
            </w:pPr>
            <w:r>
              <w:rPr>
                <w:rFonts w:ascii="Arial" w:cs="Arial" w:eastAsia="Arial" w:hAnsi="Arial"/>
                <w:sz w:val="13"/>
                <w:szCs w:val="13"/>
                <w:b w:val="1"/>
                <w:bCs w:val="1"/>
                <w:color w:val="auto"/>
              </w:rPr>
              <w:t>Before the</w:t>
            </w:r>
          </w:p>
        </w:tc>
        <w:tc>
          <w:tcPr>
            <w:tcW w:w="1220" w:type="dxa"/>
            <w:vAlign w:val="bottom"/>
          </w:tcPr>
          <w:p>
            <w:pPr>
              <w:jc w:val="right"/>
              <w:ind w:right="237"/>
              <w:spacing w:after="0"/>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700" w:type="dxa"/>
            <w:vAlign w:val="bottom"/>
          </w:tcPr>
          <w:p>
            <w:pPr>
              <w:ind w:left="1520"/>
              <w:spacing w:after="0"/>
              <w:rPr>
                <w:sz w:val="20"/>
                <w:szCs w:val="20"/>
                <w:color w:val="auto"/>
              </w:rPr>
            </w:pPr>
            <w:r>
              <w:rPr>
                <w:rFonts w:ascii="Arial" w:cs="Arial" w:eastAsia="Arial" w:hAnsi="Arial"/>
                <w:sz w:val="13"/>
                <w:szCs w:val="13"/>
                <w:b w:val="1"/>
                <w:bCs w:val="1"/>
                <w:color w:val="auto"/>
              </w:rPr>
              <w:t>Name</w:t>
            </w:r>
          </w:p>
        </w:tc>
        <w:tc>
          <w:tcPr>
            <w:tcW w:w="1520" w:type="dxa"/>
            <w:vAlign w:val="bottom"/>
          </w:tcPr>
          <w:p>
            <w:pPr>
              <w:jc w:val="center"/>
              <w:ind w:right="59"/>
              <w:spacing w:after="0"/>
              <w:rPr>
                <w:sz w:val="20"/>
                <w:szCs w:val="20"/>
                <w:color w:val="auto"/>
              </w:rPr>
            </w:pPr>
            <w:r>
              <w:rPr>
                <w:rFonts w:ascii="Arial" w:cs="Arial" w:eastAsia="Arial" w:hAnsi="Arial"/>
                <w:sz w:val="13"/>
                <w:szCs w:val="13"/>
                <w:b w:val="1"/>
                <w:bCs w:val="1"/>
                <w:color w:val="auto"/>
                <w:w w:val="92"/>
              </w:rPr>
              <w:t>the offering</w:t>
            </w:r>
          </w:p>
        </w:tc>
        <w:tc>
          <w:tcPr>
            <w:tcW w:w="1780" w:type="dxa"/>
            <w:vAlign w:val="bottom"/>
          </w:tcPr>
          <w:p>
            <w:pPr>
              <w:jc w:val="center"/>
              <w:spacing w:after="0"/>
              <w:rPr>
                <w:sz w:val="20"/>
                <w:szCs w:val="20"/>
                <w:color w:val="auto"/>
              </w:rPr>
            </w:pPr>
            <w:r>
              <w:rPr>
                <w:rFonts w:ascii="Arial" w:cs="Arial" w:eastAsia="Arial" w:hAnsi="Arial"/>
                <w:sz w:val="13"/>
                <w:szCs w:val="13"/>
                <w:b w:val="1"/>
                <w:bCs w:val="1"/>
                <w:color w:val="auto"/>
                <w:w w:val="87"/>
              </w:rPr>
              <w:t>to be sold</w:t>
            </w:r>
          </w:p>
        </w:tc>
        <w:tc>
          <w:tcPr>
            <w:tcW w:w="1900" w:type="dxa"/>
            <w:vAlign w:val="bottom"/>
          </w:tcPr>
          <w:p>
            <w:pPr>
              <w:jc w:val="center"/>
              <w:ind w:right="59"/>
              <w:spacing w:after="0"/>
              <w:rPr>
                <w:sz w:val="20"/>
                <w:szCs w:val="20"/>
                <w:color w:val="auto"/>
              </w:rPr>
            </w:pPr>
            <w:r>
              <w:rPr>
                <w:rFonts w:ascii="Arial" w:cs="Arial" w:eastAsia="Arial" w:hAnsi="Arial"/>
                <w:sz w:val="13"/>
                <w:szCs w:val="13"/>
                <w:b w:val="1"/>
                <w:bCs w:val="1"/>
                <w:color w:val="auto"/>
                <w:w w:val="90"/>
              </w:rPr>
              <w:t>offering</w:t>
            </w:r>
          </w:p>
        </w:tc>
        <w:tc>
          <w:tcPr>
            <w:tcW w:w="1280" w:type="dxa"/>
            <w:vAlign w:val="bottom"/>
          </w:tcPr>
          <w:p>
            <w:pPr>
              <w:jc w:val="right"/>
              <w:ind w:right="419"/>
              <w:spacing w:after="0"/>
              <w:rPr>
                <w:sz w:val="20"/>
                <w:szCs w:val="20"/>
                <w:color w:val="auto"/>
              </w:rPr>
            </w:pPr>
            <w:r>
              <w:rPr>
                <w:rFonts w:ascii="Arial" w:cs="Arial" w:eastAsia="Arial" w:hAnsi="Arial"/>
                <w:sz w:val="13"/>
                <w:szCs w:val="13"/>
                <w:b w:val="1"/>
                <w:bCs w:val="1"/>
                <w:color w:val="auto"/>
              </w:rPr>
              <w:t>offering</w:t>
            </w:r>
          </w:p>
        </w:tc>
        <w:tc>
          <w:tcPr>
            <w:tcW w:w="1220" w:type="dxa"/>
            <w:vAlign w:val="bottom"/>
          </w:tcPr>
          <w:p>
            <w:pPr>
              <w:jc w:val="right"/>
              <w:ind w:right="257"/>
              <w:spacing w:after="0"/>
              <w:rPr>
                <w:sz w:val="20"/>
                <w:szCs w:val="20"/>
                <w:color w:val="auto"/>
              </w:rPr>
            </w:pPr>
            <w:r>
              <w:rPr>
                <w:rFonts w:ascii="Arial" w:cs="Arial" w:eastAsia="Arial" w:hAnsi="Arial"/>
                <w:sz w:val="13"/>
                <w:szCs w:val="13"/>
                <w:b w:val="1"/>
                <w:bCs w:val="1"/>
                <w:color w:val="auto"/>
              </w:rPr>
              <w:t>offering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Five percent stockholders:</w:t>
            </w:r>
          </w:p>
        </w:tc>
        <w:tc>
          <w:tcPr>
            <w:tcW w:w="15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spacing w:after="0" w:line="251" w:lineRule="exact"/>
              <w:rPr>
                <w:sz w:val="20"/>
                <w:szCs w:val="20"/>
                <w:color w:val="auto"/>
              </w:rPr>
            </w:pPr>
            <w:r>
              <w:rPr>
                <w:rFonts w:ascii="Arial" w:cs="Arial" w:eastAsia="Arial" w:hAnsi="Arial"/>
                <w:sz w:val="17"/>
                <w:szCs w:val="17"/>
                <w:color w:val="auto"/>
              </w:rPr>
              <w:t>Hellman &amp; Friedman Capital Partners III, L.P.</w:t>
            </w:r>
            <w:r>
              <w:rPr>
                <w:rFonts w:ascii="Arial" w:cs="Arial" w:eastAsia="Arial" w:hAnsi="Arial"/>
                <w:sz w:val="28"/>
                <w:szCs w:val="28"/>
                <w:color w:val="auto"/>
                <w:vertAlign w:val="superscript"/>
              </w:rPr>
              <w:t>(1)</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26,506,731</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7,928,292</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18,578,439</w:t>
            </w:r>
          </w:p>
        </w:tc>
        <w:tc>
          <w:tcPr>
            <w:tcW w:w="1280" w:type="dxa"/>
            <w:vAlign w:val="bottom"/>
          </w:tcPr>
          <w:p>
            <w:pPr>
              <w:jc w:val="right"/>
              <w:ind w:right="319"/>
              <w:spacing w:after="0"/>
              <w:rPr>
                <w:sz w:val="20"/>
                <w:szCs w:val="20"/>
                <w:color w:val="auto"/>
              </w:rPr>
            </w:pPr>
            <w:r>
              <w:rPr>
                <w:rFonts w:ascii="Arial" w:cs="Arial" w:eastAsia="Arial" w:hAnsi="Arial"/>
                <w:sz w:val="17"/>
                <w:szCs w:val="17"/>
                <w:color w:val="auto"/>
              </w:rPr>
              <w:t>62.30%</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43.66%</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H&amp;F Orchard Partners III, L.P.</w:t>
            </w:r>
            <w:r>
              <w:rPr>
                <w:rFonts w:ascii="Arial" w:cs="Arial" w:eastAsia="Arial" w:hAnsi="Arial"/>
                <w:sz w:val="28"/>
                <w:szCs w:val="28"/>
                <w:color w:val="auto"/>
                <w:vertAlign w:val="superscript"/>
              </w:rPr>
              <w:t>(1)</w:t>
            </w:r>
          </w:p>
        </w:tc>
        <w:tc>
          <w:tcPr>
            <w:tcW w:w="152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1,948,299</w:t>
            </w:r>
          </w:p>
        </w:tc>
        <w:tc>
          <w:tcPr>
            <w:tcW w:w="1780" w:type="dxa"/>
            <w:vAlign w:val="bottom"/>
            <w:shd w:val="clear" w:color="auto" w:fill="EEEEEE"/>
          </w:tcPr>
          <w:p>
            <w:pPr>
              <w:jc w:val="right"/>
              <w:ind w:right="398"/>
              <w:spacing w:after="0"/>
              <w:rPr>
                <w:sz w:val="20"/>
                <w:szCs w:val="20"/>
                <w:color w:val="auto"/>
              </w:rPr>
            </w:pPr>
            <w:r>
              <w:rPr>
                <w:rFonts w:ascii="Arial" w:cs="Arial" w:eastAsia="Arial" w:hAnsi="Arial"/>
                <w:sz w:val="17"/>
                <w:szCs w:val="17"/>
                <w:color w:val="auto"/>
              </w:rPr>
              <w:t>582,746</w:t>
            </w:r>
          </w:p>
        </w:tc>
        <w:tc>
          <w:tcPr>
            <w:tcW w:w="1900" w:type="dxa"/>
            <w:vAlign w:val="bottom"/>
            <w:shd w:val="clear" w:color="auto" w:fill="EEEEEE"/>
          </w:tcPr>
          <w:p>
            <w:pPr>
              <w:jc w:val="right"/>
              <w:ind w:right="579"/>
              <w:spacing w:after="0"/>
              <w:rPr>
                <w:sz w:val="20"/>
                <w:szCs w:val="20"/>
                <w:color w:val="auto"/>
              </w:rPr>
            </w:pPr>
            <w:r>
              <w:rPr>
                <w:rFonts w:ascii="Arial" w:cs="Arial" w:eastAsia="Arial" w:hAnsi="Arial"/>
                <w:sz w:val="17"/>
                <w:szCs w:val="17"/>
                <w:color w:val="auto"/>
              </w:rPr>
              <w:t>1,365,553</w:t>
            </w:r>
          </w:p>
        </w:tc>
        <w:tc>
          <w:tcPr>
            <w:tcW w:w="12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4.58%</w:t>
            </w:r>
          </w:p>
        </w:tc>
        <w:tc>
          <w:tcPr>
            <w:tcW w:w="122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7"/>
                <w:szCs w:val="17"/>
                <w:color w:val="auto"/>
              </w:rPr>
              <w:t>H&amp;F International Partners III, L.P.</w:t>
            </w:r>
            <w:r>
              <w:rPr>
                <w:rFonts w:ascii="Arial" w:cs="Arial" w:eastAsia="Arial" w:hAnsi="Arial"/>
                <w:sz w:val="28"/>
                <w:szCs w:val="28"/>
                <w:color w:val="auto"/>
                <w:vertAlign w:val="superscript"/>
              </w:rPr>
              <w:t>(1)</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580,715</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173,695</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407,020</w:t>
            </w:r>
          </w:p>
        </w:tc>
        <w:tc>
          <w:tcPr>
            <w:tcW w:w="1280" w:type="dxa"/>
            <w:vAlign w:val="bottom"/>
          </w:tcPr>
          <w:p>
            <w:pPr>
              <w:jc w:val="right"/>
              <w:ind w:right="319"/>
              <w:spacing w:after="0"/>
              <w:rPr>
                <w:sz w:val="20"/>
                <w:szCs w:val="20"/>
                <w:color w:val="auto"/>
              </w:rPr>
            </w:pPr>
            <w:r>
              <w:rPr>
                <w:rFonts w:ascii="Arial" w:cs="Arial" w:eastAsia="Arial" w:hAnsi="Arial"/>
                <w:sz w:val="17"/>
                <w:szCs w:val="17"/>
                <w:color w:val="auto"/>
              </w:rPr>
              <w:t>1.36%</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7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Directors and Executive Officers:</w:t>
            </w:r>
          </w:p>
        </w:tc>
        <w:tc>
          <w:tcPr>
            <w:tcW w:w="15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spacing w:after="0" w:line="251" w:lineRule="exact"/>
              <w:rPr>
                <w:sz w:val="20"/>
                <w:szCs w:val="20"/>
                <w:color w:val="auto"/>
              </w:rPr>
            </w:pPr>
            <w:r>
              <w:rPr>
                <w:rFonts w:ascii="Arial" w:cs="Arial" w:eastAsia="Arial" w:hAnsi="Arial"/>
                <w:sz w:val="17"/>
                <w:szCs w:val="17"/>
                <w:color w:val="auto"/>
              </w:rPr>
              <w:t>David R. Tunnell</w:t>
            </w:r>
            <w:r>
              <w:rPr>
                <w:rFonts w:ascii="Arial" w:cs="Arial" w:eastAsia="Arial" w:hAnsi="Arial"/>
                <w:sz w:val="28"/>
                <w:szCs w:val="28"/>
                <w:color w:val="auto"/>
                <w:vertAlign w:val="superscript"/>
              </w:rPr>
              <w:t>(2)</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29,035,745</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8,684,733</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20,351,012</w:t>
            </w:r>
          </w:p>
        </w:tc>
        <w:tc>
          <w:tcPr>
            <w:tcW w:w="1280" w:type="dxa"/>
            <w:vAlign w:val="bottom"/>
          </w:tcPr>
          <w:p>
            <w:pPr>
              <w:jc w:val="right"/>
              <w:ind w:right="319"/>
              <w:spacing w:after="0"/>
              <w:rPr>
                <w:sz w:val="20"/>
                <w:szCs w:val="20"/>
                <w:color w:val="auto"/>
              </w:rPr>
            </w:pPr>
            <w:r>
              <w:rPr>
                <w:rFonts w:ascii="Arial" w:cs="Arial" w:eastAsia="Arial" w:hAnsi="Arial"/>
                <w:sz w:val="17"/>
                <w:szCs w:val="17"/>
                <w:color w:val="auto"/>
              </w:rPr>
              <w:t>68.24%</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47.83%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Robert J. Sywolski</w:t>
            </w:r>
            <w:r>
              <w:rPr>
                <w:rFonts w:ascii="Arial" w:cs="Arial" w:eastAsia="Arial" w:hAnsi="Arial"/>
                <w:sz w:val="28"/>
                <w:szCs w:val="28"/>
                <w:color w:val="auto"/>
                <w:vertAlign w:val="superscript"/>
              </w:rPr>
              <w:t>(3)</w:t>
            </w:r>
          </w:p>
        </w:tc>
        <w:tc>
          <w:tcPr>
            <w:tcW w:w="152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3,524,244</w:t>
            </w:r>
          </w:p>
        </w:tc>
        <w:tc>
          <w:tcPr>
            <w:tcW w:w="1780" w:type="dxa"/>
            <w:vAlign w:val="bottom"/>
            <w:shd w:val="clear" w:color="auto" w:fill="EEEEEE"/>
          </w:tcPr>
          <w:p>
            <w:pPr>
              <w:jc w:val="right"/>
              <w:ind w:right="398"/>
              <w:spacing w:after="0"/>
              <w:rPr>
                <w:sz w:val="20"/>
                <w:szCs w:val="20"/>
                <w:color w:val="auto"/>
              </w:rPr>
            </w:pPr>
            <w:r>
              <w:rPr>
                <w:rFonts w:ascii="Arial" w:cs="Arial" w:eastAsia="Arial" w:hAnsi="Arial"/>
                <w:sz w:val="17"/>
                <w:szCs w:val="17"/>
                <w:color w:val="auto"/>
              </w:rPr>
              <w:t>692,706</w:t>
            </w:r>
          </w:p>
        </w:tc>
        <w:tc>
          <w:tcPr>
            <w:tcW w:w="1900" w:type="dxa"/>
            <w:vAlign w:val="bottom"/>
            <w:shd w:val="clear" w:color="auto" w:fill="EEEEEE"/>
          </w:tcPr>
          <w:p>
            <w:pPr>
              <w:jc w:val="right"/>
              <w:ind w:right="299"/>
              <w:spacing w:after="0"/>
              <w:rPr>
                <w:sz w:val="20"/>
                <w:szCs w:val="20"/>
                <w:color w:val="auto"/>
              </w:rPr>
            </w:pPr>
            <w:r>
              <w:rPr>
                <w:rFonts w:ascii="Arial" w:cs="Arial" w:eastAsia="Arial" w:hAnsi="Arial"/>
                <w:sz w:val="17"/>
                <w:szCs w:val="17"/>
                <w:color w:val="auto"/>
              </w:rPr>
              <w:t>2,460,030(11)</w:t>
            </w:r>
          </w:p>
        </w:tc>
        <w:tc>
          <w:tcPr>
            <w:tcW w:w="12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7.65%</w:t>
            </w:r>
          </w:p>
        </w:tc>
        <w:tc>
          <w:tcPr>
            <w:tcW w:w="122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spacing w:after="0" w:line="251" w:lineRule="exact"/>
              <w:rPr>
                <w:sz w:val="20"/>
                <w:szCs w:val="20"/>
                <w:color w:val="auto"/>
              </w:rPr>
            </w:pPr>
            <w:r>
              <w:rPr>
                <w:rFonts w:ascii="Arial" w:cs="Arial" w:eastAsia="Arial" w:hAnsi="Arial"/>
                <w:sz w:val="17"/>
                <w:szCs w:val="17"/>
                <w:color w:val="auto"/>
              </w:rPr>
              <w:t>Paul V. Barber</w:t>
            </w:r>
            <w:r>
              <w:rPr>
                <w:rFonts w:ascii="Arial" w:cs="Arial" w:eastAsia="Arial" w:hAnsi="Arial"/>
                <w:sz w:val="28"/>
                <w:szCs w:val="28"/>
                <w:color w:val="auto"/>
                <w:vertAlign w:val="superscript"/>
              </w:rPr>
              <w:t>(4)</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2,081,415</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622,561</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1,458,854</w:t>
            </w:r>
          </w:p>
        </w:tc>
        <w:tc>
          <w:tcPr>
            <w:tcW w:w="1280" w:type="dxa"/>
            <w:vAlign w:val="bottom"/>
          </w:tcPr>
          <w:p>
            <w:pPr>
              <w:jc w:val="right"/>
              <w:ind w:right="319"/>
              <w:spacing w:after="0"/>
              <w:rPr>
                <w:sz w:val="20"/>
                <w:szCs w:val="20"/>
                <w:color w:val="auto"/>
              </w:rPr>
            </w:pPr>
            <w:r>
              <w:rPr>
                <w:rFonts w:ascii="Arial" w:cs="Arial" w:eastAsia="Arial" w:hAnsi="Arial"/>
                <w:sz w:val="17"/>
                <w:szCs w:val="17"/>
                <w:color w:val="auto"/>
              </w:rPr>
              <w:t>4.89%</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Timothy V. Williams</w:t>
            </w:r>
            <w:r>
              <w:rPr>
                <w:rFonts w:ascii="Arial" w:cs="Arial" w:eastAsia="Arial" w:hAnsi="Arial"/>
                <w:sz w:val="28"/>
                <w:szCs w:val="28"/>
                <w:color w:val="auto"/>
                <w:vertAlign w:val="superscript"/>
              </w:rPr>
              <w:t>(5)</w:t>
            </w:r>
          </w:p>
        </w:tc>
        <w:tc>
          <w:tcPr>
            <w:tcW w:w="152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625,000</w:t>
            </w:r>
          </w:p>
        </w:tc>
        <w:tc>
          <w:tcPr>
            <w:tcW w:w="1780" w:type="dxa"/>
            <w:vAlign w:val="bottom"/>
            <w:shd w:val="clear" w:color="auto" w:fill="EEEEEE"/>
          </w:tcPr>
          <w:p>
            <w:pPr>
              <w:jc w:val="right"/>
              <w:ind w:right="398"/>
              <w:spacing w:after="0"/>
              <w:rPr>
                <w:sz w:val="20"/>
                <w:szCs w:val="20"/>
                <w:color w:val="auto"/>
              </w:rPr>
            </w:pPr>
            <w:r>
              <w:rPr>
                <w:rFonts w:ascii="Arial" w:cs="Arial" w:eastAsia="Arial" w:hAnsi="Arial"/>
                <w:sz w:val="17"/>
                <w:szCs w:val="17"/>
                <w:color w:val="auto"/>
              </w:rPr>
              <w:t>0</w:t>
            </w:r>
          </w:p>
        </w:tc>
        <w:tc>
          <w:tcPr>
            <w:tcW w:w="1900" w:type="dxa"/>
            <w:vAlign w:val="bottom"/>
            <w:shd w:val="clear" w:color="auto" w:fill="EEEEEE"/>
          </w:tcPr>
          <w:p>
            <w:pPr>
              <w:jc w:val="right"/>
              <w:ind w:right="579"/>
              <w:spacing w:after="0"/>
              <w:rPr>
                <w:sz w:val="20"/>
                <w:szCs w:val="20"/>
                <w:color w:val="auto"/>
              </w:rPr>
            </w:pPr>
            <w:r>
              <w:rPr>
                <w:rFonts w:ascii="Arial" w:cs="Arial" w:eastAsia="Arial" w:hAnsi="Arial"/>
                <w:sz w:val="17"/>
                <w:szCs w:val="17"/>
                <w:color w:val="auto"/>
              </w:rPr>
              <w:t>625,000</w:t>
            </w:r>
          </w:p>
        </w:tc>
        <w:tc>
          <w:tcPr>
            <w:tcW w:w="128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1.45%</w:t>
            </w:r>
          </w:p>
        </w:tc>
        <w:tc>
          <w:tcPr>
            <w:tcW w:w="122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spacing w:after="0" w:line="251" w:lineRule="exact"/>
              <w:rPr>
                <w:sz w:val="20"/>
                <w:szCs w:val="20"/>
                <w:color w:val="auto"/>
              </w:rPr>
            </w:pPr>
            <w:r>
              <w:rPr>
                <w:rFonts w:ascii="Arial" w:cs="Arial" w:eastAsia="Arial" w:hAnsi="Arial"/>
                <w:sz w:val="17"/>
                <w:szCs w:val="17"/>
                <w:color w:val="auto"/>
              </w:rPr>
              <w:t>Louis J. Attanasi</w:t>
            </w:r>
            <w:r>
              <w:rPr>
                <w:rFonts w:ascii="Arial" w:cs="Arial" w:eastAsia="Arial" w:hAnsi="Arial"/>
                <w:sz w:val="28"/>
                <w:szCs w:val="28"/>
                <w:color w:val="auto"/>
                <w:vertAlign w:val="superscript"/>
              </w:rPr>
              <w:t>(6)</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384,170</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0</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384,170</w:t>
            </w:r>
          </w:p>
        </w:tc>
        <w:tc>
          <w:tcPr>
            <w:tcW w:w="1280" w:type="dxa"/>
            <w:vAlign w:val="bottom"/>
          </w:tcPr>
          <w:p>
            <w:pPr>
              <w:jc w:val="right"/>
              <w:ind w:right="459"/>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Gerard J. Zink</w:t>
            </w:r>
            <w:r>
              <w:rPr>
                <w:rFonts w:ascii="Arial" w:cs="Arial" w:eastAsia="Arial" w:hAnsi="Arial"/>
                <w:sz w:val="28"/>
                <w:szCs w:val="28"/>
                <w:color w:val="auto"/>
                <w:vertAlign w:val="superscript"/>
              </w:rPr>
              <w:t>(7)</w:t>
            </w:r>
          </w:p>
        </w:tc>
        <w:tc>
          <w:tcPr>
            <w:tcW w:w="152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333,679</w:t>
            </w:r>
          </w:p>
        </w:tc>
        <w:tc>
          <w:tcPr>
            <w:tcW w:w="1780" w:type="dxa"/>
            <w:vAlign w:val="bottom"/>
            <w:shd w:val="clear" w:color="auto" w:fill="EEEEEE"/>
          </w:tcPr>
          <w:p>
            <w:pPr>
              <w:jc w:val="right"/>
              <w:ind w:right="398"/>
              <w:spacing w:after="0"/>
              <w:rPr>
                <w:sz w:val="20"/>
                <w:szCs w:val="20"/>
                <w:color w:val="auto"/>
              </w:rPr>
            </w:pPr>
            <w:r>
              <w:rPr>
                <w:rFonts w:ascii="Arial" w:cs="Arial" w:eastAsia="Arial" w:hAnsi="Arial"/>
                <w:sz w:val="17"/>
                <w:szCs w:val="17"/>
                <w:color w:val="auto"/>
              </w:rPr>
              <w:t>0</w:t>
            </w:r>
          </w:p>
        </w:tc>
        <w:tc>
          <w:tcPr>
            <w:tcW w:w="1900" w:type="dxa"/>
            <w:vAlign w:val="bottom"/>
            <w:shd w:val="clear" w:color="auto" w:fill="EEEEEE"/>
          </w:tcPr>
          <w:p>
            <w:pPr>
              <w:jc w:val="right"/>
              <w:ind w:right="579"/>
              <w:spacing w:after="0"/>
              <w:rPr>
                <w:sz w:val="20"/>
                <w:szCs w:val="20"/>
                <w:color w:val="auto"/>
              </w:rPr>
            </w:pPr>
            <w:r>
              <w:rPr>
                <w:rFonts w:ascii="Arial" w:cs="Arial" w:eastAsia="Arial" w:hAnsi="Arial"/>
                <w:sz w:val="17"/>
                <w:szCs w:val="17"/>
                <w:color w:val="auto"/>
              </w:rPr>
              <w:t>333,679</w:t>
            </w:r>
          </w:p>
        </w:tc>
        <w:tc>
          <w:tcPr>
            <w:tcW w:w="1280" w:type="dxa"/>
            <w:vAlign w:val="bottom"/>
            <w:shd w:val="clear" w:color="auto" w:fill="EEEEEE"/>
          </w:tcPr>
          <w:p>
            <w:pPr>
              <w:jc w:val="right"/>
              <w:ind w:right="459"/>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tcPr>
          <w:p>
            <w:pPr>
              <w:spacing w:after="0" w:line="251" w:lineRule="exact"/>
              <w:rPr>
                <w:sz w:val="20"/>
                <w:szCs w:val="20"/>
                <w:color w:val="auto"/>
              </w:rPr>
            </w:pPr>
            <w:r>
              <w:rPr>
                <w:rFonts w:ascii="Arial" w:cs="Arial" w:eastAsia="Arial" w:hAnsi="Arial"/>
                <w:sz w:val="17"/>
                <w:szCs w:val="17"/>
                <w:color w:val="auto"/>
              </w:rPr>
              <w:t>Charles T. Cumbaa</w:t>
            </w:r>
            <w:r>
              <w:rPr>
                <w:rFonts w:ascii="Arial" w:cs="Arial" w:eastAsia="Arial" w:hAnsi="Arial"/>
                <w:sz w:val="28"/>
                <w:szCs w:val="28"/>
                <w:color w:val="auto"/>
                <w:vertAlign w:val="superscript"/>
              </w:rPr>
              <w:t>(5)</w:t>
            </w:r>
          </w:p>
        </w:tc>
        <w:tc>
          <w:tcPr>
            <w:tcW w:w="1520" w:type="dxa"/>
            <w:vAlign w:val="bottom"/>
          </w:tcPr>
          <w:p>
            <w:pPr>
              <w:jc w:val="right"/>
              <w:ind w:right="319"/>
              <w:spacing w:after="0"/>
              <w:rPr>
                <w:sz w:val="20"/>
                <w:szCs w:val="20"/>
                <w:color w:val="auto"/>
              </w:rPr>
            </w:pPr>
            <w:r>
              <w:rPr>
                <w:rFonts w:ascii="Arial" w:cs="Arial" w:eastAsia="Arial" w:hAnsi="Arial"/>
                <w:sz w:val="17"/>
                <w:szCs w:val="17"/>
                <w:color w:val="auto"/>
              </w:rPr>
              <w:t>250,000</w:t>
            </w:r>
          </w:p>
        </w:tc>
        <w:tc>
          <w:tcPr>
            <w:tcW w:w="1780" w:type="dxa"/>
            <w:vAlign w:val="bottom"/>
          </w:tcPr>
          <w:p>
            <w:pPr>
              <w:jc w:val="right"/>
              <w:ind w:right="398"/>
              <w:spacing w:after="0"/>
              <w:rPr>
                <w:sz w:val="20"/>
                <w:szCs w:val="20"/>
                <w:color w:val="auto"/>
              </w:rPr>
            </w:pPr>
            <w:r>
              <w:rPr>
                <w:rFonts w:ascii="Arial" w:cs="Arial" w:eastAsia="Arial" w:hAnsi="Arial"/>
                <w:sz w:val="17"/>
                <w:szCs w:val="17"/>
                <w:color w:val="auto"/>
              </w:rPr>
              <w:t>0</w:t>
            </w:r>
          </w:p>
        </w:tc>
        <w:tc>
          <w:tcPr>
            <w:tcW w:w="1900" w:type="dxa"/>
            <w:vAlign w:val="bottom"/>
          </w:tcPr>
          <w:p>
            <w:pPr>
              <w:jc w:val="right"/>
              <w:ind w:right="579"/>
              <w:spacing w:after="0"/>
              <w:rPr>
                <w:sz w:val="20"/>
                <w:szCs w:val="20"/>
                <w:color w:val="auto"/>
              </w:rPr>
            </w:pPr>
            <w:r>
              <w:rPr>
                <w:rFonts w:ascii="Arial" w:cs="Arial" w:eastAsia="Arial" w:hAnsi="Arial"/>
                <w:sz w:val="17"/>
                <w:szCs w:val="17"/>
                <w:color w:val="auto"/>
              </w:rPr>
              <w:t>250,000</w:t>
            </w:r>
          </w:p>
        </w:tc>
        <w:tc>
          <w:tcPr>
            <w:tcW w:w="1280" w:type="dxa"/>
            <w:vAlign w:val="bottom"/>
          </w:tcPr>
          <w:p>
            <w:pPr>
              <w:jc w:val="right"/>
              <w:ind w:right="459"/>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70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Edward M. Roshitsh</w:t>
            </w:r>
            <w:r>
              <w:rPr>
                <w:rFonts w:ascii="Arial" w:cs="Arial" w:eastAsia="Arial" w:hAnsi="Arial"/>
                <w:sz w:val="28"/>
                <w:szCs w:val="28"/>
                <w:color w:val="auto"/>
                <w:vertAlign w:val="superscript"/>
              </w:rPr>
              <w:t>(5)</w:t>
            </w:r>
          </w:p>
        </w:tc>
        <w:tc>
          <w:tcPr>
            <w:tcW w:w="1520" w:type="dxa"/>
            <w:vAlign w:val="bottom"/>
            <w:shd w:val="clear" w:color="auto" w:fill="EEEEEE"/>
          </w:tcPr>
          <w:p>
            <w:pPr>
              <w:jc w:val="right"/>
              <w:ind w:right="319"/>
              <w:spacing w:after="0"/>
              <w:rPr>
                <w:sz w:val="20"/>
                <w:szCs w:val="20"/>
                <w:color w:val="auto"/>
              </w:rPr>
            </w:pPr>
            <w:r>
              <w:rPr>
                <w:rFonts w:ascii="Arial" w:cs="Arial" w:eastAsia="Arial" w:hAnsi="Arial"/>
                <w:sz w:val="17"/>
                <w:szCs w:val="17"/>
                <w:color w:val="auto"/>
              </w:rPr>
              <w:t>250,000</w:t>
            </w:r>
          </w:p>
        </w:tc>
        <w:tc>
          <w:tcPr>
            <w:tcW w:w="1780" w:type="dxa"/>
            <w:vAlign w:val="bottom"/>
            <w:shd w:val="clear" w:color="auto" w:fill="EEEEEE"/>
          </w:tcPr>
          <w:p>
            <w:pPr>
              <w:jc w:val="right"/>
              <w:ind w:right="398"/>
              <w:spacing w:after="0"/>
              <w:rPr>
                <w:sz w:val="20"/>
                <w:szCs w:val="20"/>
                <w:color w:val="auto"/>
              </w:rPr>
            </w:pPr>
            <w:r>
              <w:rPr>
                <w:rFonts w:ascii="Arial" w:cs="Arial" w:eastAsia="Arial" w:hAnsi="Arial"/>
                <w:sz w:val="17"/>
                <w:szCs w:val="17"/>
                <w:color w:val="auto"/>
              </w:rPr>
              <w:t>0</w:t>
            </w:r>
          </w:p>
        </w:tc>
        <w:tc>
          <w:tcPr>
            <w:tcW w:w="1900" w:type="dxa"/>
            <w:vAlign w:val="bottom"/>
            <w:shd w:val="clear" w:color="auto" w:fill="EEEEEE"/>
          </w:tcPr>
          <w:p>
            <w:pPr>
              <w:jc w:val="right"/>
              <w:ind w:right="579"/>
              <w:spacing w:after="0"/>
              <w:rPr>
                <w:sz w:val="20"/>
                <w:szCs w:val="20"/>
                <w:color w:val="auto"/>
              </w:rPr>
            </w:pPr>
            <w:r>
              <w:rPr>
                <w:rFonts w:ascii="Arial" w:cs="Arial" w:eastAsia="Arial" w:hAnsi="Arial"/>
                <w:sz w:val="17"/>
                <w:szCs w:val="17"/>
                <w:color w:val="auto"/>
              </w:rPr>
              <w:t>250,000</w:t>
            </w:r>
          </w:p>
        </w:tc>
        <w:tc>
          <w:tcPr>
            <w:tcW w:w="1280" w:type="dxa"/>
            <w:vAlign w:val="bottom"/>
            <w:shd w:val="clear" w:color="auto" w:fill="EEEEEE"/>
          </w:tcPr>
          <w:p>
            <w:pPr>
              <w:jc w:val="right"/>
              <w:ind w:right="459"/>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jc w:val="right"/>
              <w:ind w:right="1138"/>
              <w:spacing w:after="0"/>
              <w:rPr>
                <w:sz w:val="20"/>
                <w:szCs w:val="20"/>
                <w:color w:val="auto"/>
              </w:rPr>
            </w:pPr>
            <w:r>
              <w:rPr>
                <w:rFonts w:ascii="Arial" w:cs="Arial" w:eastAsia="Arial" w:hAnsi="Arial"/>
                <w:sz w:val="17"/>
                <w:szCs w:val="17"/>
                <w:color w:val="auto"/>
              </w:rPr>
              <w:t>75</w:t>
            </w:r>
          </w:p>
        </w:tc>
        <w:tc>
          <w:tcPr>
            <w:tcW w:w="19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500" w:type="dxa"/>
            <w:vAlign w:val="bottom"/>
            <w:gridSpan w:val="2"/>
          </w:tcPr>
          <w:p>
            <w:pPr>
              <w:jc w:val="right"/>
              <w:ind w:right="576"/>
              <w:spacing w:after="0"/>
              <w:rPr>
                <w:sz w:val="20"/>
                <w:szCs w:val="20"/>
                <w:color w:val="auto"/>
              </w:rPr>
            </w:pPr>
            <w:r>
              <w:rPr>
                <w:rFonts w:ascii="Arial" w:cs="Arial" w:eastAsia="Arial" w:hAnsi="Arial"/>
                <w:sz w:val="13"/>
                <w:szCs w:val="13"/>
                <w:b w:val="1"/>
                <w:bCs w:val="1"/>
                <w:color w:val="auto"/>
              </w:rPr>
              <w:t>Percentage of shares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20" w:type="dxa"/>
            <w:vAlign w:val="bottom"/>
          </w:tcPr>
          <w:p>
            <w:pPr>
              <w:jc w:val="center"/>
              <w:ind w:right="78"/>
              <w:spacing w:after="0"/>
              <w:rPr>
                <w:sz w:val="20"/>
                <w:szCs w:val="20"/>
                <w:color w:val="auto"/>
              </w:rPr>
            </w:pPr>
            <w:r>
              <w:rPr>
                <w:rFonts w:ascii="Arial" w:cs="Arial" w:eastAsia="Arial" w:hAnsi="Arial"/>
                <w:sz w:val="13"/>
                <w:szCs w:val="13"/>
                <w:b w:val="1"/>
                <w:bCs w:val="1"/>
                <w:color w:val="auto"/>
                <w:w w:val="91"/>
              </w:rPr>
              <w:t>Beneficial</w:t>
            </w:r>
          </w:p>
        </w:tc>
        <w:tc>
          <w:tcPr>
            <w:tcW w:w="1740" w:type="dxa"/>
            <w:vAlign w:val="bottom"/>
          </w:tcPr>
          <w:p>
            <w:pPr>
              <w:spacing w:after="0"/>
              <w:rPr>
                <w:sz w:val="14"/>
                <w:szCs w:val="14"/>
                <w:color w:val="auto"/>
              </w:rPr>
            </w:pPr>
          </w:p>
        </w:tc>
        <w:tc>
          <w:tcPr>
            <w:tcW w:w="1820" w:type="dxa"/>
            <w:vAlign w:val="bottom"/>
          </w:tcPr>
          <w:p>
            <w:pPr>
              <w:jc w:val="center"/>
              <w:ind w:right="38"/>
              <w:spacing w:after="0"/>
              <w:rPr>
                <w:sz w:val="20"/>
                <w:szCs w:val="20"/>
                <w:color w:val="auto"/>
              </w:rPr>
            </w:pPr>
            <w:r>
              <w:rPr>
                <w:rFonts w:ascii="Arial" w:cs="Arial" w:eastAsia="Arial" w:hAnsi="Arial"/>
                <w:sz w:val="13"/>
                <w:szCs w:val="13"/>
                <w:b w:val="1"/>
                <w:bCs w:val="1"/>
                <w:color w:val="auto"/>
                <w:w w:val="87"/>
              </w:rPr>
              <w:t>Beneficial</w:t>
            </w:r>
          </w:p>
        </w:tc>
        <w:tc>
          <w:tcPr>
            <w:tcW w:w="2500" w:type="dxa"/>
            <w:vAlign w:val="bottom"/>
            <w:gridSpan w:val="2"/>
          </w:tcPr>
          <w:p>
            <w:pPr>
              <w:jc w:val="right"/>
              <w:ind w:right="636"/>
              <w:spacing w:after="0"/>
              <w:rPr>
                <w:sz w:val="20"/>
                <w:szCs w:val="20"/>
                <w:color w:val="auto"/>
              </w:rPr>
            </w:pPr>
            <w:r>
              <w:rPr>
                <w:rFonts w:ascii="Arial" w:cs="Arial" w:eastAsia="Arial" w:hAnsi="Arial"/>
                <w:sz w:val="13"/>
                <w:szCs w:val="13"/>
                <w:b w:val="1"/>
                <w:bCs w:val="1"/>
                <w:color w:val="auto"/>
              </w:rPr>
              <w:t>beneficially owned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720" w:type="dxa"/>
            <w:vAlign w:val="bottom"/>
            <w:vMerge w:val="restart"/>
          </w:tcPr>
          <w:p>
            <w:pPr>
              <w:jc w:val="center"/>
              <w:ind w:right="58"/>
              <w:spacing w:after="0"/>
              <w:rPr>
                <w:sz w:val="20"/>
                <w:szCs w:val="20"/>
                <w:color w:val="auto"/>
              </w:rPr>
            </w:pPr>
            <w:r>
              <w:rPr>
                <w:rFonts w:ascii="Arial" w:cs="Arial" w:eastAsia="Arial" w:hAnsi="Arial"/>
                <w:sz w:val="13"/>
                <w:szCs w:val="13"/>
                <w:b w:val="1"/>
                <w:bCs w:val="1"/>
                <w:color w:val="auto"/>
                <w:w w:val="89"/>
              </w:rPr>
              <w:t>ownership</w:t>
            </w:r>
          </w:p>
        </w:tc>
        <w:tc>
          <w:tcPr>
            <w:tcW w:w="17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820" w:type="dxa"/>
            <w:vAlign w:val="bottom"/>
            <w:vMerge w:val="restart"/>
          </w:tcPr>
          <w:p>
            <w:pPr>
              <w:jc w:val="center"/>
              <w:ind w:right="38"/>
              <w:spacing w:after="0"/>
              <w:rPr>
                <w:sz w:val="20"/>
                <w:szCs w:val="20"/>
                <w:color w:val="auto"/>
              </w:rPr>
            </w:pPr>
            <w:r>
              <w:rPr>
                <w:rFonts w:ascii="Arial" w:cs="Arial" w:eastAsia="Arial" w:hAnsi="Arial"/>
                <w:sz w:val="13"/>
                <w:szCs w:val="13"/>
                <w:b w:val="1"/>
                <w:bCs w:val="1"/>
                <w:color w:val="auto"/>
                <w:w w:val="89"/>
              </w:rPr>
              <w:t>ownership</w:t>
            </w: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6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740" w:type="dxa"/>
            <w:vAlign w:val="bottom"/>
            <w:vMerge w:val="continue"/>
          </w:tcPr>
          <w:p>
            <w:pPr>
              <w:spacing w:after="0"/>
              <w:rPr>
                <w:sz w:val="6"/>
                <w:szCs w:val="6"/>
                <w:color w:val="auto"/>
              </w:rPr>
            </w:pPr>
          </w:p>
        </w:tc>
        <w:tc>
          <w:tcPr>
            <w:tcW w:w="18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jc w:val="center"/>
              <w:ind w:right="78"/>
              <w:spacing w:after="0"/>
              <w:rPr>
                <w:sz w:val="20"/>
                <w:szCs w:val="20"/>
                <w:color w:val="auto"/>
              </w:rPr>
            </w:pPr>
            <w:r>
              <w:rPr>
                <w:rFonts w:ascii="Arial" w:cs="Arial" w:eastAsia="Arial" w:hAnsi="Arial"/>
                <w:sz w:val="13"/>
                <w:szCs w:val="13"/>
                <w:b w:val="1"/>
                <w:bCs w:val="1"/>
                <w:color w:val="auto"/>
                <w:w w:val="96"/>
              </w:rPr>
              <w:t>prior to</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92"/>
              </w:rPr>
              <w:t>registered</w:t>
            </w:r>
          </w:p>
        </w:tc>
        <w:tc>
          <w:tcPr>
            <w:tcW w:w="1820" w:type="dxa"/>
            <w:vAlign w:val="bottom"/>
          </w:tcPr>
          <w:p>
            <w:pPr>
              <w:jc w:val="center"/>
              <w:ind w:right="38"/>
              <w:spacing w:after="0"/>
              <w:rPr>
                <w:sz w:val="20"/>
                <w:szCs w:val="20"/>
                <w:color w:val="auto"/>
              </w:rPr>
            </w:pPr>
            <w:r>
              <w:rPr>
                <w:rFonts w:ascii="Arial" w:cs="Arial" w:eastAsia="Arial" w:hAnsi="Arial"/>
                <w:sz w:val="13"/>
                <w:szCs w:val="13"/>
                <w:b w:val="1"/>
                <w:bCs w:val="1"/>
                <w:color w:val="auto"/>
                <w:w w:val="97"/>
              </w:rPr>
              <w:t>after the</w:t>
            </w:r>
          </w:p>
        </w:tc>
        <w:tc>
          <w:tcPr>
            <w:tcW w:w="1280" w:type="dxa"/>
            <w:vAlign w:val="bottom"/>
          </w:tcPr>
          <w:p>
            <w:pPr>
              <w:jc w:val="right"/>
              <w:ind w:right="358"/>
              <w:spacing w:after="0"/>
              <w:rPr>
                <w:sz w:val="20"/>
                <w:szCs w:val="20"/>
                <w:color w:val="auto"/>
              </w:rPr>
            </w:pPr>
            <w:r>
              <w:rPr>
                <w:rFonts w:ascii="Arial" w:cs="Arial" w:eastAsia="Arial" w:hAnsi="Arial"/>
                <w:sz w:val="13"/>
                <w:szCs w:val="13"/>
                <w:b w:val="1"/>
                <w:bCs w:val="1"/>
                <w:color w:val="auto"/>
              </w:rPr>
              <w:t>Before the</w:t>
            </w:r>
          </w:p>
        </w:tc>
        <w:tc>
          <w:tcPr>
            <w:tcW w:w="1220" w:type="dxa"/>
            <w:vAlign w:val="bottom"/>
          </w:tcPr>
          <w:p>
            <w:pPr>
              <w:jc w:val="right"/>
              <w:ind w:right="236"/>
              <w:spacing w:after="0"/>
              <w:rPr>
                <w:sz w:val="20"/>
                <w:szCs w:val="20"/>
                <w:color w:val="auto"/>
              </w:rPr>
            </w:pPr>
            <w:r>
              <w:rPr>
                <w:rFonts w:ascii="Arial" w:cs="Arial" w:eastAsia="Arial" w:hAnsi="Arial"/>
                <w:sz w:val="13"/>
                <w:szCs w:val="13"/>
                <w:b w:val="1"/>
                <w:bCs w:val="1"/>
                <w:color w:val="auto"/>
              </w:rPr>
              <w:t>After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620" w:type="dxa"/>
            <w:vAlign w:val="bottom"/>
          </w:tcPr>
          <w:p>
            <w:pPr>
              <w:ind w:left="1520"/>
              <w:spacing w:after="0"/>
              <w:rPr>
                <w:sz w:val="20"/>
                <w:szCs w:val="20"/>
                <w:color w:val="auto"/>
              </w:rPr>
            </w:pPr>
            <w:r>
              <w:rPr>
                <w:rFonts w:ascii="Arial" w:cs="Arial" w:eastAsia="Arial" w:hAnsi="Arial"/>
                <w:sz w:val="13"/>
                <w:szCs w:val="13"/>
                <w:b w:val="1"/>
                <w:bCs w:val="1"/>
                <w:color w:val="auto"/>
              </w:rPr>
              <w:t>Name</w:t>
            </w:r>
          </w:p>
        </w:tc>
        <w:tc>
          <w:tcPr>
            <w:tcW w:w="1720" w:type="dxa"/>
            <w:vAlign w:val="bottom"/>
          </w:tcPr>
          <w:p>
            <w:pPr>
              <w:jc w:val="center"/>
              <w:ind w:right="58"/>
              <w:spacing w:after="0"/>
              <w:rPr>
                <w:sz w:val="20"/>
                <w:szCs w:val="20"/>
                <w:color w:val="auto"/>
              </w:rPr>
            </w:pPr>
            <w:r>
              <w:rPr>
                <w:rFonts w:ascii="Arial" w:cs="Arial" w:eastAsia="Arial" w:hAnsi="Arial"/>
                <w:sz w:val="13"/>
                <w:szCs w:val="13"/>
                <w:b w:val="1"/>
                <w:bCs w:val="1"/>
                <w:color w:val="auto"/>
                <w:w w:val="92"/>
              </w:rPr>
              <w:t>the offering</w:t>
            </w:r>
          </w:p>
        </w:tc>
        <w:tc>
          <w:tcPr>
            <w:tcW w:w="1740" w:type="dxa"/>
            <w:vAlign w:val="bottom"/>
          </w:tcPr>
          <w:p>
            <w:pPr>
              <w:jc w:val="center"/>
              <w:spacing w:after="0"/>
              <w:rPr>
                <w:sz w:val="20"/>
                <w:szCs w:val="20"/>
                <w:color w:val="auto"/>
              </w:rPr>
            </w:pPr>
            <w:r>
              <w:rPr>
                <w:rFonts w:ascii="Arial" w:cs="Arial" w:eastAsia="Arial" w:hAnsi="Arial"/>
                <w:sz w:val="13"/>
                <w:szCs w:val="13"/>
                <w:b w:val="1"/>
                <w:bCs w:val="1"/>
                <w:color w:val="auto"/>
                <w:w w:val="87"/>
              </w:rPr>
              <w:t>to be sold</w:t>
            </w:r>
          </w:p>
        </w:tc>
        <w:tc>
          <w:tcPr>
            <w:tcW w:w="1820" w:type="dxa"/>
            <w:vAlign w:val="bottom"/>
          </w:tcPr>
          <w:p>
            <w:pPr>
              <w:jc w:val="center"/>
              <w:ind w:right="38"/>
              <w:spacing w:after="0"/>
              <w:rPr>
                <w:sz w:val="20"/>
                <w:szCs w:val="20"/>
                <w:color w:val="auto"/>
              </w:rPr>
            </w:pPr>
            <w:r>
              <w:rPr>
                <w:rFonts w:ascii="Arial" w:cs="Arial" w:eastAsia="Arial" w:hAnsi="Arial"/>
                <w:sz w:val="13"/>
                <w:szCs w:val="13"/>
                <w:b w:val="1"/>
                <w:bCs w:val="1"/>
                <w:color w:val="auto"/>
                <w:w w:val="94"/>
              </w:rPr>
              <w:t>offering</w:t>
            </w:r>
          </w:p>
        </w:tc>
        <w:tc>
          <w:tcPr>
            <w:tcW w:w="1280" w:type="dxa"/>
            <w:vAlign w:val="bottom"/>
          </w:tcPr>
          <w:p>
            <w:pPr>
              <w:jc w:val="right"/>
              <w:ind w:right="418"/>
              <w:spacing w:after="0"/>
              <w:rPr>
                <w:sz w:val="20"/>
                <w:szCs w:val="20"/>
                <w:color w:val="auto"/>
              </w:rPr>
            </w:pPr>
            <w:r>
              <w:rPr>
                <w:rFonts w:ascii="Arial" w:cs="Arial" w:eastAsia="Arial" w:hAnsi="Arial"/>
                <w:sz w:val="13"/>
                <w:szCs w:val="13"/>
                <w:b w:val="1"/>
                <w:bCs w:val="1"/>
                <w:color w:val="auto"/>
              </w:rPr>
              <w:t>offering</w:t>
            </w:r>
          </w:p>
        </w:tc>
        <w:tc>
          <w:tcPr>
            <w:tcW w:w="1220" w:type="dxa"/>
            <w:vAlign w:val="bottom"/>
          </w:tcPr>
          <w:p>
            <w:pPr>
              <w:jc w:val="right"/>
              <w:ind w:right="256"/>
              <w:spacing w:after="0"/>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0" w:type="dxa"/>
            <w:vAlign w:val="bottom"/>
            <w:vMerge w:val="continue"/>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Christopher R. Todd</w:t>
            </w:r>
            <w:r>
              <w:rPr>
                <w:rFonts w:ascii="Arial" w:cs="Arial" w:eastAsia="Arial" w:hAnsi="Arial"/>
                <w:sz w:val="28"/>
                <w:szCs w:val="28"/>
                <w:color w:val="auto"/>
                <w:vertAlign w:val="superscript"/>
              </w:rPr>
              <w:t>(5)</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221,713</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221,713</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Germaine M. Ward</w:t>
            </w:r>
            <w:r>
              <w:rPr>
                <w:rFonts w:ascii="Arial" w:cs="Arial" w:eastAsia="Arial" w:hAnsi="Arial"/>
                <w:sz w:val="28"/>
                <w:szCs w:val="28"/>
                <w:color w:val="auto"/>
                <w:vertAlign w:val="superscript"/>
              </w:rPr>
              <w:t>(5)</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125,000</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125,000</w:t>
            </w:r>
          </w:p>
        </w:tc>
        <w:tc>
          <w:tcPr>
            <w:tcW w:w="128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Heidi H. Strenck</w:t>
            </w:r>
            <w:r>
              <w:rPr>
                <w:rFonts w:ascii="Arial" w:cs="Arial" w:eastAsia="Arial" w:hAnsi="Arial"/>
                <w:sz w:val="28"/>
                <w:szCs w:val="28"/>
                <w:color w:val="auto"/>
                <w:vertAlign w:val="superscript"/>
              </w:rPr>
              <w:t>(5)</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112,297</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112,297</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Laura W. Kennedy</w:t>
            </w:r>
            <w:r>
              <w:rPr>
                <w:rFonts w:ascii="Arial" w:cs="Arial" w:eastAsia="Arial" w:hAnsi="Arial"/>
                <w:sz w:val="28"/>
                <w:szCs w:val="28"/>
                <w:color w:val="auto"/>
                <w:vertAlign w:val="superscript"/>
              </w:rPr>
              <w:t>(5)</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110,433</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110,433</w:t>
            </w:r>
          </w:p>
        </w:tc>
        <w:tc>
          <w:tcPr>
            <w:tcW w:w="128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Anthony J. Powell</w:t>
            </w:r>
            <w:r>
              <w:rPr>
                <w:rFonts w:ascii="Arial" w:cs="Arial" w:eastAsia="Arial" w:hAnsi="Arial"/>
                <w:sz w:val="28"/>
                <w:szCs w:val="28"/>
                <w:color w:val="auto"/>
                <w:vertAlign w:val="superscript"/>
              </w:rPr>
              <w:t>(5)</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96,951</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96,951</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Richard S. Braddock</w:t>
            </w:r>
            <w:r>
              <w:rPr>
                <w:rFonts w:ascii="Arial" w:cs="Arial" w:eastAsia="Arial" w:hAnsi="Arial"/>
                <w:sz w:val="28"/>
                <w:szCs w:val="28"/>
                <w:color w:val="auto"/>
                <w:vertAlign w:val="superscript"/>
              </w:rPr>
              <w:t>(5)</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62,500</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62,500</w:t>
            </w:r>
          </w:p>
        </w:tc>
        <w:tc>
          <w:tcPr>
            <w:tcW w:w="128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Andrew L. Howell</w:t>
            </w:r>
            <w:r>
              <w:rPr>
                <w:rFonts w:ascii="Arial" w:cs="Arial" w:eastAsia="Arial" w:hAnsi="Arial"/>
                <w:sz w:val="28"/>
                <w:szCs w:val="28"/>
                <w:color w:val="auto"/>
                <w:vertAlign w:val="superscript"/>
              </w:rPr>
              <w:t>(5)</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46,875</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46,875</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Dr. Sandra R. Hernandez</w:t>
            </w:r>
            <w:r>
              <w:rPr>
                <w:rFonts w:ascii="Arial" w:cs="Arial" w:eastAsia="Arial" w:hAnsi="Arial"/>
                <w:sz w:val="28"/>
                <w:szCs w:val="28"/>
                <w:color w:val="auto"/>
                <w:vertAlign w:val="superscript"/>
              </w:rPr>
              <w:t>(5)</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12,500</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12,500</w:t>
            </w:r>
          </w:p>
        </w:tc>
        <w:tc>
          <w:tcPr>
            <w:tcW w:w="128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Andrew M. Leitch</w:t>
            </w:r>
            <w:r>
              <w:rPr>
                <w:rFonts w:ascii="Arial" w:cs="Arial" w:eastAsia="Arial" w:hAnsi="Arial"/>
                <w:sz w:val="28"/>
                <w:szCs w:val="28"/>
                <w:color w:val="auto"/>
                <w:vertAlign w:val="superscript"/>
              </w:rPr>
              <w:t>(5)</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4,425</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4,425</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Marco W. Hellman</w:t>
            </w:r>
            <w:r>
              <w:rPr>
                <w:rFonts w:ascii="Arial" w:cs="Arial" w:eastAsia="Arial" w:hAnsi="Arial"/>
                <w:sz w:val="28"/>
                <w:szCs w:val="28"/>
                <w:color w:val="auto"/>
                <w:vertAlign w:val="superscript"/>
              </w:rPr>
              <w:t>(8)</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0</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0</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0</w:t>
            </w:r>
          </w:p>
        </w:tc>
        <w:tc>
          <w:tcPr>
            <w:tcW w:w="1280" w:type="dxa"/>
            <w:vAlign w:val="bottom"/>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EEEEEE"/>
          </w:tcPr>
          <w:p>
            <w:pPr>
              <w:spacing w:after="0"/>
              <w:rPr>
                <w:sz w:val="20"/>
                <w:szCs w:val="20"/>
                <w:color w:val="auto"/>
              </w:rPr>
            </w:pPr>
            <w:r>
              <w:rPr>
                <w:rFonts w:ascii="Arial" w:cs="Arial" w:eastAsia="Arial" w:hAnsi="Arial"/>
                <w:sz w:val="17"/>
                <w:szCs w:val="17"/>
                <w:color w:val="auto"/>
              </w:rPr>
              <w:t>All executive officers and directors as a group</w:t>
            </w:r>
          </w:p>
        </w:tc>
        <w:tc>
          <w:tcPr>
            <w:tcW w:w="1720" w:type="dxa"/>
            <w:vAlign w:val="bottom"/>
            <w:shd w:val="clear" w:color="auto" w:fill="EEEEEE"/>
          </w:tcPr>
          <w:p>
            <w:pPr>
              <w:spacing w:after="0"/>
              <w:rPr>
                <w:sz w:val="17"/>
                <w:szCs w:val="17"/>
                <w:color w:val="auto"/>
              </w:rPr>
            </w:pPr>
          </w:p>
        </w:tc>
        <w:tc>
          <w:tcPr>
            <w:tcW w:w="1740" w:type="dxa"/>
            <w:vAlign w:val="bottom"/>
            <w:shd w:val="clear" w:color="auto" w:fill="EEEEEE"/>
          </w:tcPr>
          <w:p>
            <w:pPr>
              <w:spacing w:after="0"/>
              <w:rPr>
                <w:sz w:val="17"/>
                <w:szCs w:val="17"/>
                <w:color w:val="auto"/>
              </w:rPr>
            </w:pPr>
          </w:p>
        </w:tc>
        <w:tc>
          <w:tcPr>
            <w:tcW w:w="182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6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(18 people)</w:t>
            </w:r>
            <w:r>
              <w:rPr>
                <w:rFonts w:ascii="Arial" w:cs="Arial" w:eastAsia="Arial" w:hAnsi="Arial"/>
                <w:sz w:val="28"/>
                <w:szCs w:val="28"/>
                <w:color w:val="auto"/>
                <w:vertAlign w:val="superscript"/>
              </w:rPr>
              <w:t>(9)</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37,276,947</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10,000,000</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26,905,439</w:t>
            </w:r>
          </w:p>
        </w:tc>
        <w:tc>
          <w:tcPr>
            <w:tcW w:w="1280" w:type="dxa"/>
            <w:vAlign w:val="bottom"/>
            <w:shd w:val="clear" w:color="auto" w:fill="EEEEEE"/>
          </w:tcPr>
          <w:p>
            <w:pPr>
              <w:jc w:val="right"/>
              <w:ind w:right="318"/>
              <w:spacing w:after="0"/>
              <w:rPr>
                <w:sz w:val="20"/>
                <w:szCs w:val="20"/>
                <w:color w:val="auto"/>
              </w:rPr>
            </w:pPr>
            <w:r>
              <w:rPr>
                <w:rFonts w:ascii="Arial" w:cs="Arial" w:eastAsia="Arial" w:hAnsi="Arial"/>
                <w:sz w:val="17"/>
                <w:szCs w:val="17"/>
                <w:color w:val="auto"/>
              </w:rPr>
              <w:t>76.93%</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55.53%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620" w:type="dxa"/>
            <w:vAlign w:val="bottom"/>
            <w:shd w:val="clear" w:color="auto" w:fill="EEEEEE"/>
          </w:tcPr>
          <w:p>
            <w:pPr>
              <w:spacing w:after="0"/>
              <w:rPr>
                <w:sz w:val="8"/>
                <w:szCs w:val="8"/>
                <w:color w:val="auto"/>
              </w:rPr>
            </w:pPr>
          </w:p>
        </w:tc>
        <w:tc>
          <w:tcPr>
            <w:tcW w:w="1720" w:type="dxa"/>
            <w:vAlign w:val="bottom"/>
            <w:shd w:val="clear" w:color="auto" w:fill="EEEEEE"/>
          </w:tcPr>
          <w:p>
            <w:pPr>
              <w:spacing w:after="0"/>
              <w:rPr>
                <w:sz w:val="8"/>
                <w:szCs w:val="8"/>
                <w:color w:val="auto"/>
              </w:rPr>
            </w:pPr>
          </w:p>
        </w:tc>
        <w:tc>
          <w:tcPr>
            <w:tcW w:w="1740" w:type="dxa"/>
            <w:vAlign w:val="bottom"/>
            <w:shd w:val="clear" w:color="auto" w:fill="EEEEEE"/>
          </w:tcPr>
          <w:p>
            <w:pPr>
              <w:spacing w:after="0"/>
              <w:rPr>
                <w:sz w:val="8"/>
                <w:szCs w:val="8"/>
                <w:color w:val="auto"/>
              </w:rPr>
            </w:pPr>
          </w:p>
        </w:tc>
        <w:tc>
          <w:tcPr>
            <w:tcW w:w="182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1220" w:type="dxa"/>
            <w:vAlign w:val="bottom"/>
            <w:shd w:val="clear" w:color="auto" w:fill="EEEEE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b w:val="1"/>
                <w:bCs w:val="1"/>
                <w:color w:val="auto"/>
              </w:rPr>
              <w:t>Other selling stockholders</w:t>
            </w:r>
          </w:p>
        </w:tc>
        <w:tc>
          <w:tcPr>
            <w:tcW w:w="1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JMI Equity Fund IV, L.P.</w:t>
            </w:r>
            <w:r>
              <w:rPr>
                <w:rFonts w:ascii="Arial" w:cs="Arial" w:eastAsia="Arial" w:hAnsi="Arial"/>
                <w:sz w:val="28"/>
                <w:szCs w:val="28"/>
                <w:color w:val="auto"/>
                <w:vertAlign w:val="superscript"/>
              </w:rPr>
              <w:t>(10)</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1,462,268</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437,371</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1,024,897</w:t>
            </w:r>
          </w:p>
        </w:tc>
        <w:tc>
          <w:tcPr>
            <w:tcW w:w="1280" w:type="dxa"/>
            <w:vAlign w:val="bottom"/>
            <w:shd w:val="clear" w:color="auto" w:fill="EEEEEE"/>
          </w:tcPr>
          <w:p>
            <w:pPr>
              <w:jc w:val="right"/>
              <w:ind w:right="318"/>
              <w:spacing w:after="0"/>
              <w:rPr>
                <w:sz w:val="20"/>
                <w:szCs w:val="20"/>
                <w:color w:val="auto"/>
              </w:rPr>
            </w:pPr>
            <w:r>
              <w:rPr>
                <w:rFonts w:ascii="Arial" w:cs="Arial" w:eastAsia="Arial" w:hAnsi="Arial"/>
                <w:sz w:val="17"/>
                <w:szCs w:val="17"/>
                <w:color w:val="auto"/>
              </w:rPr>
              <w:t>3.44%</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tcPr>
          <w:p>
            <w:pPr>
              <w:spacing w:after="0" w:line="251" w:lineRule="exact"/>
              <w:rPr>
                <w:sz w:val="20"/>
                <w:szCs w:val="20"/>
                <w:color w:val="auto"/>
              </w:rPr>
            </w:pPr>
            <w:r>
              <w:rPr>
                <w:rFonts w:ascii="Arial" w:cs="Arial" w:eastAsia="Arial" w:hAnsi="Arial"/>
                <w:sz w:val="17"/>
                <w:szCs w:val="17"/>
                <w:color w:val="auto"/>
              </w:rPr>
              <w:t>JMI Euro Equity Fund IV, L.P.</w:t>
            </w:r>
            <w:r>
              <w:rPr>
                <w:rFonts w:ascii="Arial" w:cs="Arial" w:eastAsia="Arial" w:hAnsi="Arial"/>
                <w:sz w:val="28"/>
                <w:szCs w:val="28"/>
                <w:color w:val="auto"/>
                <w:vertAlign w:val="superscript"/>
              </w:rPr>
              <w:t>(10)</w:t>
            </w:r>
          </w:p>
        </w:tc>
        <w:tc>
          <w:tcPr>
            <w:tcW w:w="1720" w:type="dxa"/>
            <w:vAlign w:val="bottom"/>
          </w:tcPr>
          <w:p>
            <w:pPr>
              <w:jc w:val="right"/>
              <w:ind w:right="418"/>
              <w:spacing w:after="0"/>
              <w:rPr>
                <w:sz w:val="20"/>
                <w:szCs w:val="20"/>
                <w:color w:val="auto"/>
              </w:rPr>
            </w:pPr>
            <w:r>
              <w:rPr>
                <w:rFonts w:ascii="Arial" w:cs="Arial" w:eastAsia="Arial" w:hAnsi="Arial"/>
                <w:sz w:val="17"/>
                <w:szCs w:val="17"/>
                <w:color w:val="auto"/>
              </w:rPr>
              <w:t>466,924</w:t>
            </w:r>
          </w:p>
        </w:tc>
        <w:tc>
          <w:tcPr>
            <w:tcW w:w="1740" w:type="dxa"/>
            <w:vAlign w:val="bottom"/>
          </w:tcPr>
          <w:p>
            <w:pPr>
              <w:jc w:val="right"/>
              <w:ind w:right="377"/>
              <w:spacing w:after="0"/>
              <w:rPr>
                <w:sz w:val="20"/>
                <w:szCs w:val="20"/>
                <w:color w:val="auto"/>
              </w:rPr>
            </w:pPr>
            <w:r>
              <w:rPr>
                <w:rFonts w:ascii="Arial" w:cs="Arial" w:eastAsia="Arial" w:hAnsi="Arial"/>
                <w:sz w:val="17"/>
                <w:szCs w:val="17"/>
                <w:color w:val="auto"/>
              </w:rPr>
              <w:t>139,659</w:t>
            </w:r>
          </w:p>
        </w:tc>
        <w:tc>
          <w:tcPr>
            <w:tcW w:w="1820" w:type="dxa"/>
            <w:vAlign w:val="bottom"/>
          </w:tcPr>
          <w:p>
            <w:pPr>
              <w:jc w:val="right"/>
              <w:ind w:right="498"/>
              <w:spacing w:after="0"/>
              <w:rPr>
                <w:sz w:val="20"/>
                <w:szCs w:val="20"/>
                <w:color w:val="auto"/>
              </w:rPr>
            </w:pPr>
            <w:r>
              <w:rPr>
                <w:rFonts w:ascii="Arial" w:cs="Arial" w:eastAsia="Arial" w:hAnsi="Arial"/>
                <w:sz w:val="17"/>
                <w:szCs w:val="17"/>
                <w:color w:val="auto"/>
              </w:rPr>
              <w:t>327,265</w:t>
            </w:r>
          </w:p>
        </w:tc>
        <w:tc>
          <w:tcPr>
            <w:tcW w:w="1280" w:type="dxa"/>
            <w:vAlign w:val="bottom"/>
          </w:tcPr>
          <w:p>
            <w:pPr>
              <w:jc w:val="right"/>
              <w:ind w:right="318"/>
              <w:spacing w:after="0"/>
              <w:rPr>
                <w:sz w:val="20"/>
                <w:szCs w:val="20"/>
                <w:color w:val="auto"/>
              </w:rPr>
            </w:pPr>
            <w:r>
              <w:rPr>
                <w:rFonts w:ascii="Arial" w:cs="Arial" w:eastAsia="Arial" w:hAnsi="Arial"/>
                <w:sz w:val="17"/>
                <w:szCs w:val="17"/>
                <w:color w:val="auto"/>
              </w:rPr>
              <w:t>1.10%</w:t>
            </w:r>
          </w:p>
        </w:tc>
        <w:tc>
          <w:tcPr>
            <w:tcW w:w="1220" w:type="dxa"/>
            <w:vAlign w:val="bottom"/>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3620" w:type="dxa"/>
            <w:vAlign w:val="bottom"/>
            <w:shd w:val="clear" w:color="auto" w:fill="EEEEEE"/>
          </w:tcPr>
          <w:p>
            <w:pPr>
              <w:spacing w:after="0" w:line="251" w:lineRule="exact"/>
              <w:rPr>
                <w:sz w:val="20"/>
                <w:szCs w:val="20"/>
                <w:color w:val="auto"/>
              </w:rPr>
            </w:pPr>
            <w:r>
              <w:rPr>
                <w:rFonts w:ascii="Arial" w:cs="Arial" w:eastAsia="Arial" w:hAnsi="Arial"/>
                <w:sz w:val="17"/>
                <w:szCs w:val="17"/>
                <w:color w:val="auto"/>
              </w:rPr>
              <w:t>JMI Equity Fund IV (A1), L.P.</w:t>
            </w:r>
            <w:r>
              <w:rPr>
                <w:rFonts w:ascii="Arial" w:cs="Arial" w:eastAsia="Arial" w:hAnsi="Arial"/>
                <w:sz w:val="28"/>
                <w:szCs w:val="28"/>
                <w:color w:val="auto"/>
                <w:vertAlign w:val="superscript"/>
              </w:rPr>
              <w:t>(10)</w:t>
            </w:r>
          </w:p>
        </w:tc>
        <w:tc>
          <w:tcPr>
            <w:tcW w:w="1720" w:type="dxa"/>
            <w:vAlign w:val="bottom"/>
            <w:shd w:val="clear" w:color="auto" w:fill="EEEEEE"/>
          </w:tcPr>
          <w:p>
            <w:pPr>
              <w:jc w:val="right"/>
              <w:ind w:right="418"/>
              <w:spacing w:after="0"/>
              <w:rPr>
                <w:sz w:val="20"/>
                <w:szCs w:val="20"/>
                <w:color w:val="auto"/>
              </w:rPr>
            </w:pPr>
            <w:r>
              <w:rPr>
                <w:rFonts w:ascii="Arial" w:cs="Arial" w:eastAsia="Arial" w:hAnsi="Arial"/>
                <w:sz w:val="17"/>
                <w:szCs w:val="17"/>
                <w:color w:val="auto"/>
              </w:rPr>
              <w:t>115,798</w:t>
            </w:r>
          </w:p>
        </w:tc>
        <w:tc>
          <w:tcPr>
            <w:tcW w:w="1740" w:type="dxa"/>
            <w:vAlign w:val="bottom"/>
            <w:shd w:val="clear" w:color="auto" w:fill="EEEEEE"/>
          </w:tcPr>
          <w:p>
            <w:pPr>
              <w:jc w:val="right"/>
              <w:ind w:right="377"/>
              <w:spacing w:after="0"/>
              <w:rPr>
                <w:sz w:val="20"/>
                <w:szCs w:val="20"/>
                <w:color w:val="auto"/>
              </w:rPr>
            </w:pPr>
            <w:r>
              <w:rPr>
                <w:rFonts w:ascii="Arial" w:cs="Arial" w:eastAsia="Arial" w:hAnsi="Arial"/>
                <w:sz w:val="17"/>
                <w:szCs w:val="17"/>
                <w:color w:val="auto"/>
              </w:rPr>
              <w:t>34,636</w:t>
            </w:r>
          </w:p>
        </w:tc>
        <w:tc>
          <w:tcPr>
            <w:tcW w:w="182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81,162</w:t>
            </w:r>
          </w:p>
        </w:tc>
        <w:tc>
          <w:tcPr>
            <w:tcW w:w="1280" w:type="dxa"/>
            <w:vAlign w:val="bottom"/>
            <w:shd w:val="clear" w:color="auto" w:fill="EEEEEE"/>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0"/>
                <w:szCs w:val="20"/>
                <w:color w:val="auto"/>
              </w:rPr>
            </w:pPr>
            <w:r>
              <w:rPr>
                <w:rFonts w:ascii="Arial" w:cs="Arial" w:eastAsia="Arial" w:hAnsi="Arial"/>
                <w:sz w:val="17"/>
                <w:szCs w:val="17"/>
                <w:color w:val="auto"/>
              </w:rPr>
              <w:t>JMI Equity Side Fund, L.P.</w:t>
            </w:r>
            <w:r>
              <w:rPr>
                <w:rFonts w:ascii="Arial" w:cs="Arial" w:eastAsia="Arial" w:hAnsi="Arial"/>
                <w:sz w:val="28"/>
                <w:szCs w:val="28"/>
                <w:color w:val="auto"/>
                <w:vertAlign w:val="superscript"/>
              </w:rPr>
              <w:t>(10)</w:t>
            </w:r>
          </w:p>
        </w:tc>
        <w:tc>
          <w:tcPr>
            <w:tcW w:w="1720" w:type="dxa"/>
            <w:vAlign w:val="bottom"/>
            <w:tcBorders>
              <w:bottom w:val="single" w:sz="8" w:color="808080"/>
            </w:tcBorders>
          </w:tcPr>
          <w:p>
            <w:pPr>
              <w:jc w:val="right"/>
              <w:ind w:right="418"/>
              <w:spacing w:after="0"/>
              <w:rPr>
                <w:sz w:val="20"/>
                <w:szCs w:val="20"/>
                <w:color w:val="auto"/>
              </w:rPr>
            </w:pPr>
            <w:r>
              <w:rPr>
                <w:rFonts w:ascii="Arial" w:cs="Arial" w:eastAsia="Arial" w:hAnsi="Arial"/>
                <w:sz w:val="17"/>
                <w:szCs w:val="17"/>
                <w:color w:val="auto"/>
              </w:rPr>
              <w:t>36,425</w:t>
            </w:r>
          </w:p>
        </w:tc>
        <w:tc>
          <w:tcPr>
            <w:tcW w:w="1740" w:type="dxa"/>
            <w:vAlign w:val="bottom"/>
            <w:tcBorders>
              <w:bottom w:val="single" w:sz="8" w:color="808080"/>
            </w:tcBorders>
          </w:tcPr>
          <w:p>
            <w:pPr>
              <w:jc w:val="right"/>
              <w:ind w:right="377"/>
              <w:spacing w:after="0"/>
              <w:rPr>
                <w:sz w:val="20"/>
                <w:szCs w:val="20"/>
                <w:color w:val="auto"/>
              </w:rPr>
            </w:pPr>
            <w:r>
              <w:rPr>
                <w:rFonts w:ascii="Arial" w:cs="Arial" w:eastAsia="Arial" w:hAnsi="Arial"/>
                <w:sz w:val="17"/>
                <w:szCs w:val="17"/>
                <w:color w:val="auto"/>
              </w:rPr>
              <w:t>10,895</w:t>
            </w:r>
          </w:p>
        </w:tc>
        <w:tc>
          <w:tcPr>
            <w:tcW w:w="1820" w:type="dxa"/>
            <w:vAlign w:val="bottom"/>
            <w:tcBorders>
              <w:bottom w:val="single" w:sz="8" w:color="808080"/>
            </w:tcBorders>
          </w:tcPr>
          <w:p>
            <w:pPr>
              <w:jc w:val="right"/>
              <w:ind w:right="498"/>
              <w:spacing w:after="0"/>
              <w:rPr>
                <w:sz w:val="20"/>
                <w:szCs w:val="20"/>
                <w:color w:val="auto"/>
              </w:rPr>
            </w:pPr>
            <w:r>
              <w:rPr>
                <w:rFonts w:ascii="Arial" w:cs="Arial" w:eastAsia="Arial" w:hAnsi="Arial"/>
                <w:sz w:val="17"/>
                <w:szCs w:val="17"/>
                <w:color w:val="auto"/>
              </w:rPr>
              <w:t>25,530</w:t>
            </w:r>
          </w:p>
        </w:tc>
        <w:tc>
          <w:tcPr>
            <w:tcW w:w="1280" w:type="dxa"/>
            <w:vAlign w:val="bottom"/>
            <w:tcBorders>
              <w:bottom w:val="single" w:sz="8" w:color="808080"/>
            </w:tcBorders>
          </w:tcPr>
          <w:p>
            <w:pPr>
              <w:jc w:val="right"/>
              <w:ind w:right="458"/>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808080"/>
            </w:tcBorders>
          </w:tcPr>
          <w:p>
            <w:pPr>
              <w:jc w:val="right"/>
              <w:ind w:right="156"/>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794385</wp:posOffset>
            </wp:positionV>
            <wp:extent cx="7249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 Less than 1%</w:t>
      </w:r>
    </w:p>
    <w:p>
      <w:pPr>
        <w:spacing w:after="0" w:line="228" w:lineRule="exact"/>
        <w:rPr>
          <w:sz w:val="20"/>
          <w:szCs w:val="20"/>
          <w:color w:val="auto"/>
        </w:rPr>
      </w:pPr>
    </w:p>
    <w:p>
      <w:pPr>
        <w:ind w:left="340" w:right="20" w:hanging="242"/>
        <w:spacing w:after="0" w:line="310" w:lineRule="auto"/>
        <w:tabs>
          <w:tab w:leader="none" w:pos="340" w:val="left"/>
        </w:tabs>
        <w:numPr>
          <w:ilvl w:val="1"/>
          <w:numId w:val="31"/>
        </w:numPr>
        <w:rPr>
          <w:rFonts w:ascii="Arial" w:cs="Arial" w:eastAsia="Arial" w:hAnsi="Arial"/>
          <w:sz w:val="15"/>
          <w:szCs w:val="15"/>
          <w:color w:val="auto"/>
        </w:rPr>
      </w:pPr>
      <w:r>
        <w:rPr>
          <w:rFonts w:ascii="Arial" w:cs="Arial" w:eastAsia="Arial" w:hAnsi="Arial"/>
          <w:sz w:val="15"/>
          <w:szCs w:val="15"/>
          <w:color w:val="auto"/>
        </w:rPr>
        <w:t>Hellman &amp; Friedman Capital Partners III, L.P., H&amp;F Orchard Partners III, L.P. and H&amp;F International Partners III, L.P. are referred to as the “H&amp;F Funds”. H&amp;F Investors III is the sole general partner of the H&amp;F Funds. Investment decisions for the H&amp;F Funds with respect to the Blackbaud shares are made by the investment committee of H&amp;F Investors III which is currently composed of Brian Powers, Warren Hellman, Thomas Steyer and Matthew Barger, each of whom disclaims beneficial ownership in the Blackbaud shares except to the extent of his pecuniary interest therein. Membership of the investment committee is subject to change from time to time. The address for each of the H&amp;F Funds is One Maritime Plaza, 12th Floor, San Francisco, California 94111.</w:t>
      </w:r>
    </w:p>
    <w:p>
      <w:pPr>
        <w:spacing w:after="0" w:line="182" w:lineRule="exact"/>
        <w:rPr>
          <w:rFonts w:ascii="Arial" w:cs="Arial" w:eastAsia="Arial" w:hAnsi="Arial"/>
          <w:sz w:val="15"/>
          <w:szCs w:val="15"/>
          <w:color w:val="auto"/>
        </w:rPr>
      </w:pPr>
    </w:p>
    <w:p>
      <w:pPr>
        <w:ind w:left="340" w:right="40" w:hanging="242"/>
        <w:spacing w:after="0" w:line="319" w:lineRule="auto"/>
        <w:tabs>
          <w:tab w:leader="none" w:pos="3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Consists entirely of those shares held by the H&amp;F Funds (see footnote 1). Mr. Tunnell serves as a managing director of Hellman &amp; Friedman LLC and an officer of H&amp;F Investors III. Mr. Tunnell disclaims beneficial ownership of these shares except to the extent of his indirect pecuniary interest therein.</w:t>
      </w:r>
    </w:p>
    <w:p>
      <w:pPr>
        <w:spacing w:after="0" w:line="172" w:lineRule="exact"/>
        <w:rPr>
          <w:rFonts w:ascii="Arial" w:cs="Arial" w:eastAsia="Arial" w:hAnsi="Arial"/>
          <w:sz w:val="16"/>
          <w:szCs w:val="16"/>
          <w:color w:val="auto"/>
        </w:rPr>
      </w:pPr>
    </w:p>
    <w:p>
      <w:pPr>
        <w:ind w:left="340" w:right="200" w:hanging="242"/>
        <w:spacing w:after="0" w:line="286" w:lineRule="auto"/>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Consists solely of shares of common stock obtainable upon the exercise of stock options. Does not include shares held by JMI Associates IV, L.L.C., of which Mr. Sywolski is a member.</w:t>
      </w:r>
    </w:p>
    <w:p>
      <w:pPr>
        <w:spacing w:after="0" w:line="195" w:lineRule="exact"/>
        <w:rPr>
          <w:rFonts w:ascii="Arial" w:cs="Arial" w:eastAsia="Arial" w:hAnsi="Arial"/>
          <w:sz w:val="17"/>
          <w:szCs w:val="17"/>
          <w:color w:val="auto"/>
        </w:rPr>
      </w:pPr>
    </w:p>
    <w:p>
      <w:pPr>
        <w:ind w:left="340" w:right="480" w:hanging="242"/>
        <w:spacing w:after="0" w:line="286" w:lineRule="auto"/>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Consists entirely of those shares held by the JMI Funds (see footnote 10), of which Mr. Barber serves as a general partner. Mr. Barber disclaims beneficial ownership of these shares except to the extent of his pecuniary interest therein.</w:t>
      </w:r>
    </w:p>
    <w:p>
      <w:pPr>
        <w:spacing w:after="0" w:line="195" w:lineRule="exact"/>
        <w:rPr>
          <w:rFonts w:ascii="Arial" w:cs="Arial" w:eastAsia="Arial" w:hAnsi="Arial"/>
          <w:sz w:val="17"/>
          <w:szCs w:val="17"/>
          <w:color w:val="auto"/>
        </w:rPr>
      </w:pPr>
    </w:p>
    <w:p>
      <w:pPr>
        <w:ind w:left="340" w:hanging="242"/>
        <w:spacing w:after="0"/>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Consists solely of shares of common stock obtainable upon the exercise of stock options.</w:t>
      </w:r>
    </w:p>
    <w:p>
      <w:pPr>
        <w:spacing w:after="0" w:line="280" w:lineRule="exact"/>
        <w:rPr>
          <w:rFonts w:ascii="Arial" w:cs="Arial" w:eastAsia="Arial" w:hAnsi="Arial"/>
          <w:sz w:val="17"/>
          <w:szCs w:val="17"/>
          <w:color w:val="auto"/>
        </w:rPr>
      </w:pPr>
    </w:p>
    <w:p>
      <w:pPr>
        <w:ind w:left="340" w:hanging="242"/>
        <w:spacing w:after="0"/>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Includes 50,078 shares held by the 1999 Attanasi Family Trust and 232,693 shares of common stock obtainable upon the exercise of stock options.</w:t>
      </w:r>
    </w:p>
    <w:p>
      <w:pPr>
        <w:spacing w:after="0" w:line="280" w:lineRule="exact"/>
        <w:rPr>
          <w:rFonts w:ascii="Arial" w:cs="Arial" w:eastAsia="Arial" w:hAnsi="Arial"/>
          <w:sz w:val="17"/>
          <w:szCs w:val="17"/>
          <w:color w:val="auto"/>
        </w:rPr>
      </w:pPr>
    </w:p>
    <w:p>
      <w:pPr>
        <w:ind w:left="340" w:hanging="242"/>
        <w:spacing w:after="0"/>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Includes 232,693 shares of common stock obtainable upon the exercise of stock options.</w:t>
      </w:r>
    </w:p>
    <w:p>
      <w:pPr>
        <w:spacing w:after="0" w:line="280" w:lineRule="exact"/>
        <w:rPr>
          <w:rFonts w:ascii="Arial" w:cs="Arial" w:eastAsia="Arial" w:hAnsi="Arial"/>
          <w:sz w:val="17"/>
          <w:szCs w:val="17"/>
          <w:color w:val="auto"/>
        </w:rPr>
      </w:pPr>
    </w:p>
    <w:p>
      <w:pPr>
        <w:ind w:left="340" w:right="120" w:hanging="242"/>
        <w:spacing w:after="0" w:line="286" w:lineRule="auto"/>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Excludes shares held by the H&amp;F Funds, of which Mr. Hellman is a limited partner (see footnote 1). Mr. Hellman may be deemed to have an indirect pecuniary interest (within the meaning of Rule 16a-1 of the Exchange Act) in a portion of the shares beneficially owned by the H&amp;F Funds.</w:t>
      </w:r>
    </w:p>
    <w:p>
      <w:pPr>
        <w:spacing w:after="0" w:line="195" w:lineRule="exact"/>
        <w:rPr>
          <w:rFonts w:ascii="Arial" w:cs="Arial" w:eastAsia="Arial" w:hAnsi="Arial"/>
          <w:sz w:val="17"/>
          <w:szCs w:val="17"/>
          <w:color w:val="auto"/>
        </w:rPr>
      </w:pPr>
    </w:p>
    <w:p>
      <w:pPr>
        <w:ind w:left="340" w:hanging="242"/>
        <w:spacing w:after="0"/>
        <w:tabs>
          <w:tab w:leader="none" w:pos="3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Includes the shares and shares underlying stock options specified in footnotes (2)–(7).</w:t>
      </w:r>
    </w:p>
    <w:p>
      <w:pPr>
        <w:spacing w:after="0" w:line="254" w:lineRule="exact"/>
        <w:rPr>
          <w:rFonts w:ascii="Arial" w:cs="Arial" w:eastAsia="Arial" w:hAnsi="Arial"/>
          <w:sz w:val="17"/>
          <w:szCs w:val="17"/>
          <w:color w:val="auto"/>
        </w:rPr>
      </w:pPr>
    </w:p>
    <w:p>
      <w:pPr>
        <w:ind w:left="340" w:right="120" w:hanging="334"/>
        <w:spacing w:after="0" w:line="310" w:lineRule="auto"/>
        <w:tabs>
          <w:tab w:leader="none" w:pos="340" w:val="left"/>
        </w:tabs>
        <w:numPr>
          <w:ilvl w:val="1"/>
          <w:numId w:val="31"/>
        </w:numPr>
        <w:rPr>
          <w:rFonts w:ascii="Arial" w:cs="Arial" w:eastAsia="Arial" w:hAnsi="Arial"/>
          <w:sz w:val="15"/>
          <w:szCs w:val="15"/>
          <w:color w:val="auto"/>
        </w:rPr>
      </w:pPr>
      <w:r>
        <w:rPr>
          <w:rFonts w:ascii="Arial" w:cs="Arial" w:eastAsia="Arial" w:hAnsi="Arial"/>
          <w:sz w:val="15"/>
          <w:szCs w:val="15"/>
          <w:color w:val="auto"/>
        </w:rPr>
        <w:t>JMI Equity Fund IV, L.P., JMI Euro Equity Fund IV, L.P. and JMI Equity Fund IV (A1), L.P. are referred to as the “JMI Funds”. JMI Associates IV, LLC is the sole general partner of the JMI Funds. Investment decisions for the JMI Funds with respect to the Blackbaud shares are made by the investment committee of JMI Associates IV, LLC which is currently composed of Paul V. Barber, Harry S. Gruner, Bradford D. Woloson, Charles E. Noell, III, Peter C. Arrowsmith and Robert Smith, each of whom disclaims beneficial ownership in the Blackbaud shares except to the extent of his pecuniary interest therein. Membership of the investment committee is subject to change from time to time. The address for each of the JMI Funds is 6109 Paseo Laredo, La Jolla, California 92037.</w:t>
      </w:r>
    </w:p>
    <w:p>
      <w:pPr>
        <w:spacing w:after="0" w:line="182" w:lineRule="exact"/>
        <w:rPr>
          <w:rFonts w:ascii="Arial" w:cs="Arial" w:eastAsia="Arial" w:hAnsi="Arial"/>
          <w:sz w:val="15"/>
          <w:szCs w:val="15"/>
          <w:color w:val="auto"/>
        </w:rPr>
      </w:pPr>
    </w:p>
    <w:p>
      <w:pPr>
        <w:ind w:left="340" w:right="80" w:hanging="334"/>
        <w:spacing w:after="0" w:line="26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share number assumes that Mr. Sywolski cancels options to purchase 371,508 shares of common stock as payment, under a net exercise, for the exercise price of the options that would be necessary for Mr. Sywolski to exercise in order to sell all shares registered under this prospectus. The assumed value of the shares used for calculating this net exercise was $13.75, the closing price of our common stock on January 14, 2005, the last reported sales price prior filing this prospectus. We will receive no proceeds from the net exercise of these options.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1353" w:right="219" w:bottom="324" w:gutter="0" w:footer="0" w:header="0"/>
        </w:sectPr>
      </w:pPr>
    </w:p>
    <w:bookmarkStart w:id="81" w:name="page82"/>
    <w:bookmarkEnd w:id="81"/>
    <w:p>
      <w:pPr>
        <w:spacing w:after="0"/>
        <w:rPr>
          <w:sz w:val="20"/>
          <w:szCs w:val="20"/>
          <w:color w:val="auto"/>
        </w:rPr>
      </w:pPr>
      <w:r>
        <w:rPr>
          <w:rFonts w:ascii="Arial" w:cs="Arial" w:eastAsia="Arial" w:hAnsi="Arial"/>
          <w:sz w:val="21"/>
          <w:szCs w:val="21"/>
          <w:b w:val="1"/>
          <w:bCs w:val="1"/>
          <w:color w:val="auto"/>
        </w:rPr>
        <w:t>Registration rights</w:t>
      </w:r>
    </w:p>
    <w:p>
      <w:pPr>
        <w:spacing w:after="0" w:line="227"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As of September 30, 2004, the holders of approximately 31,117,146 shares of our common stock were entitled to rights with respect to the registration of such shares under the Securities Act of 1933, as amended. Under the terms of the investor rights agreement between us and the holders of such registrable securities, the holders of at least 51% of the then registrable securities, other than the registrable securities held by Hellman &amp; Friedman Capital Partners III, L.P. and its affiliated funds, are entitled to a demand registration right, pursuant to which they may require us on one occasion, at any time after 180 days following the completion of our initial public offering on July 27, 2004, to file a registration statement under the Securities Act of 1933 at our expense with respect to at least 50% of their registrable securities having an anticipated net aggregate price (after deducting underwriting commissions and offering expenses) of at least $5 million, and we are required to use our reasonable best efforts to effect such registration as soon as practicable after such request.</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In addition, Hellman &amp; Friedman Capital Partners III, L.P. and its affiliated funds are entitled to four demand registration rights, pursuant to which they may require us at any time after 180 days following the completion of our initial public offering on July 27, 2004, to file a registration statement under the Securities Act of 1933 including, if requested by the holder, on Form S-3, at our expense with respect to their registrable securities having an anticipated net aggregate price (after deducting underwriting commissions and offering expenses) of at least $5 million, and we are required to use our reasonable best efforts to effect such registration as soon as practicable after such request. Further, holders of such registrable securities may require us to file one additional registration statement on Form S-3 covering registrable securities having an aggregate price to the public of at least $500,000 at our expense. Under certain circumstances, the holders initiating their demand rights described in this paragraph may request an underwritten offering. Holders of registrable securities also have the right to include registrable securities in any future registration of our securities, other than registrations relating solely to employee benefit plans, registrations made on Form S-4 or Form S-8, registrations pursuant to which we are offering to exchange our own securities, or registrations relating solely to dividend reinvestment or similar plans.</w:t>
      </w:r>
    </w:p>
    <w:p>
      <w:pPr>
        <w:spacing w:after="0" w:line="163"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All of the registration rights described above terminate with respect to any stockholder holding registration rights after the later of July 27, 2006 or the date on which such holder is able to dispose of all of his, her or its shares of our common stock having registration rights in a 90-day period pursuant to Rule 144 promulgated by the SEC. In addition, common stock ceases to be considered registrable securities when such common stock may be sold pursuant to Rule 144. These registration rights are also subject to certain conditions and limitations, including the right of the underwriters of an offering to limit the number of shares included in such registration and our right not to effect a requested registration within 180 days following the effective date of an offering of our securities pursuant to Form S-1.</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granted our Chief Executive Officer, Robert J. Sywolski, the right to include shares issued upon exercise of his stock option in any registration of our securities, other than registrations relating solely to employee benefit plans, registrations made on Form S-4 or Form S-8, registrations pursuant to which we are offering to exchange our own securities, or registrations relating solely to dividend reinvestment or similar plans. These registration rights terminate after the later of July 27, 2009 or the date on which Mr. Sywolski is able to dispose of all of his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6" w:right="259" w:bottom="1440" w:gutter="0" w:footer="0" w:header="0"/>
        </w:sectPr>
      </w:pPr>
    </w:p>
    <w:bookmarkStart w:id="82" w:name="page83"/>
    <w:bookmarkEnd w:id="82"/>
    <w:p>
      <w:pPr>
        <w:spacing w:after="0" w:line="319" w:lineRule="auto"/>
        <w:rPr>
          <w:sz w:val="20"/>
          <w:szCs w:val="20"/>
          <w:color w:val="auto"/>
        </w:rPr>
      </w:pPr>
      <w:r>
        <w:rPr>
          <w:rFonts w:ascii="Arial" w:cs="Arial" w:eastAsia="Arial" w:hAnsi="Arial"/>
          <w:sz w:val="16"/>
          <w:szCs w:val="16"/>
          <w:color w:val="auto"/>
        </w:rPr>
        <w:t>shares of our common stock having registration rights in a 90-day period pursuant to Rule 144 promulgated by the SEC. These registration rights are also subject to certain conditions and limitations, including the right of the underwriters of an offering to limit the number of shares included in such registration.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925" w:right="37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24"/>
          <w:szCs w:val="24"/>
          <w:b w:val="1"/>
          <w:bCs w:val="1"/>
          <w:color w:val="auto"/>
        </w:rPr>
        <w:t>Certain relationships and related transactions</w:t>
      </w:r>
    </w:p>
    <w:p>
      <w:pPr>
        <w:spacing w:after="0" w:line="232" w:lineRule="exact"/>
        <w:rPr>
          <w:sz w:val="20"/>
          <w:szCs w:val="20"/>
          <w:color w:val="auto"/>
        </w:rPr>
      </w:pPr>
    </w:p>
    <w:p>
      <w:pPr>
        <w:ind w:right="700"/>
        <w:spacing w:after="0" w:line="356" w:lineRule="auto"/>
        <w:rPr>
          <w:sz w:val="20"/>
          <w:szCs w:val="20"/>
          <w:color w:val="auto"/>
        </w:rPr>
      </w:pPr>
      <w:r>
        <w:rPr>
          <w:rFonts w:ascii="Arial" w:cs="Arial" w:eastAsia="Arial" w:hAnsi="Arial"/>
          <w:sz w:val="15"/>
          <w:szCs w:val="15"/>
          <w:color w:val="auto"/>
        </w:rPr>
        <w:t>We describe below some of the transactions we have entered into with one or more of the selling stockholders. In addition, certain relationships and related transactions with respect to the selling stockholders are set forth in “Principal and selling stockholders — Registration rights” beginning on page 77.</w:t>
      </w:r>
    </w:p>
    <w:p>
      <w:pPr>
        <w:spacing w:after="0" w:line="10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Lease agreement</w:t>
      </w:r>
    </w:p>
    <w:p>
      <w:pPr>
        <w:spacing w:after="0" w:line="227"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We entered into a lease agreement dated as of October 13, 1999 with Duck Pond Creek, LLC to lease the space for our headquarters in Charleston, South Carolina. Duck Pond Creek is a South Carolina limited liability company, 60% of which is owned by Anthony E. Bakker, a stockholder who beneficially owned approximately 14% of our capital stock prior to our initial public offering in July 2004, and 4% of which is owned by each of Louis J. Attanasi and Gerard J. Zink, two of our named executive officers. Under this lease, we made payments to Duck Pond Creek totaling approximately $4.3 million in 2001, 2002, 2003 and 2004. The term of the lease is for 10 years with two five-year renewal options. The current annual base rent of the lease is approximately $4.3 million. The base rate escalates annually at a rate equal to the change in the consumer price index, as defined in the agreement. Based on publicly-available survey data on office space rental rates in our area at the time we entered into the lease, we believe that this lease agreement is on terms at least as favorable to us as could have been obtained from an unaffiliated third party.</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Naming rights agreement</w:t>
      </w:r>
    </w:p>
    <w:p>
      <w:pPr>
        <w:spacing w:after="0" w:line="22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are party to a trademark license and promotional agreement dated as of October 13, 1999 with Charleston Battery, Inc., pursuant to which we pay to Charleston Battery, Inc. an annual fee for the naming rights to a stadium located in Charleston, South Carolina named “Blackbaud Stadium”. Charleston Battery is principally owned by Anthony E. Bakker, a stockholder who beneficially owned approximately 14% of our capital stock prior to our initial public offering in July 2004. Under this agreement, we made payments to Charleston Battery of $200,000 in each of 2001, 2002, 2003 and 2004. This agreement is scheduled to terminate in October 2009. While we did not evaluate fees payable for naming rights to similarly sized stadiums in comparable markets, if any, we believe that the terms of this agreement are at least as favorable to us as could have been obtained from an unaffiliated third party.</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purchase agreement</w:t>
      </w:r>
    </w:p>
    <w:p>
      <w:pPr>
        <w:spacing w:after="0" w:line="227" w:lineRule="exact"/>
        <w:rPr>
          <w:sz w:val="20"/>
          <w:szCs w:val="20"/>
          <w:color w:val="auto"/>
        </w:rPr>
      </w:pPr>
    </w:p>
    <w:p>
      <w:pPr>
        <w:ind w:right="240"/>
        <w:spacing w:after="0" w:line="315" w:lineRule="auto"/>
        <w:rPr>
          <w:sz w:val="20"/>
          <w:szCs w:val="20"/>
          <w:color w:val="auto"/>
        </w:rPr>
      </w:pPr>
      <w:r>
        <w:rPr>
          <w:rFonts w:ascii="Arial" w:cs="Arial" w:eastAsia="Arial" w:hAnsi="Arial"/>
          <w:sz w:val="15"/>
          <w:szCs w:val="15"/>
          <w:color w:val="auto"/>
        </w:rPr>
        <w:t>We entered into a common stock purchase agreement dated as of June 1, 2001 with certain of our stockholders, pursuant to which such stockholders purchased an aggregate of 2,083,334 shares of our common stock at $4.80 per share. In this transaction, certain trusts established by Anthony E. Bakker, a stockholder who beneficially owned approximately 14% of our capital stock prior to our initial public offering in July 2004, acquired 1,250,001 shares of our common stock, and Louis J. Attanasi and Gerard J. Zink, two of our named executive officers, acquired 62,500 and 20,834 shares of our common stock, respectively.</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7" w:right="27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24"/>
          <w:szCs w:val="24"/>
          <w:b w:val="1"/>
          <w:bCs w:val="1"/>
          <w:color w:val="auto"/>
        </w:rPr>
        <w:t>Description of capital stock</w:t>
      </w:r>
    </w:p>
    <w:p>
      <w:pPr>
        <w:spacing w:after="0" w:line="23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Under our certificate of incorporation, our authorized capital stock consists of 180,000,000 shares of common stock, par value $0.001 per share, and 20,000,000 shares of preferred stock, par value $0.001 per share. As of December 31, 2004, there were 42,549,056 shares of common stock outstanding that were held of record by 35 stockholders. As of the date of this prospectus, no shares of preferred stock will be outstanding. Our board of directors may fix the relative rights and preferences of each series of preferred stock in a resolution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Common stock</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 rights</w:t>
      </w:r>
    </w:p>
    <w:p>
      <w:pPr>
        <w:spacing w:after="0" w:line="22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holders of common stock are entitled to one vote per share on all matters to be voted on by the stockholders, and there are no cumulative voting rights. Generally, all matters to be voted on by stockholders must be approved by a majority (or, in the case of election of directors, by a plurality) of the votes entitled to be cast by all shares of common stock present in person or represented by proxy, subject to any voting rights granted to holders of any preferred stock.</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holders of common stock are entitled to receive ratable dividends, if any, payable in cash, in stock or otherwise if, as and when declared from time to time by the board of directors out of funds legally available for the payment of dividends, subject to any preferential rights that may be applicable to any outstanding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rights</w:t>
      </w:r>
    </w:p>
    <w:p>
      <w:pPr>
        <w:spacing w:after="0" w:line="22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All outstanding shares of common stock are fully paid and nonassessable. The rights, preferences and privileges of holders of common stock will be subject to, and may be adversely affected by, the rights of holders of any preferred stock that may be issued in the future. All shares of common stock which are acquired by us shall be available for reissuance by us at any time.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Preferred stock</w:t>
      </w: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of the date of this prospectus, no shares of preferred stock will be outstanding. Our board of directors has the authority to issue up to an aggregate of 20,000,000 shares of preferred stock in one 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 or series or the designation of such class or series, without further vote or action by the stockholders. The exercise of this authority eliminates delays associated with a stockholder vote in specific</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5" w:name="page86"/>
    <w:bookmarkEnd w:id="85"/>
    <w:p>
      <w:pPr>
        <w:spacing w:after="0" w:line="284" w:lineRule="auto"/>
        <w:rPr>
          <w:sz w:val="20"/>
          <w:szCs w:val="20"/>
          <w:color w:val="auto"/>
        </w:rPr>
      </w:pPr>
      <w:r>
        <w:rPr>
          <w:rFonts w:ascii="Arial" w:cs="Arial" w:eastAsia="Arial" w:hAnsi="Arial"/>
          <w:sz w:val="16"/>
          <w:szCs w:val="16"/>
          <w:color w:val="auto"/>
        </w:rPr>
        <w:t>instances. We believe that the ability of the board of directors to issue one or more series of preferred stock will provide us with flexibility in structuring possible future financings and acquisitions and in meeting other corporate needs that might arise. The ability of the board of directors to issue preferred stock, while providing flexibility in connection with possible acquisitions, raising additional capital and other corporate purposes, could have the effect of making it more difficult for a third party to acquire, or of discouraging a third party from acquiring, a majority of our outstanding voting stock. Our board of directors could issue preferred stock having terms that could discourage a potential acquiror from making, without first negotiating with the board of directors, an acquisition attempt through which such acquiror may be able to change the composition of the board of directors, including a tender offer or other takeover attempt.</w:t>
      </w:r>
    </w:p>
    <w:p>
      <w:pPr>
        <w:spacing w:after="0" w:line="17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voting and other rights of the holders of common stock will be subject to, and may be adversely affected by, the rights of holders of any preferred stock that may be issued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Anti-takeover effects of Delaware law and provisions of our certificate of incorporation and bylaws</w:t>
      </w:r>
    </w:p>
    <w:p>
      <w:pPr>
        <w:spacing w:after="0" w:line="227"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Certain of the provisions of Delaware law and our certificate of incorporation and bylaws discussed below may have the effect of making more difficult or discouraging a tender offer, proxy contest or other takeover attempt. Those provisions, summarized below, include a classified board of directors with staggered terms and requirements for advance notice of actions proposed by stockholders for consideration at meetings of the stockholders. These provisions are expected to encourage persons seeking to acquire control of our company to first negotiate with our board of directors. We believe that the benefits of increasing our ability to negotiate with the proponent of an unfriendly or unsolicited proposal to acquire or restructure our company outweigh the disadvantages of discouraging these proposals because negotiation of these proposals could result in an improvement of their terms.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Delaware anti-takeover law</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Section 203 of the Delaware General Corporation Law,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180" w:lineRule="exact"/>
        <w:rPr>
          <w:sz w:val="20"/>
          <w:szCs w:val="20"/>
          <w:color w:val="auto"/>
        </w:rPr>
      </w:pPr>
    </w:p>
    <w:p>
      <w:pPr>
        <w:ind w:left="240" w:right="60" w:hanging="234"/>
        <w:spacing w:after="0" w:line="286" w:lineRule="auto"/>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board of directors approves the transaction in which the stockholder became an interested stockholder prior to the date the interested stockholder attained that status;</w:t>
      </w:r>
    </w:p>
    <w:p>
      <w:pPr>
        <w:spacing w:after="0" w:line="195" w:lineRule="exact"/>
        <w:rPr>
          <w:rFonts w:ascii="Arial" w:cs="Arial" w:eastAsia="Arial" w:hAnsi="Arial"/>
          <w:sz w:val="17"/>
          <w:szCs w:val="17"/>
          <w:color w:val="auto"/>
        </w:rPr>
      </w:pPr>
    </w:p>
    <w:p>
      <w:pPr>
        <w:ind w:left="240" w:hanging="234"/>
        <w:spacing w:after="0" w:line="319" w:lineRule="auto"/>
        <w:tabs>
          <w:tab w:leader="none" w:pos="2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when the stockholder became an interested stockholder, he or she owned at least 85% of the voting stock of the corporation outstanding at the time the transaction commenced, excluding shares owned by persons who are directors and also officers and certain shares owned by employee benefits plans; or</w:t>
      </w:r>
    </w:p>
    <w:p>
      <w:pPr>
        <w:spacing w:after="0" w:line="172" w:lineRule="exact"/>
        <w:rPr>
          <w:rFonts w:ascii="Arial" w:cs="Arial" w:eastAsia="Arial" w:hAnsi="Arial"/>
          <w:sz w:val="16"/>
          <w:szCs w:val="16"/>
          <w:color w:val="auto"/>
        </w:rPr>
      </w:pPr>
    </w:p>
    <w:p>
      <w:pPr>
        <w:ind w:left="240" w:right="160" w:hanging="234"/>
        <w:spacing w:after="0" w:line="286" w:lineRule="auto"/>
        <w:tabs>
          <w:tab w:leader="none" w:pos="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or subsequent to the date the business combination is approved by the board of directors, the business combination is authorized by the affirmative vote of at least 66 2/3% of the voting stock of the corporation at an annual or special meeting of stockholders.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Generally, an “interested stockholder” is a person who, together with affiliates and associates, owns, or is an affiliate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86" w:name="page87"/>
    <w:bookmarkEnd w:id="86"/>
    <w:p>
      <w:pPr>
        <w:spacing w:after="0"/>
        <w:rPr>
          <w:sz w:val="20"/>
          <w:szCs w:val="20"/>
          <w:color w:val="auto"/>
        </w:rPr>
      </w:pPr>
      <w:r>
        <w:rPr>
          <w:rFonts w:ascii="Arial" w:cs="Arial" w:eastAsia="Arial" w:hAnsi="Arial"/>
          <w:sz w:val="15"/>
          <w:szCs w:val="15"/>
          <w:color w:val="auto"/>
        </w:rPr>
        <w:t>associate of the corporation and within three years prior to the determination of interested stockholder status did own, 15% or more of a corporation’s voting stock.</w:t>
      </w:r>
    </w:p>
    <w:p>
      <w:pPr>
        <w:spacing w:after="0" w:line="251" w:lineRule="exact"/>
        <w:rPr>
          <w:sz w:val="20"/>
          <w:szCs w:val="20"/>
          <w:color w:val="auto"/>
        </w:rPr>
      </w:pPr>
    </w:p>
    <w:p>
      <w:pPr>
        <w:ind w:right="100"/>
        <w:spacing w:after="0" w:line="315" w:lineRule="auto"/>
        <w:rPr>
          <w:sz w:val="20"/>
          <w:szCs w:val="20"/>
          <w:color w:val="auto"/>
        </w:rPr>
      </w:pPr>
      <w:r>
        <w:rPr>
          <w:rFonts w:ascii="Arial" w:cs="Arial" w:eastAsia="Arial" w:hAnsi="Arial"/>
          <w:sz w:val="15"/>
          <w:szCs w:val="15"/>
          <w:color w:val="auto"/>
        </w:rPr>
        <w:t>Our certificate of incorporation provides that Hellman &amp; Friedman Capital Partners III, L.P., H&amp;F Orchard Partners III, L.P., H&amp;F International Partners III, L.P., or any successor to all or substantially all of their assets, or any affiliate thereof, or any person or entity to which any of the foregoing stockholders transfers shares of our voting stock in a transaction other than an underwritten, broadly distributed public offering, regardless of the total percentage of our voting stock owned by such stockholder or such person or entity, shall not be deemed an “interested stockholder” for purposes of Section 203 of the Delaware General Corporation Law.</w:t>
      </w:r>
    </w:p>
    <w:p>
      <w:pPr>
        <w:spacing w:after="0" w:line="153"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existence of this provision would be expected to have an anti-takeover effect with respect to transactions not approved in advance by our board of directors, including discouraging attempts that might result in a premium over the market price for the shares of our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Certificate of incorporation and bylaws provisions</w:t>
      </w:r>
    </w:p>
    <w:p>
      <w:pPr>
        <w:spacing w:after="0" w:line="228"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xml:space="preserve">Classified board of directors. </w:t>
      </w:r>
      <w:r>
        <w:rPr>
          <w:rFonts w:ascii="Arial" w:cs="Arial" w:eastAsia="Arial" w:hAnsi="Arial"/>
          <w:sz w:val="16"/>
          <w:szCs w:val="16"/>
          <w:color w:val="auto"/>
        </w:rPr>
        <w:t>Our board of directors is divided into three classes of directors, as nearly equal in number as possible, with each class serving a</w:t>
      </w:r>
      <w:r>
        <w:rPr>
          <w:rFonts w:ascii="Arial" w:cs="Arial" w:eastAsia="Arial" w:hAnsi="Arial"/>
          <w:sz w:val="16"/>
          <w:szCs w:val="16"/>
          <w:i w:val="1"/>
          <w:iCs w:val="1"/>
          <w:color w:val="auto"/>
        </w:rPr>
        <w:t xml:space="preserve"> </w:t>
      </w:r>
      <w:r>
        <w:rPr>
          <w:rFonts w:ascii="Arial" w:cs="Arial" w:eastAsia="Arial" w:hAnsi="Arial"/>
          <w:sz w:val="16"/>
          <w:szCs w:val="16"/>
          <w:color w:val="auto"/>
        </w:rPr>
        <w:t>staggered term of three years. Any vacancy on the board of directors, regardless of the reason for the vacancy, may be filled by vote of the majority of the directors then in office, except in the case of a vacancy caused by action of our stockholders, which vacancy may only be filled by our stockholders. Directors may be removed from office at any time with or without cause, but only by the holders of a majority of the shares entitled to vote at an election of directors. The classification of directors will have the effect of making it more difficult for stockholders to change the composition of our board of directors and could also discourage a third-party from making a tender offer or otherwise attempting to obtain control of our company and may maintain the incumbency of our board of directors, as the classification of the board of directors generally increases the difficulty of replacing a majority of the directors.</w:t>
      </w:r>
    </w:p>
    <w:p>
      <w:pPr>
        <w:spacing w:after="0" w:line="175"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i w:val="1"/>
          <w:iCs w:val="1"/>
          <w:color w:val="auto"/>
        </w:rPr>
        <w:t xml:space="preserve">Advance notice requirement for stockholder proposals. </w:t>
      </w:r>
      <w:r>
        <w:rPr>
          <w:rFonts w:ascii="Arial" w:cs="Arial" w:eastAsia="Arial" w:hAnsi="Arial"/>
          <w:sz w:val="16"/>
          <w:szCs w:val="16"/>
          <w:color w:val="auto"/>
        </w:rPr>
        <w:t>Our bylaws contain an advance notice procedure for stockholders proposals to be brought before a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including any proposed nominations of persons for election to our board of directors. Stockholders at a meeting may only consider proposals or nominations specified in the notice of meeting or brought before the meeting by or at the direction of our board of directors or by a stockholder who was a stockholder of record on the record date for the meeting, who is entitled to vote at the meeting, who has given to our secretary timely written notice, in proper form, of the stockholder’s intention to bring that business before the meeting, and who has otherwise complied with our bylaws. Although the bylaws do not give our board of directors the power to approve or disapprove stockholder nominations of candidates for election to our board of directors or proposals regarding other business to be conducted at a special or annual meeting of the stockholders, the bylaws may have the effect of precluding the conduct of business at a meeting if the proper procedures are not followed or may discourage or deter a potential acquiror from conducting a solicitation of proxies to elect its own slate of directors or otherwise attempting to obtain control of our company. By requiring advance notice of other proposed business, the stockholder advance notice procedure will also provide a more orderly procedure for conducting annual meeting of stockholders and, to the extent deemed necessary or desirable by the board of directors, will provide the board of directors with an opportunity to inform stockholders, prior to such meetings, of any business proposed to be conducted at such meetings, together with any recommendations as to the board of directors’ position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87" w:name="page88"/>
    <w:bookmarkEnd w:id="87"/>
    <w:p>
      <w:pPr>
        <w:spacing w:after="0" w:line="286" w:lineRule="auto"/>
        <w:rPr>
          <w:sz w:val="20"/>
          <w:szCs w:val="20"/>
          <w:color w:val="auto"/>
        </w:rPr>
      </w:pPr>
      <w:r>
        <w:rPr>
          <w:rFonts w:ascii="Arial" w:cs="Arial" w:eastAsia="Arial" w:hAnsi="Arial"/>
          <w:sz w:val="17"/>
          <w:szCs w:val="17"/>
          <w:color w:val="auto"/>
        </w:rPr>
        <w:t>regarding action to be taken with respect to such business, so that stockholders can better decide whether to attend such a meeting or to grant a proxy regarding the disposition of any such business.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the common stock is Wachovia Bank, N.A., and its telephone number is (800) 829-8432.</w:t>
      </w:r>
    </w:p>
    <w:p>
      <w:pPr>
        <w:spacing w:after="0" w:line="228"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925" w:right="439" w:bottom="1440" w:gutter="0" w:footer="0" w:header="0"/>
        </w:sectPr>
      </w:pPr>
    </w:p>
    <w:bookmarkStart w:id="88" w:name="page89"/>
    <w:bookmarkEnd w:id="88"/>
    <w:p>
      <w:pPr>
        <w:ind w:left="3980"/>
        <w:spacing w:after="0"/>
        <w:rPr>
          <w:sz w:val="20"/>
          <w:szCs w:val="20"/>
          <w:color w:val="auto"/>
        </w:rPr>
      </w:pPr>
      <w:r>
        <w:rPr>
          <w:rFonts w:ascii="Arial" w:cs="Arial" w:eastAsia="Arial" w:hAnsi="Arial"/>
          <w:sz w:val="24"/>
          <w:szCs w:val="24"/>
          <w:b w:val="1"/>
          <w:bCs w:val="1"/>
          <w:color w:val="auto"/>
        </w:rPr>
        <w:t>U.S. federal tax considerations for</w:t>
      </w:r>
    </w:p>
    <w:p>
      <w:pPr>
        <w:spacing w:after="0" w:line="213" w:lineRule="exact"/>
        <w:rPr>
          <w:sz w:val="20"/>
          <w:szCs w:val="20"/>
          <w:color w:val="auto"/>
        </w:rPr>
      </w:pPr>
    </w:p>
    <w:p>
      <w:pPr>
        <w:ind w:left="3980"/>
        <w:spacing w:after="0"/>
        <w:rPr>
          <w:sz w:val="20"/>
          <w:szCs w:val="20"/>
          <w:color w:val="auto"/>
        </w:rPr>
      </w:pPr>
      <w:r>
        <w:rPr>
          <w:rFonts w:ascii="Arial" w:cs="Arial" w:eastAsia="Arial" w:hAnsi="Arial"/>
          <w:sz w:val="24"/>
          <w:szCs w:val="24"/>
          <w:b w:val="1"/>
          <w:bCs w:val="1"/>
          <w:color w:val="auto"/>
        </w:rPr>
        <w:t>non-U.S. holders of common stock</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following is a summary of the material U.S. federal income tax considerations for non-U.S. holders of our common stock and is based upon current provisions of the Internal Revenue Code of 1986, as amended (which we refer to as the “Code”), Treasury regulations thereunder, existing rulings of the Internal Revenue Service (which we refer to as the “IRS”) and judicial decisions, all of which are subject to change. Any such change could apply retroactively and could adversely affect the consequences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summary, a “U.S. Person” is:</w:t>
      </w:r>
    </w:p>
    <w:p>
      <w:pPr>
        <w:spacing w:after="0" w:line="228" w:lineRule="exact"/>
        <w:rPr>
          <w:sz w:val="20"/>
          <w:szCs w:val="20"/>
          <w:color w:val="auto"/>
        </w:rPr>
      </w:pPr>
    </w:p>
    <w:p>
      <w:pPr>
        <w:ind w:left="240" w:hanging="234"/>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individual who is a citizen of the United States or who is resident in the United States for U.S. federal income tax purposes;</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corporation, or other entity taxable as a corporation, that is created or organized under the laws of the United States or any political subdivision thereof;</w:t>
      </w:r>
    </w:p>
    <w:p>
      <w:pPr>
        <w:spacing w:after="0" w:line="265" w:lineRule="exact"/>
        <w:rPr>
          <w:rFonts w:ascii="Arial" w:cs="Arial" w:eastAsia="Arial" w:hAnsi="Arial"/>
          <w:sz w:val="16"/>
          <w:szCs w:val="16"/>
          <w:color w:val="auto"/>
        </w:rPr>
      </w:pPr>
    </w:p>
    <w:p>
      <w:pPr>
        <w:ind w:left="240" w:hanging="234"/>
        <w:spacing w:after="0"/>
        <w:tabs>
          <w:tab w:leader="none" w:pos="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partnership, or other entity taxable as a partnership, that (1) is created or organized under the laws of the United States or any political subdivision thereof, and</w:t>
      </w:r>
    </w:p>
    <w:p>
      <w:pPr>
        <w:spacing w:after="0" w:line="44" w:lineRule="exact"/>
        <w:rPr>
          <w:rFonts w:ascii="Arial" w:cs="Arial" w:eastAsia="Arial" w:hAnsi="Arial"/>
          <w:sz w:val="15"/>
          <w:szCs w:val="15"/>
          <w:color w:val="auto"/>
        </w:rPr>
      </w:pPr>
    </w:p>
    <w:p>
      <w:pPr>
        <w:ind w:left="480" w:hanging="236"/>
        <w:spacing w:after="0"/>
        <w:tabs>
          <w:tab w:leader="none" w:pos="4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is not treated as a foreign partnership under applicable Treasury regulations;</w:t>
      </w:r>
    </w:p>
    <w:p>
      <w:pPr>
        <w:spacing w:after="0" w:line="248" w:lineRule="exact"/>
        <w:rPr>
          <w:rFonts w:ascii="Arial" w:cs="Arial" w:eastAsia="Arial" w:hAnsi="Arial"/>
          <w:sz w:val="17"/>
          <w:szCs w:val="17"/>
          <w:color w:val="auto"/>
        </w:rPr>
      </w:pPr>
    </w:p>
    <w:p>
      <w:pPr>
        <w:ind w:left="240" w:hanging="234"/>
        <w:spacing w:after="0"/>
        <w:tabs>
          <w:tab w:leader="none" w:pos="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254" w:lineRule="exact"/>
        <w:rPr>
          <w:rFonts w:ascii="Arial" w:cs="Arial" w:eastAsia="Arial" w:hAnsi="Arial"/>
          <w:sz w:val="17"/>
          <w:szCs w:val="17"/>
          <w:color w:val="auto"/>
        </w:rPr>
      </w:pPr>
    </w:p>
    <w:p>
      <w:pPr>
        <w:ind w:left="240" w:hanging="234"/>
        <w:spacing w:after="0"/>
        <w:tabs>
          <w:tab w:leader="none" w:pos="2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 trust (1) that is subject to the primary supervision of a court within the United States and for which one or more U.S. persons (as described in Section 7701(a)</w:t>
      </w:r>
    </w:p>
    <w:p>
      <w:pPr>
        <w:spacing w:after="0" w:line="44" w:lineRule="exact"/>
        <w:rPr>
          <w:rFonts w:ascii="Arial" w:cs="Arial" w:eastAsia="Arial" w:hAnsi="Arial"/>
          <w:sz w:val="15"/>
          <w:szCs w:val="15"/>
          <w:color w:val="auto"/>
        </w:rPr>
      </w:pPr>
    </w:p>
    <w:p>
      <w:pPr>
        <w:ind w:left="240" w:right="460" w:firstLine="4"/>
        <w:spacing w:after="0" w:line="279" w:lineRule="auto"/>
        <w:tabs>
          <w:tab w:leader="none" w:pos="569" w:val="left"/>
        </w:tabs>
        <w:numPr>
          <w:ilvl w:val="1"/>
          <w:numId w:val="35"/>
        </w:numPr>
        <w:rPr>
          <w:rFonts w:ascii="Arial" w:cs="Arial" w:eastAsia="Arial" w:hAnsi="Arial"/>
          <w:sz w:val="17"/>
          <w:szCs w:val="17"/>
          <w:color w:val="auto"/>
        </w:rPr>
      </w:pPr>
      <w:r>
        <w:rPr>
          <w:rFonts w:ascii="Arial" w:cs="Arial" w:eastAsia="Arial" w:hAnsi="Arial"/>
          <w:sz w:val="17"/>
          <w:szCs w:val="17"/>
          <w:color w:val="auto"/>
        </w:rPr>
        <w:t>of the Code) have the authority to control all of the substantial decisions, or (2) that was treated as a domestic trust on August 19, 1996, and has a valid election in effect under applicable Treasury regulations to be treated as a U.S. person.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used in this summary, a “non-U.S. Holder” is any person who is a beneficial owner of shares of our common stock and who is not a U.S. Person.</w:t>
      </w:r>
    </w:p>
    <w:p>
      <w:pPr>
        <w:spacing w:after="0" w:line="228" w:lineRule="exact"/>
        <w:rPr>
          <w:sz w:val="20"/>
          <w:szCs w:val="20"/>
          <w:color w:val="auto"/>
        </w:rPr>
      </w:pPr>
    </w:p>
    <w:p>
      <w:pPr>
        <w:ind w:right="40"/>
        <w:spacing w:after="0" w:line="302" w:lineRule="auto"/>
        <w:rPr>
          <w:sz w:val="20"/>
          <w:szCs w:val="20"/>
          <w:color w:val="auto"/>
        </w:rPr>
      </w:pPr>
      <w:r>
        <w:rPr>
          <w:rFonts w:ascii="Arial" w:cs="Arial" w:eastAsia="Arial" w:hAnsi="Arial"/>
          <w:sz w:val="15"/>
          <w:szCs w:val="15"/>
          <w:color w:val="auto"/>
        </w:rPr>
        <w:t>This summary does not discuss U.S. federal tax consequences to U.S. holders. It also does not discuss all U.S. federal income tax considerations that may be relevant to non-U.S. Holders in light of their particular circumstances or that may be relevant to certain holders that are subject to special treatment under U.S. federal income tax law (for example, insurance companies, tax-exempt organizations, financial institutions, dealers in securities, persons who hold shares as part of a straddle, hedging, constructive sale, or conversion transaction and persons who acquire shares through exercise of employee stock options or otherwise as compensation for services). This summary does not address certain special rules that apply to non-U.S. Holders that are “controlled foreign corporations,” “foreign personal holding companies,” “passive foreign investment companies” or corporations that accumulate earnings to avoid U.S. federal income tax. Furthermore, this summary does not address any aspects of state, local or foreign taxation. This summary is limited to those persons that hold shares of our common stock as “capital assets” within the meaning of Section 1221 of the Code. In the case of any non-U.S. Holder who is an individual, the following discussion assumes that this individual was not formerly a U.S. citizen, and was not formerly a resident of the United States for U.S. federal income tax purposes.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89" w:name="page90"/>
    <w:bookmarkEnd w:id="89"/>
    <w:p>
      <w:pPr>
        <w:spacing w:after="0" w:line="286" w:lineRule="auto"/>
        <w:rPr>
          <w:sz w:val="20"/>
          <w:szCs w:val="20"/>
          <w:color w:val="auto"/>
        </w:rPr>
      </w:pPr>
      <w:r>
        <w:rPr>
          <w:rFonts w:ascii="Arial" w:cs="Arial" w:eastAsia="Arial" w:hAnsi="Arial"/>
          <w:sz w:val="17"/>
          <w:szCs w:val="17"/>
          <w:color w:val="auto"/>
        </w:rPr>
        <w:t>If a partnership holds our common stock, the tax treatment of a partner will generally depend upon the status of the partner and the activities of the partnership. If you are a partner of a partnership holding our common stock, you should consult your tax advisor.</w:t>
      </w:r>
    </w:p>
    <w:p>
      <w:pPr>
        <w:spacing w:after="0" w:line="163" w:lineRule="exact"/>
        <w:rPr>
          <w:sz w:val="20"/>
          <w:szCs w:val="20"/>
          <w:color w:val="auto"/>
        </w:rPr>
      </w:pPr>
    </w:p>
    <w:p>
      <w:pPr>
        <w:ind w:right="880"/>
        <w:spacing w:after="0" w:line="293" w:lineRule="auto"/>
        <w:rPr>
          <w:sz w:val="20"/>
          <w:szCs w:val="20"/>
          <w:color w:val="auto"/>
        </w:rPr>
      </w:pPr>
      <w:r>
        <w:rPr>
          <w:rFonts w:ascii="Arial" w:cs="Arial" w:eastAsia="Arial" w:hAnsi="Arial"/>
          <w:sz w:val="17"/>
          <w:szCs w:val="17"/>
          <w:b w:val="1"/>
          <w:bCs w:val="1"/>
          <w:color w:val="auto"/>
        </w:rPr>
        <w:t>This summary is included for general information only. Potential investors should consult their own tax advisors with respect to their particular circumstances.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 on shares</w:t>
      </w:r>
    </w:p>
    <w:p>
      <w:pPr>
        <w:spacing w:after="0" w:line="227"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A dividend received by a non-U.S. Holder (including a payment received in a redemption that does not qualify as an “exchange” under Section 302(b) of the Code) on shares of our common stock will be subject to withholding of U.S. federal income tax at a rate of 30% (or such lower rate as may be specified by an applicable income tax treaty), unless the dividend income is effectively connected with a U.S. trade or business conducted by the Non-U.S. Holder (and the non-U.S. Holder provides us with a properly executed IRS Form W-8ECI certifying such fact). This withholding applies even if the non-U.S. Holder has furnished the certification required to avoid backup withholding (see “Backup Withholding and Information Reporting” below) with respect to the dividend. Any dividend that is effectively connected with a U.S. trade or business conducted by the non-U.S. Holder will be subject to U.S. federal income tax at normal graduated rates (and if the non-U.S. Holder is a corporation, the dividend may also be subject to an additional branch profits tax). In order to claim treaty benefits (such as a reduction in the rate of U.S. withholding tax), the non-U.S. Holder must deliver to us a properly executed IRS Form W-8BEN or Form W-8IMY prior to the dividend payment. If the non-U.S. Holder is an entity that is classified for U.S. federal income tax purposes as a partnership, then unless the partnership has entered into a withholding agreement with the IRS, the partnership will be required, in addition to providing an IRS Form W-8IMY, to attach an appropriate certification by each partner, and to attach a statement allocating the dividend income among the various partners.</w:t>
      </w:r>
    </w:p>
    <w:p>
      <w:pPr>
        <w:spacing w:after="0" w:line="1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you are eligible for a reduced rate of U.S. withholding tax pursuant to an income tax treaty, then you may obtain a refund of any excess amounts withheld by filing an appropriate claim for refund with the IRS.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Sale of shares</w:t>
      </w:r>
    </w:p>
    <w:p>
      <w:pPr>
        <w:spacing w:after="0" w:line="227"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Any gain or loss recognized by a non-U.S. Holder upon a sale of shares (including a redemption that qualifies as an “exchange” under Section 302(b) of the Code) will be a capital gain or loss. Any such capital gain will not be subject to U.S. federal income tax, unless: (1) the gain is effectively connected with a U.S. trade or business conducted by the non-U.S. Holder; (2) the non-U.S. Holder is an individual who is present in the United States for 183 days or more in the taxable year of the sale and certain other conditions are met; or (3) we are, or have been during certain periods preceding the disposition, a “United States real property holding corporation” and either our shares are not regularly traded on an established securities market or you have owned more than 5% of our common stock at any time during a specified period. If you are described in clause (1), you will be subject to tax on the gain derived from the sale under regular graduated U.S. federal income tax rates and, if you are a foreign corporation, you may also be subject to a branch profits tax equal to 30% of your effectively connected earnings and profits or at such lower rate as may be specified by an applicable income tax treaty. If you are described in clause (2), you will be subject to a flat 30% tax on gain derived from the sale, which may be offset by U.S. source capital losses (even though you are not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90" w:name="page91"/>
    <w:bookmarkEnd w:id="90"/>
    <w:p>
      <w:pPr>
        <w:ind w:right="360"/>
        <w:spacing w:after="0" w:line="286" w:lineRule="auto"/>
        <w:rPr>
          <w:sz w:val="20"/>
          <w:szCs w:val="20"/>
          <w:color w:val="auto"/>
        </w:rPr>
      </w:pPr>
      <w:r>
        <w:rPr>
          <w:rFonts w:ascii="Arial" w:cs="Arial" w:eastAsia="Arial" w:hAnsi="Arial"/>
          <w:sz w:val="17"/>
          <w:szCs w:val="17"/>
          <w:color w:val="auto"/>
        </w:rPr>
        <w:t>considered a resident of the United States for income tax purposes). We do not believe we are a “United States real property holding corporation,” and we do not expect ever to become one.</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Backup withholding and information reporting</w:t>
      </w:r>
    </w:p>
    <w:p>
      <w:pPr>
        <w:spacing w:after="0" w:line="227"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color w:val="auto"/>
        </w:rPr>
        <w:t>We must report annually to the IRS and to each non-U.S. Holder the amount of dividends paid to a non-U.S. Holder and the tax withheld (if any). This information may also be made available to the tax authorities in the non-U.S. Holder’s country of residence. A Non-U.S. Holder will not be subject to backup withholding on dividends on our shares if the owner of the shares certifies under penalties of perjury that it is not a U.S. Person (such certification may be made on an IRS Form W-8BEN), or otherwise establishes an exemption. If a Non-U.S. Holder sells shares through a U.S. office of a U.S. or foreign broker, the payment of the sale proceeds by the broker will be subject to information reporting and backup withholding, unless the owner of the shares provides the certification described above (and the payor does not have actual knowledge or reason to know that the beneficial owner is a U.S. Person) or otherwise establishes an exemption. If a non-U.S. Holder sells shares through a foreign office of a broker, backup withholding is not required. Information reporting is required if (i) the broker does not have documentary evidence that the holder is not a U.S. Person, and (ii) the broker is a U.S. Person or has certain other connections to the United States.</w:t>
      </w:r>
    </w:p>
    <w:p>
      <w:pPr>
        <w:spacing w:after="0" w:line="1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Amounts withheld from a non-U.S. Holder under the backup withholding rules are generally allowable as a credit against the U.S. federal income tax liability (if any) of the non-U.S. Holder, and the non-U.S. Holder may obtain a refund of any amounts withheld that exceed the non-U.S. Holder’s actual U.S. federal income tax liability, provided that the required information is furnished to the IRS.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U.S. estate tax</w:t>
      </w:r>
    </w:p>
    <w:p>
      <w:pPr>
        <w:spacing w:after="0" w:line="227"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Any shares of our common stock that are held by an individual who is not a citizen of the United States and who is not domiciled in the United States at the time of his or her death generally will be treated as U.S.-situs assets for U.S. federal estate tax purposes and will be subject to U.S. federal estate tax, except as may otherwise be provided by an applicable estate tax treaty between the United States and the decedent’s country of residence.</w:t>
      </w:r>
    </w:p>
    <w:p>
      <w:pPr>
        <w:spacing w:after="0" w:line="158" w:lineRule="exact"/>
        <w:rPr>
          <w:sz w:val="20"/>
          <w:szCs w:val="20"/>
          <w:color w:val="auto"/>
        </w:rPr>
      </w:pPr>
    </w:p>
    <w:p>
      <w:pPr>
        <w:ind w:right="80"/>
        <w:spacing w:after="0" w:line="329" w:lineRule="auto"/>
        <w:rPr>
          <w:sz w:val="20"/>
          <w:szCs w:val="20"/>
          <w:color w:val="auto"/>
        </w:rPr>
      </w:pPr>
      <w:r>
        <w:rPr>
          <w:rFonts w:ascii="Arial" w:cs="Arial" w:eastAsia="Arial" w:hAnsi="Arial"/>
          <w:sz w:val="15"/>
          <w:szCs w:val="15"/>
          <w:b w:val="1"/>
          <w:bCs w:val="1"/>
          <w:color w:val="auto"/>
        </w:rPr>
        <w:t>The preceding discussion of the material federal income tax consequences of the ownership and disposition of our common stock is for general information only and is not tax advice. Accordingly, you should consult your own tax advisor as to the particular tax consequences to you of purchasing, holding and disposing of our common stock, including the applicability and effect of state, local or foreign tax laws, and of any proposed changes in applicable law.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24"/>
          <w:szCs w:val="24"/>
          <w:b w:val="1"/>
          <w:bCs w:val="1"/>
          <w:color w:val="auto"/>
        </w:rPr>
        <w:t>Plan of distribution</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registering the shares of common stock for resale on behalf of the selling stockholders. As used herein, “selling stockholders” includes donees, pledgees, transferees or other successors in interest selling securities received from a selling stockholder after the date of this prospectus. We will receive no proceeds from any shares of our common stock sold hereunder.</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Any selling stockholder may offer any of its securities at various times in one or more of the following transactions (which may include block transactions):</w:t>
      </w:r>
    </w:p>
    <w:p>
      <w:pPr>
        <w:spacing w:after="0" w:line="239" w:lineRule="exact"/>
        <w:rPr>
          <w:sz w:val="20"/>
          <w:szCs w:val="20"/>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one or more exchanges or over-the-counter market transactions;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private transactions other than exchange or over-the-counter market transactions;</w:t>
      </w:r>
    </w:p>
    <w:p>
      <w:pPr>
        <w:spacing w:after="0" w:line="227" w:lineRule="exact"/>
        <w:rPr>
          <w:rFonts w:ascii="Arial" w:cs="Arial" w:eastAsia="Arial" w:hAnsi="Arial"/>
          <w:sz w:val="17"/>
          <w:szCs w:val="17"/>
          <w:color w:val="auto"/>
        </w:rPr>
      </w:pPr>
    </w:p>
    <w:p>
      <w:pPr>
        <w:ind w:left="120" w:right="380" w:hanging="114"/>
        <w:spacing w:after="0" w:line="286" w:lineRule="auto"/>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through short sales, put and call option or other derivative transactions, although neither Blackbaud nor any of the selling stockholders concedes that any such transactions would constitute a sale of the securities for purposes of the Securities Act;</w:t>
      </w:r>
    </w:p>
    <w:p>
      <w:pPr>
        <w:spacing w:after="0" w:line="195" w:lineRule="exact"/>
        <w:rPr>
          <w:rFonts w:ascii="Arial" w:cs="Arial" w:eastAsia="Arial" w:hAnsi="Arial"/>
          <w:sz w:val="17"/>
          <w:szCs w:val="17"/>
          <w:color w:val="auto"/>
        </w:rPr>
      </w:pPr>
    </w:p>
    <w:p>
      <w:pPr>
        <w:ind w:left="120" w:right="80" w:hanging="114"/>
        <w:spacing w:after="0" w:line="273" w:lineRule="auto"/>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through underwriters, brokers or dealers (who may act as agent or principal) who may receive compensation in the form of underwriting discounts, concessions or commissions from the selling stockholders and/or the purchasers of securities, for whom they may act as agent or to whom they sell as principal, or both (which compensation as to a particular underwriter, dealer or agent might be in excess of customary commissions);</w:t>
      </w:r>
    </w:p>
    <w:p>
      <w:pPr>
        <w:spacing w:after="0" w:line="206"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purchases by a broker or dealer as principal and resales by such broker or dealer for its account pursuant to this prospectus;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directly to one or more purchasers;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pursuant to a contract, instruction or plan of sale in compliance with Rule 10b5-1 promulgated under the Exchange Act;</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through agents;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through distribution by a selling stockholder or its successor in interest to its members, partners or shareholders;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negotiated transactions;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by pledge to secure debts and other obligations;</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other method permitted pursuant to applicable law; or</w:t>
      </w:r>
    </w:p>
    <w:p>
      <w:pPr>
        <w:spacing w:after="0" w:line="227" w:lineRule="exact"/>
        <w:rPr>
          <w:rFonts w:ascii="Arial" w:cs="Arial" w:eastAsia="Arial" w:hAnsi="Arial"/>
          <w:sz w:val="17"/>
          <w:szCs w:val="17"/>
          <w:color w:val="auto"/>
        </w:rPr>
      </w:pPr>
    </w:p>
    <w:p>
      <w:pPr>
        <w:ind w:left="120" w:hanging="114"/>
        <w:spacing w:after="0"/>
        <w:tabs>
          <w:tab w:leader="none" w:pos="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a combination of any of the foregoing methods.</w:t>
      </w:r>
    </w:p>
    <w:p>
      <w:pPr>
        <w:spacing w:after="0" w:line="200" w:lineRule="exact"/>
        <w:rPr>
          <w:sz w:val="20"/>
          <w:szCs w:val="20"/>
          <w:color w:val="auto"/>
        </w:rPr>
      </w:pPr>
    </w:p>
    <w:p>
      <w:pPr>
        <w:spacing w:after="0" w:line="24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A selling stockholder also may resell all or a portion of its securities in open market transactions in reliance upon Rule 144 under the Securities Act, provided it meets the criteria and conforms to the requirements of Rule 144.</w:t>
      </w:r>
    </w:p>
    <w:p>
      <w:pPr>
        <w:spacing w:after="0" w:line="16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a selling stockholder. A selling stockholder may also enter into options or other transactions with broker-dealers or other financial institutions which require the delivery to such broker-dealer or their financial institution of the securities offered hereby, which securities such broker-dealer or their financial institution may resell pursuant to this prospectus as supplemented or amended to reflect such transaction.</w:t>
      </w:r>
    </w:p>
    <w:p>
      <w:pPr>
        <w:spacing w:after="0" w:line="187" w:lineRule="exact"/>
        <w:rPr>
          <w:sz w:val="20"/>
          <w:szCs w:val="20"/>
          <w:color w:val="auto"/>
        </w:rPr>
      </w:pPr>
    </w:p>
    <w:p>
      <w:pPr>
        <w:ind w:right="260"/>
        <w:spacing w:after="0" w:line="325" w:lineRule="auto"/>
        <w:rPr>
          <w:sz w:val="20"/>
          <w:szCs w:val="20"/>
          <w:color w:val="auto"/>
        </w:rPr>
      </w:pPr>
      <w:r>
        <w:rPr>
          <w:rFonts w:ascii="Arial" w:cs="Arial" w:eastAsia="Arial" w:hAnsi="Arial"/>
          <w:sz w:val="15"/>
          <w:szCs w:val="15"/>
          <w:color w:val="auto"/>
        </w:rPr>
        <w:t>In effecting sales, brokers and dealers engaged by the selling stockholders may arrange for other brokers or dealers to participate in such sales. Brokers or dealers may receive commissions or discounts from the selling stockholders (or, if any such broker-dealer acts as agent for the purchaser of such shares, from such purchaser) in amounts to be negotiated which are not expected to exceed those customary in the types of transactions involved. Broker-dealers may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7" w:right="279" w:bottom="1440" w:gutter="0" w:footer="0" w:header="0"/>
        </w:sectPr>
      </w:pPr>
    </w:p>
    <w:bookmarkStart w:id="92" w:name="page93"/>
    <w:bookmarkEnd w:id="92"/>
    <w:p>
      <w:pPr>
        <w:ind w:right="80"/>
        <w:spacing w:after="0" w:line="306" w:lineRule="auto"/>
        <w:rPr>
          <w:sz w:val="20"/>
          <w:szCs w:val="20"/>
          <w:color w:val="auto"/>
        </w:rPr>
      </w:pPr>
      <w:r>
        <w:rPr>
          <w:rFonts w:ascii="Arial" w:cs="Arial" w:eastAsia="Arial" w:hAnsi="Arial"/>
          <w:sz w:val="15"/>
          <w:szCs w:val="15"/>
          <w:color w:val="auto"/>
        </w:rPr>
        <w:t>agree with the selling stockholders to sell a specified number of such shares of common stock at a stipulated price per share, and, to the extent such broker-dealer is unable to do so acting as agent for a selling stockholder, to purchase as principal any unsold shares of common stock at the price required to fulfill the broker-dealer commitment to the selling stockholders. Broker-dealers who acquire shares of common stock as principal may thereafter resell such shares of common stock from time to time in transactions (which may involve block transactions and sales to and through other broker-dealers, including transactions of the nature described above) in the over-the-counter market or otherwise at prices and on terms then prevailing at the time of sale, at prices then related to the then-current market price or in negotiated transactions and, in connection with such resales, may pay to or receive from the purchasers of such shares commissions as described below.</w:t>
      </w:r>
    </w:p>
    <w:p>
      <w:pPr>
        <w:spacing w:after="0" w:line="162" w:lineRule="exact"/>
        <w:rPr>
          <w:sz w:val="20"/>
          <w:szCs w:val="20"/>
          <w:color w:val="auto"/>
        </w:rPr>
      </w:pPr>
    </w:p>
    <w:p>
      <w:pPr>
        <w:ind w:right="740"/>
        <w:spacing w:after="0" w:line="286" w:lineRule="auto"/>
        <w:rPr>
          <w:sz w:val="20"/>
          <w:szCs w:val="20"/>
          <w:color w:val="auto"/>
        </w:rPr>
      </w:pPr>
      <w:r>
        <w:rPr>
          <w:rFonts w:ascii="Arial" w:cs="Arial" w:eastAsia="Arial" w:hAnsi="Arial"/>
          <w:sz w:val="17"/>
          <w:szCs w:val="17"/>
          <w:color w:val="auto"/>
        </w:rPr>
        <w:t>A selling stockholder may offer and sell securities other than for cash. In such event, any required details of the transaction will be set forth in a prospectus supplement.</w:t>
      </w:r>
    </w:p>
    <w:p>
      <w:pPr>
        <w:spacing w:after="0" w:line="169"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color w:val="auto"/>
        </w:rPr>
        <w:t>The selling stockholders and any underwriters, dealers or agents that participate in the distribution of securities may be deemed to be underwriters, and any profit on the sale of securities by them and any discounts, commissions or concessions received by any such underwriters, dealers or agents might be deemed to be underwriting discounts and commissions under the Securities Act. If we are advised that an underwriter has been engaged with respect to the sale of any securities offered hereby, or in the event of any other material change in the plan of distribution, we will cause appropriate amendments to the registration statement of which this prospectus forms a part to be filed with the SEC reflecting such engagement or other change. See “Where You Can Find More Information”.</w:t>
      </w:r>
    </w:p>
    <w:p>
      <w:pPr>
        <w:spacing w:after="0" w:line="15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At the time a particular offer of securities is made, to the extent required, a prospectus supplement will be provided by us and distributed by the relevant selling stockholder which will set forth the aggregate amount and type of the securities being offered and the terms of the offering, including the name or names of any underwriters, dealers or agents, any discounts, commissions and other items constituting compensation from the selling stockholders and any discount, commissions or concessions allowed or reallowed or paid to dealers.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securities may be sold from time to time in one or more transactions at a fixed offering price, which may be changed, or at market prices prevailing at the time of the sale, at varying prices determined at the time of sale or at negotiated prices. Such prices will be determined individually by the selling stockholders or by agreement among two or more of the selling stockholders.</w:t>
      </w:r>
    </w:p>
    <w:p>
      <w:pPr>
        <w:spacing w:after="0" w:line="180"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Under applicable rules and regulations under the Exchange Act, any person engaged in a distribution of securities may not simultaneously engage in market-making activities with respect to such securities for a period of nine business days prior to the commencement of such distribution and ending upon the completion of such distribution. In addition to and without limiting the foregoing, each selling stockholder will be subject to applicable provisions of the Exchange Act and the rules and regulations thereunder, including without limitation Regulation M, which provisions may limit the timing of purchases and sales of any of the securities by the selling stockholders. All of the foregoing may affect the marketability of the securities and the ability of any person or entity to engage in market-making activities with respect to the securities.</w:t>
      </w:r>
    </w:p>
    <w:p>
      <w:pPr>
        <w:spacing w:after="0" w:line="18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will pay all expenses of the registration of the shares of common stock pursuant to the registration rights agreement, including, without limitation, SEC filing fees, expenses of compliance with state securities or “blue sky” laws and underwriting discounts and selling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93" w:name="page94"/>
    <w:bookmarkEnd w:id="93"/>
    <w:p>
      <w:pPr>
        <w:ind w:right="40"/>
        <w:spacing w:after="0" w:line="268" w:lineRule="auto"/>
        <w:rPr>
          <w:sz w:val="20"/>
          <w:szCs w:val="20"/>
          <w:color w:val="auto"/>
        </w:rPr>
      </w:pPr>
      <w:r>
        <w:rPr>
          <w:rFonts w:ascii="Arial" w:cs="Arial" w:eastAsia="Arial" w:hAnsi="Arial"/>
          <w:sz w:val="17"/>
          <w:szCs w:val="17"/>
          <w:color w:val="auto"/>
        </w:rPr>
        <w:t>commissions, if any. We will indemnify the selling stockholders against liabilities, including some liabilities under the Securities Act, in accordance with the investor rights agreement, or the selling stockholders will be entitled to contribution. We may be indemnified by the selling stockholders against civil liabilities, including liabilities under the Securities Act, that arise from any written information furnished to us by the selling stockholder specifically for use in this prospectus, in accordance with the related investor rights agreement, or we may be entitled to contribution.</w:t>
      </w:r>
    </w:p>
    <w:p>
      <w:pPr>
        <w:spacing w:after="0" w:line="185"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In order to comply with certain states’ securities laws, if applicable, the shares of common stock will be sold in such jurisdictions only through registered or licensed brokers or dealers. In addition, in certain states the common stock may not be sold unless the common stock has been registered or qualified for sale in such state or an exemption from registration or qualification is available and is satisfied.</w:t>
      </w:r>
    </w:p>
    <w:p>
      <w:pPr>
        <w:spacing w:after="0" w:line="180"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Once sold under the shelf registration statement, of which this prospectus forms a part, the shares of common stock will be freely tradable in the hands of persons other than our affiliates.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Legal matters</w:t>
      </w:r>
    </w:p>
    <w:p>
      <w:pPr>
        <w:spacing w:after="0" w:line="23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validity of the issuance of our shares of common stock offered by this prospectus will be passed upon for us by Wyrick Robbins Yates &amp; Ponton LLP, Raleigh, North Carolina.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Experts</w:t>
      </w:r>
    </w:p>
    <w:p>
      <w:pPr>
        <w:spacing w:after="0" w:line="23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consolidated financial statements as of December 31, 2003 and 2002 and for each of the three years in the period ended December 31, 2003 included in this prospectus have been so included in reliance on the report of PricewaterhouseCoopers LLP, an independent registered public accounting firm, given on the authority of said firm as experts in auditing and accounting.</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Where you can find more information</w:t>
      </w:r>
    </w:p>
    <w:p>
      <w:pPr>
        <w:spacing w:after="0" w:line="23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have filed with the SEC a registration statement on Form S-1, including exhibits, under the Securities Act of 1933 with respect to the shares of our common stock that might be sold under this prospectus. This prospectus does not contain all of the information set forth in the registration statement. For further information with respect to us and the shares that might be sold hereunder, reference is made to the registration statement and the exhibits attached to the registration statement. Statements contained in this prospectus as to the contents of any contract, agreement or other document referred to are not necessarily complete. We are subject to the information and reporting requirements of the Securities Exchange Act of 1934 and file annual, quarterly and current reports, proxy statements and other information with the SEC.</w:t>
      </w:r>
    </w:p>
    <w:p>
      <w:pPr>
        <w:spacing w:after="0" w:line="18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You may read and copy all or any portion of the registration statement or any of our annual, quarterly and current reports, proxy statements or other information that we file at the SEC’s Public Reference Room at 450 Fifth Street, N.W., Washington, D.C. 20549. You can request copies of these documents, upon payment of a duplicating fee, by writing to the SEC. Please call the SEC at 1-800-SEC-0330 for further information on the operation of the Public Reference Room. Our SEC filings, including the registration statement, are also available to you on the SEC’s web site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4"/>
          <w:szCs w:val="24"/>
          <w:b w:val="1"/>
          <w:bCs w:val="1"/>
          <w:color w:val="auto"/>
        </w:rPr>
        <w:t>Index to consolidated financial statements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30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9"/>
              </w:rPr>
              <w:t>Page</w:t>
            </w:r>
          </w:p>
        </w:tc>
        <w:tc>
          <w:tcPr>
            <w:tcW w:w="2280" w:type="dxa"/>
            <w:vAlign w:val="bottom"/>
          </w:tcPr>
          <w:p>
            <w:pPr>
              <w:spacing w:after="0"/>
              <w:rPr>
                <w:sz w:val="13"/>
                <w:szCs w:val="13"/>
                <w:color w:val="auto"/>
              </w:rPr>
            </w:pPr>
          </w:p>
        </w:tc>
      </w:tr>
      <w:tr>
        <w:trPr>
          <w:trHeight w:val="212"/>
        </w:trPr>
        <w:tc>
          <w:tcPr>
            <w:tcW w:w="2300" w:type="dxa"/>
            <w:vAlign w:val="bottom"/>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5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3"/>
              </w:rPr>
              <w:t>F-2</w:t>
            </w:r>
          </w:p>
        </w:tc>
        <w:tc>
          <w:tcPr>
            <w:tcW w:w="2280" w:type="dxa"/>
            <w:vAlign w:val="bottom"/>
          </w:tcPr>
          <w:p>
            <w:pPr>
              <w:spacing w:after="0"/>
              <w:rPr>
                <w:sz w:val="18"/>
                <w:szCs w:val="18"/>
                <w:color w:val="auto"/>
              </w:rPr>
            </w:pPr>
          </w:p>
        </w:tc>
      </w:tr>
      <w:tr>
        <w:trPr>
          <w:trHeight w:val="203"/>
        </w:trPr>
        <w:tc>
          <w:tcPr>
            <w:tcW w:w="230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w w:val="91"/>
              </w:rPr>
              <w:t>Consolidated balance sheets as of December 31, 2002 and 2003 and September 30, 2004</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F-3</w:t>
            </w:r>
          </w:p>
        </w:tc>
        <w:tc>
          <w:tcPr>
            <w:tcW w:w="2280" w:type="dxa"/>
            <w:vAlign w:val="bottom"/>
          </w:tcPr>
          <w:p>
            <w:pPr>
              <w:spacing w:after="0"/>
              <w:rPr>
                <w:sz w:val="17"/>
                <w:szCs w:val="17"/>
                <w:color w:val="auto"/>
              </w:rPr>
            </w:pPr>
          </w:p>
        </w:tc>
      </w:tr>
      <w:tr>
        <w:trPr>
          <w:trHeight w:val="219"/>
        </w:trPr>
        <w:tc>
          <w:tcPr>
            <w:tcW w:w="230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7"/>
                <w:szCs w:val="17"/>
                <w:color w:val="auto"/>
              </w:rPr>
              <w:t>(unaudited)</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5"/>
        </w:trPr>
        <w:tc>
          <w:tcPr>
            <w:tcW w:w="2300" w:type="dxa"/>
            <w:vAlign w:val="bottom"/>
          </w:tcPr>
          <w:p>
            <w:pPr>
              <w:spacing w:after="0"/>
              <w:rPr>
                <w:sz w:val="17"/>
                <w:szCs w:val="17"/>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w w:val="92"/>
              </w:rPr>
              <w:t>Consolidated statements of operations for the years ended December 31, 2001, 2002 and</w:t>
            </w:r>
          </w:p>
        </w:tc>
        <w:tc>
          <w:tcPr>
            <w:tcW w:w="5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3"/>
              </w:rPr>
              <w:t>F-4</w:t>
            </w:r>
          </w:p>
        </w:tc>
        <w:tc>
          <w:tcPr>
            <w:tcW w:w="2280" w:type="dxa"/>
            <w:vAlign w:val="bottom"/>
          </w:tcPr>
          <w:p>
            <w:pPr>
              <w:spacing w:after="0"/>
              <w:rPr>
                <w:sz w:val="17"/>
                <w:szCs w:val="17"/>
                <w:color w:val="auto"/>
              </w:rPr>
            </w:pPr>
          </w:p>
        </w:tc>
      </w:tr>
      <w:tr>
        <w:trPr>
          <w:trHeight w:val="220"/>
        </w:trPr>
        <w:tc>
          <w:tcPr>
            <w:tcW w:w="2300" w:type="dxa"/>
            <w:vAlign w:val="bottom"/>
          </w:tcPr>
          <w:p>
            <w:pPr>
              <w:spacing w:after="0"/>
              <w:rPr>
                <w:sz w:val="19"/>
                <w:szCs w:val="19"/>
                <w:color w:val="auto"/>
              </w:rPr>
            </w:pPr>
          </w:p>
        </w:tc>
        <w:tc>
          <w:tcPr>
            <w:tcW w:w="62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2003 and the nine months ended September 30, 2003 and 2004 (unaudited)</w:t>
            </w:r>
          </w:p>
        </w:tc>
        <w:tc>
          <w:tcPr>
            <w:tcW w:w="560" w:type="dxa"/>
            <w:vAlign w:val="bottom"/>
            <w:shd w:val="clear" w:color="auto" w:fill="EEEEEE"/>
          </w:tcPr>
          <w:p>
            <w:pPr>
              <w:spacing w:after="0"/>
              <w:rPr>
                <w:sz w:val="19"/>
                <w:szCs w:val="19"/>
                <w:color w:val="auto"/>
              </w:rPr>
            </w:pPr>
          </w:p>
        </w:tc>
        <w:tc>
          <w:tcPr>
            <w:tcW w:w="2280" w:type="dxa"/>
            <w:vAlign w:val="bottom"/>
          </w:tcPr>
          <w:p>
            <w:pPr>
              <w:spacing w:after="0"/>
              <w:rPr>
                <w:sz w:val="19"/>
                <w:szCs w:val="19"/>
                <w:color w:val="auto"/>
              </w:rPr>
            </w:pPr>
          </w:p>
        </w:tc>
      </w:tr>
      <w:tr>
        <w:trPr>
          <w:trHeight w:val="203"/>
        </w:trPr>
        <w:tc>
          <w:tcPr>
            <w:tcW w:w="2300" w:type="dxa"/>
            <w:vAlign w:val="bottom"/>
          </w:tcPr>
          <w:p>
            <w:pPr>
              <w:spacing w:after="0"/>
              <w:rPr>
                <w:sz w:val="17"/>
                <w:szCs w:val="17"/>
                <w:color w:val="auto"/>
              </w:rPr>
            </w:pPr>
          </w:p>
        </w:tc>
        <w:tc>
          <w:tcPr>
            <w:tcW w:w="6280" w:type="dxa"/>
            <w:vAlign w:val="bottom"/>
          </w:tcPr>
          <w:p>
            <w:pPr>
              <w:spacing w:after="0"/>
              <w:rPr>
                <w:sz w:val="20"/>
                <w:szCs w:val="20"/>
                <w:color w:val="auto"/>
              </w:rPr>
            </w:pPr>
            <w:r>
              <w:rPr>
                <w:rFonts w:ascii="Arial" w:cs="Arial" w:eastAsia="Arial" w:hAnsi="Arial"/>
                <w:sz w:val="17"/>
                <w:szCs w:val="17"/>
                <w:color w:val="auto"/>
                <w:w w:val="92"/>
              </w:rPr>
              <w:t>Consolidated statements of cash flows for the years ended December 31, 2001, 2002 and</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F-5</w:t>
            </w:r>
          </w:p>
        </w:tc>
        <w:tc>
          <w:tcPr>
            <w:tcW w:w="2280" w:type="dxa"/>
            <w:vAlign w:val="bottom"/>
          </w:tcPr>
          <w:p>
            <w:pPr>
              <w:spacing w:after="0"/>
              <w:rPr>
                <w:sz w:val="17"/>
                <w:szCs w:val="17"/>
                <w:color w:val="auto"/>
              </w:rPr>
            </w:pPr>
          </w:p>
        </w:tc>
      </w:tr>
      <w:tr>
        <w:trPr>
          <w:trHeight w:val="219"/>
        </w:trPr>
        <w:tc>
          <w:tcPr>
            <w:tcW w:w="2300" w:type="dxa"/>
            <w:vAlign w:val="bottom"/>
          </w:tcPr>
          <w:p>
            <w:pPr>
              <w:spacing w:after="0"/>
              <w:rPr>
                <w:sz w:val="19"/>
                <w:szCs w:val="19"/>
                <w:color w:val="auto"/>
              </w:rPr>
            </w:pPr>
          </w:p>
        </w:tc>
        <w:tc>
          <w:tcPr>
            <w:tcW w:w="6280" w:type="dxa"/>
            <w:vAlign w:val="bottom"/>
          </w:tcPr>
          <w:p>
            <w:pPr>
              <w:ind w:left="120"/>
              <w:spacing w:after="0"/>
              <w:rPr>
                <w:sz w:val="20"/>
                <w:szCs w:val="20"/>
                <w:color w:val="auto"/>
              </w:rPr>
            </w:pPr>
            <w:r>
              <w:rPr>
                <w:rFonts w:ascii="Arial" w:cs="Arial" w:eastAsia="Arial" w:hAnsi="Arial"/>
                <w:sz w:val="17"/>
                <w:szCs w:val="17"/>
                <w:color w:val="auto"/>
              </w:rPr>
              <w:t>2003 and the nine months ended September 30, 2003 and 2004 (unaudited)</w:t>
            </w: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05"/>
        </w:trPr>
        <w:tc>
          <w:tcPr>
            <w:tcW w:w="2300" w:type="dxa"/>
            <w:vAlign w:val="bottom"/>
          </w:tcPr>
          <w:p>
            <w:pPr>
              <w:spacing w:after="0"/>
              <w:rPr>
                <w:sz w:val="17"/>
                <w:szCs w:val="17"/>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w w:val="94"/>
              </w:rPr>
              <w:t>Consolidated statements of shareholders’ equity (deficit) and comprehensive income for</w:t>
            </w:r>
          </w:p>
        </w:tc>
        <w:tc>
          <w:tcPr>
            <w:tcW w:w="560" w:type="dxa"/>
            <w:vAlign w:val="bottom"/>
            <w:shd w:val="clear" w:color="auto" w:fill="EEEEEE"/>
          </w:tcPr>
          <w:p>
            <w:pPr>
              <w:jc w:val="center"/>
              <w:spacing w:after="0"/>
              <w:rPr>
                <w:sz w:val="20"/>
                <w:szCs w:val="20"/>
                <w:color w:val="auto"/>
              </w:rPr>
            </w:pPr>
            <w:r>
              <w:rPr>
                <w:rFonts w:ascii="Arial" w:cs="Arial" w:eastAsia="Arial" w:hAnsi="Arial"/>
                <w:sz w:val="17"/>
                <w:szCs w:val="17"/>
                <w:color w:val="auto"/>
                <w:w w:val="93"/>
              </w:rPr>
              <w:t>F-6</w:t>
            </w:r>
          </w:p>
        </w:tc>
        <w:tc>
          <w:tcPr>
            <w:tcW w:w="2280" w:type="dxa"/>
            <w:vAlign w:val="bottom"/>
          </w:tcPr>
          <w:p>
            <w:pPr>
              <w:spacing w:after="0"/>
              <w:rPr>
                <w:sz w:val="17"/>
                <w:szCs w:val="17"/>
                <w:color w:val="auto"/>
              </w:rPr>
            </w:pPr>
          </w:p>
        </w:tc>
      </w:tr>
      <w:tr>
        <w:trPr>
          <w:trHeight w:val="212"/>
        </w:trPr>
        <w:tc>
          <w:tcPr>
            <w:tcW w:w="2300" w:type="dxa"/>
            <w:vAlign w:val="bottom"/>
          </w:tcPr>
          <w:p>
            <w:pPr>
              <w:spacing w:after="0"/>
              <w:rPr>
                <w:sz w:val="18"/>
                <w:szCs w:val="18"/>
                <w:color w:val="auto"/>
              </w:rPr>
            </w:pPr>
          </w:p>
        </w:tc>
        <w:tc>
          <w:tcPr>
            <w:tcW w:w="62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the years ended December 31, 2001, 2002 and 2003 and the nine months ended</w:t>
            </w:r>
          </w:p>
        </w:tc>
        <w:tc>
          <w:tcPr>
            <w:tcW w:w="560" w:type="dxa"/>
            <w:vAlign w:val="bottom"/>
            <w:shd w:val="clear" w:color="auto" w:fill="EEEEEE"/>
          </w:tcPr>
          <w:p>
            <w:pPr>
              <w:spacing w:after="0"/>
              <w:rPr>
                <w:sz w:val="18"/>
                <w:szCs w:val="18"/>
                <w:color w:val="auto"/>
              </w:rPr>
            </w:pPr>
          </w:p>
        </w:tc>
        <w:tc>
          <w:tcPr>
            <w:tcW w:w="2280" w:type="dxa"/>
            <w:vAlign w:val="bottom"/>
          </w:tcPr>
          <w:p>
            <w:pPr>
              <w:spacing w:after="0"/>
              <w:rPr>
                <w:sz w:val="18"/>
                <w:szCs w:val="18"/>
                <w:color w:val="auto"/>
              </w:rPr>
            </w:pPr>
          </w:p>
        </w:tc>
      </w:tr>
      <w:tr>
        <w:trPr>
          <w:trHeight w:val="220"/>
        </w:trPr>
        <w:tc>
          <w:tcPr>
            <w:tcW w:w="2300" w:type="dxa"/>
            <w:vAlign w:val="bottom"/>
          </w:tcPr>
          <w:p>
            <w:pPr>
              <w:spacing w:after="0"/>
              <w:rPr>
                <w:sz w:val="19"/>
                <w:szCs w:val="19"/>
                <w:color w:val="auto"/>
              </w:rPr>
            </w:pPr>
          </w:p>
        </w:tc>
        <w:tc>
          <w:tcPr>
            <w:tcW w:w="62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September 30, 2004 (unaudited)</w:t>
            </w:r>
          </w:p>
        </w:tc>
        <w:tc>
          <w:tcPr>
            <w:tcW w:w="560" w:type="dxa"/>
            <w:vAlign w:val="bottom"/>
            <w:shd w:val="clear" w:color="auto" w:fill="EEEEEE"/>
          </w:tcPr>
          <w:p>
            <w:pPr>
              <w:spacing w:after="0"/>
              <w:rPr>
                <w:sz w:val="19"/>
                <w:szCs w:val="19"/>
                <w:color w:val="auto"/>
              </w:rPr>
            </w:pPr>
          </w:p>
        </w:tc>
        <w:tc>
          <w:tcPr>
            <w:tcW w:w="2280" w:type="dxa"/>
            <w:vAlign w:val="bottom"/>
          </w:tcPr>
          <w:p>
            <w:pPr>
              <w:spacing w:after="0"/>
              <w:rPr>
                <w:sz w:val="19"/>
                <w:szCs w:val="19"/>
                <w:color w:val="auto"/>
              </w:rPr>
            </w:pPr>
          </w:p>
        </w:tc>
      </w:tr>
      <w:tr>
        <w:trPr>
          <w:trHeight w:val="217"/>
        </w:trPr>
        <w:tc>
          <w:tcPr>
            <w:tcW w:w="23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560" w:type="dxa"/>
            <w:vAlign w:val="bottom"/>
          </w:tcPr>
          <w:p>
            <w:pPr>
              <w:jc w:val="center"/>
              <w:spacing w:after="0"/>
              <w:rPr>
                <w:sz w:val="20"/>
                <w:szCs w:val="20"/>
                <w:color w:val="auto"/>
              </w:rPr>
            </w:pPr>
            <w:r>
              <w:rPr>
                <w:rFonts w:ascii="Arial" w:cs="Arial" w:eastAsia="Arial" w:hAnsi="Arial"/>
                <w:sz w:val="17"/>
                <w:szCs w:val="17"/>
                <w:color w:val="auto"/>
                <w:w w:val="93"/>
              </w:rPr>
              <w:t>F-7</w:t>
            </w:r>
          </w:p>
        </w:tc>
        <w:tc>
          <w:tcPr>
            <w:tcW w:w="2280" w:type="dxa"/>
            <w:vAlign w:val="bottom"/>
          </w:tcPr>
          <w:p>
            <w:pPr>
              <w:spacing w:after="0"/>
              <w:rPr>
                <w:sz w:val="18"/>
                <w:szCs w:val="18"/>
                <w:color w:val="auto"/>
              </w:rPr>
            </w:pPr>
          </w:p>
        </w:tc>
      </w:tr>
      <w:tr>
        <w:trPr>
          <w:trHeight w:val="415"/>
        </w:trPr>
        <w:tc>
          <w:tcPr>
            <w:tcW w:w="2300" w:type="dxa"/>
            <w:vAlign w:val="bottom"/>
          </w:tcPr>
          <w:p>
            <w:pPr>
              <w:spacing w:after="0"/>
              <w:rPr>
                <w:sz w:val="24"/>
                <w:szCs w:val="24"/>
                <w:color w:val="auto"/>
              </w:rPr>
            </w:pPr>
          </w:p>
        </w:tc>
        <w:tc>
          <w:tcPr>
            <w:tcW w:w="6280" w:type="dxa"/>
            <w:vAlign w:val="bottom"/>
          </w:tcPr>
          <w:p>
            <w:pPr>
              <w:ind w:left="3300"/>
              <w:spacing w:after="0"/>
              <w:rPr>
                <w:sz w:val="20"/>
                <w:szCs w:val="20"/>
                <w:color w:val="auto"/>
              </w:rPr>
            </w:pPr>
            <w:r>
              <w:rPr>
                <w:rFonts w:ascii="Arial" w:cs="Arial" w:eastAsia="Arial" w:hAnsi="Arial"/>
                <w:sz w:val="17"/>
                <w:szCs w:val="17"/>
                <w:color w:val="auto"/>
              </w:rPr>
              <w:t>F-1</w:t>
            </w:r>
          </w:p>
        </w:tc>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300" w:type="dxa"/>
            <w:vAlign w:val="bottom"/>
            <w:tcBorders>
              <w:bottom w:val="single" w:sz="8" w:color="808080"/>
            </w:tcBorders>
          </w:tcPr>
          <w:p>
            <w:pPr>
              <w:spacing w:after="0"/>
              <w:rPr>
                <w:sz w:val="19"/>
                <w:szCs w:val="19"/>
                <w:color w:val="auto"/>
              </w:rPr>
            </w:pPr>
          </w:p>
        </w:tc>
        <w:tc>
          <w:tcPr>
            <w:tcW w:w="6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95" w:name="page96"/>
    <w:bookmarkEnd w:id="95"/>
    <w:p>
      <w:pPr>
        <w:ind w:left="2840"/>
        <w:spacing w:after="0"/>
        <w:rPr>
          <w:sz w:val="20"/>
          <w:szCs w:val="20"/>
          <w:color w:val="auto"/>
        </w:rPr>
      </w:pPr>
      <w:r>
        <w:rPr>
          <w:rFonts w:ascii="Arial" w:cs="Arial" w:eastAsia="Arial" w:hAnsi="Arial"/>
          <w:sz w:val="24"/>
          <w:szCs w:val="24"/>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Blackbaud, Inc.</w:t>
      </w:r>
    </w:p>
    <w:p>
      <w:pPr>
        <w:spacing w:after="0" w:line="22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cash flows and shareholders’ equity (deficit) and comprehensive income present fairly, in all material respects, the financial position of Blackbaud, Inc. and its subsidiaries (the “Company”) at December 31, 2003 and 2002, and the results of their operations and their cash flows for each of the three years in the period ended December 31,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Note 1, the Company adopted Statement of Financial Accounting Standards No. 142, “Goodwill and Other Intangible Assets” as of January 1, 2002.</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Raleigh, North Carolina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20, 2004, except for Note 15, as to which the date is July 19, 2004</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7" w:right="259" w:bottom="1440" w:gutter="0" w:footer="0" w:header="0"/>
        </w:sectPr>
      </w:pPr>
    </w:p>
    <w:bookmarkStart w:id="96" w:name="page97"/>
    <w:bookmarkEnd w:id="96"/>
    <w:p>
      <w:pPr>
        <w:jc w:val="center"/>
        <w:ind w:right="-559"/>
        <w:spacing w:after="0"/>
        <w:rPr>
          <w:sz w:val="20"/>
          <w:szCs w:val="20"/>
          <w:color w:val="auto"/>
        </w:rPr>
      </w:pPr>
      <w:r>
        <w:rPr>
          <w:rFonts w:ascii="Arial" w:cs="Arial" w:eastAsia="Arial" w:hAnsi="Arial"/>
          <w:sz w:val="24"/>
          <w:szCs w:val="24"/>
          <w:b w:val="1"/>
          <w:bCs w:val="1"/>
          <w:color w:val="auto"/>
        </w:rPr>
        <w:t>Blackbaud, Inc.</w:t>
      </w:r>
    </w:p>
    <w:p>
      <w:pPr>
        <w:spacing w:after="0" w:line="213" w:lineRule="exact"/>
        <w:rPr>
          <w:sz w:val="20"/>
          <w:szCs w:val="20"/>
          <w:color w:val="auto"/>
        </w:rPr>
      </w:pPr>
    </w:p>
    <w:p>
      <w:pPr>
        <w:jc w:val="center"/>
        <w:ind w:right="-559"/>
        <w:spacing w:after="0"/>
        <w:rPr>
          <w:sz w:val="20"/>
          <w:szCs w:val="20"/>
          <w:color w:val="auto"/>
        </w:rPr>
      </w:pPr>
      <w:r>
        <w:rPr>
          <w:rFonts w:ascii="Arial" w:cs="Arial" w:eastAsia="Arial" w:hAnsi="Arial"/>
          <w:sz w:val="24"/>
          <w:szCs w:val="24"/>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219710</wp:posOffset>
            </wp:positionV>
            <wp:extent cx="65182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September 30,</w:t>
            </w:r>
          </w:p>
        </w:tc>
      </w:tr>
      <w:tr>
        <w:trPr>
          <w:trHeight w:val="94"/>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256"/>
        </w:trPr>
        <w:tc>
          <w:tcPr>
            <w:tcW w:w="5520" w:type="dxa"/>
            <w:vAlign w:val="bottom"/>
          </w:tcPr>
          <w:p>
            <w:pPr>
              <w:ind w:left="1580"/>
              <w:spacing w:after="0"/>
              <w:rPr>
                <w:sz w:val="20"/>
                <w:szCs w:val="20"/>
                <w:color w:val="auto"/>
              </w:rPr>
            </w:pPr>
            <w:r>
              <w:rPr>
                <w:rFonts w:ascii="Arial" w:cs="Arial" w:eastAsia="Arial" w:hAnsi="Arial"/>
                <w:sz w:val="13"/>
                <w:szCs w:val="13"/>
                <w:b w:val="1"/>
                <w:bCs w:val="1"/>
                <w:color w:val="auto"/>
              </w:rPr>
              <w:t>(in thousands, except share amounts)</w:t>
            </w:r>
          </w:p>
        </w:tc>
        <w:tc>
          <w:tcPr>
            <w:tcW w:w="340" w:type="dxa"/>
            <w:vAlign w:val="bottom"/>
          </w:tcPr>
          <w:p>
            <w:pPr>
              <w:spacing w:after="0"/>
              <w:rPr>
                <w:sz w:val="22"/>
                <w:szCs w:val="22"/>
                <w:color w:val="auto"/>
              </w:rPr>
            </w:pPr>
          </w:p>
        </w:tc>
        <w:tc>
          <w:tcPr>
            <w:tcW w:w="1360" w:type="dxa"/>
            <w:vAlign w:val="bottom"/>
          </w:tcPr>
          <w:p>
            <w:pPr>
              <w:jc w:val="right"/>
              <w:ind w:right="895"/>
              <w:spacing w:after="0"/>
              <w:rPr>
                <w:sz w:val="20"/>
                <w:szCs w:val="20"/>
                <w:color w:val="auto"/>
              </w:rPr>
            </w:pPr>
            <w:r>
              <w:rPr>
                <w:rFonts w:ascii="Arial" w:cs="Arial" w:eastAsia="Arial" w:hAnsi="Arial"/>
                <w:sz w:val="13"/>
                <w:szCs w:val="13"/>
                <w:b w:val="1"/>
                <w:bCs w:val="1"/>
                <w:color w:val="auto"/>
              </w:rPr>
              <w:t>2002</w:t>
            </w:r>
          </w:p>
        </w:tc>
        <w:tc>
          <w:tcPr>
            <w:tcW w:w="80" w:type="dxa"/>
            <w:vAlign w:val="bottom"/>
          </w:tcPr>
          <w:p>
            <w:pPr>
              <w:spacing w:after="0"/>
              <w:rPr>
                <w:sz w:val="22"/>
                <w:szCs w:val="22"/>
                <w:color w:val="auto"/>
              </w:rPr>
            </w:pPr>
          </w:p>
        </w:tc>
        <w:tc>
          <w:tcPr>
            <w:tcW w:w="840" w:type="dxa"/>
            <w:vAlign w:val="bottom"/>
          </w:tcPr>
          <w:p>
            <w:pPr>
              <w:jc w:val="right"/>
              <w:ind w:right="375"/>
              <w:spacing w:after="0"/>
              <w:rPr>
                <w:sz w:val="20"/>
                <w:szCs w:val="20"/>
                <w:color w:val="auto"/>
              </w:rPr>
            </w:pPr>
            <w:r>
              <w:rPr>
                <w:rFonts w:ascii="Arial" w:cs="Arial" w:eastAsia="Arial" w:hAnsi="Arial"/>
                <w:sz w:val="13"/>
                <w:szCs w:val="13"/>
                <w:b w:val="1"/>
                <w:bCs w:val="1"/>
                <w:color w:val="auto"/>
              </w:rPr>
              <w:t>2003</w:t>
            </w: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jc w:val="center"/>
              <w:ind w:right="595"/>
              <w:spacing w:after="0"/>
              <w:rPr>
                <w:sz w:val="20"/>
                <w:szCs w:val="20"/>
                <w:color w:val="auto"/>
              </w:rPr>
            </w:pPr>
            <w:r>
              <w:rPr>
                <w:rFonts w:ascii="Arial" w:cs="Arial" w:eastAsia="Arial" w:hAnsi="Arial"/>
                <w:sz w:val="13"/>
                <w:szCs w:val="13"/>
                <w:b w:val="1"/>
                <w:bCs w:val="1"/>
                <w:color w:val="auto"/>
                <w:w w:val="89"/>
              </w:rPr>
              <w:t>2004</w:t>
            </w:r>
          </w:p>
        </w:tc>
      </w:tr>
      <w:tr>
        <w:trPr>
          <w:trHeight w:val="94"/>
        </w:trPr>
        <w:tc>
          <w:tcPr>
            <w:tcW w:w="5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gridSpan w:val="2"/>
          </w:tcPr>
          <w:p>
            <w:pPr>
              <w:spacing w:after="0"/>
              <w:rPr>
                <w:sz w:val="8"/>
                <w:szCs w:val="8"/>
                <w:color w:val="auto"/>
              </w:rPr>
            </w:pPr>
          </w:p>
        </w:tc>
      </w:tr>
      <w:tr>
        <w:trPr>
          <w:trHeight w:val="245"/>
        </w:trPr>
        <w:tc>
          <w:tcPr>
            <w:tcW w:w="5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(unaudited)</w:t>
            </w:r>
          </w:p>
        </w:tc>
      </w:tr>
      <w:tr>
        <w:trPr>
          <w:trHeight w:val="212"/>
        </w:trPr>
        <w:tc>
          <w:tcPr>
            <w:tcW w:w="55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Assets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r>
      <w:tr>
        <w:trPr>
          <w:trHeight w:val="212"/>
        </w:trPr>
        <w:tc>
          <w:tcPr>
            <w:tcW w:w="5520" w:type="dxa"/>
            <w:vAlign w:val="bottom"/>
          </w:tcPr>
          <w:p>
            <w:pPr>
              <w:ind w:left="260"/>
              <w:spacing w:after="0"/>
              <w:rPr>
                <w:sz w:val="20"/>
                <w:szCs w:val="20"/>
                <w:color w:val="auto"/>
              </w:rPr>
            </w:pPr>
            <w:r>
              <w:rPr>
                <w:rFonts w:ascii="Arial" w:cs="Arial" w:eastAsia="Arial" w:hAnsi="Arial"/>
                <w:sz w:val="17"/>
                <w:szCs w:val="17"/>
                <w:color w:val="auto"/>
              </w:rPr>
              <w:t>Current assets:</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Cash and cash equivalents</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18,703</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6,708</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33,382</w:t>
            </w:r>
          </w:p>
        </w:tc>
      </w:tr>
      <w:tr>
        <w:trPr>
          <w:trHeight w:val="203"/>
        </w:trPr>
        <w:tc>
          <w:tcPr>
            <w:tcW w:w="5520" w:type="dxa"/>
            <w:vAlign w:val="bottom"/>
          </w:tcPr>
          <w:p>
            <w:pPr>
              <w:ind w:left="500"/>
              <w:spacing w:after="0"/>
              <w:rPr>
                <w:sz w:val="20"/>
                <w:szCs w:val="20"/>
                <w:color w:val="auto"/>
              </w:rPr>
            </w:pPr>
            <w:r>
              <w:rPr>
                <w:rFonts w:ascii="Arial" w:cs="Arial" w:eastAsia="Arial" w:hAnsi="Arial"/>
                <w:sz w:val="17"/>
                <w:szCs w:val="17"/>
                <w:color w:val="auto"/>
                <w:w w:val="97"/>
              </w:rPr>
              <w:t>Accounts receivable, net of allowance of $1,209, $1,222 and $1,531</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5520" w:type="dxa"/>
            <w:vAlign w:val="bottom"/>
          </w:tcPr>
          <w:p>
            <w:pPr>
              <w:ind w:left="500"/>
              <w:spacing w:after="0"/>
              <w:rPr>
                <w:sz w:val="20"/>
                <w:szCs w:val="20"/>
                <w:color w:val="auto"/>
              </w:rPr>
            </w:pPr>
            <w:r>
              <w:rPr>
                <w:rFonts w:ascii="Arial" w:cs="Arial" w:eastAsia="Arial" w:hAnsi="Arial"/>
                <w:sz w:val="17"/>
                <w:szCs w:val="17"/>
                <w:color w:val="auto"/>
              </w:rPr>
              <w:t>(unaudited), respectively</w:t>
            </w:r>
          </w:p>
        </w:tc>
        <w:tc>
          <w:tcPr>
            <w:tcW w:w="340" w:type="dxa"/>
            <w:vAlign w:val="bottom"/>
          </w:tcPr>
          <w:p>
            <w:pPr>
              <w:spacing w:after="0"/>
              <w:rPr>
                <w:sz w:val="19"/>
                <w:szCs w:val="19"/>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13,148</w:t>
            </w:r>
          </w:p>
        </w:tc>
        <w:tc>
          <w:tcPr>
            <w:tcW w:w="8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14,518</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16,921</w:t>
            </w:r>
          </w:p>
        </w:tc>
      </w:tr>
      <w:tr>
        <w:trPr>
          <w:trHeight w:val="213"/>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Other current assets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1,252</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2,713</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3,049</w:t>
            </w:r>
          </w:p>
        </w:tc>
      </w:tr>
      <w:tr>
        <w:trPr>
          <w:trHeight w:val="217"/>
        </w:trPr>
        <w:tc>
          <w:tcPr>
            <w:tcW w:w="5520" w:type="dxa"/>
            <w:vAlign w:val="bottom"/>
          </w:tcPr>
          <w:p>
            <w:pPr>
              <w:ind w:left="500"/>
              <w:spacing w:after="0"/>
              <w:rPr>
                <w:sz w:val="20"/>
                <w:szCs w:val="20"/>
                <w:color w:val="auto"/>
              </w:rPr>
            </w:pPr>
            <w:r>
              <w:rPr>
                <w:rFonts w:ascii="Arial" w:cs="Arial" w:eastAsia="Arial" w:hAnsi="Arial"/>
                <w:sz w:val="17"/>
                <w:szCs w:val="17"/>
                <w:color w:val="auto"/>
              </w:rPr>
              <w:t>Deferred tax asset, current portion</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2,114</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1,799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1,035</w:t>
            </w:r>
          </w:p>
        </w:tc>
      </w:tr>
      <w:tr>
        <w:trPr>
          <w:trHeight w:val="100"/>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99"/>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2"/>
        </w:trPr>
        <w:tc>
          <w:tcPr>
            <w:tcW w:w="552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current assets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35,217</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25,738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54,387</w:t>
            </w:r>
          </w:p>
        </w:tc>
      </w:tr>
      <w:tr>
        <w:trPr>
          <w:trHeight w:val="212"/>
        </w:trPr>
        <w:tc>
          <w:tcPr>
            <w:tcW w:w="5520" w:type="dxa"/>
            <w:vAlign w:val="bottom"/>
          </w:tcPr>
          <w:p>
            <w:pPr>
              <w:ind w:left="260"/>
              <w:spacing w:after="0"/>
              <w:rPr>
                <w:sz w:val="20"/>
                <w:szCs w:val="20"/>
                <w:color w:val="auto"/>
              </w:rPr>
            </w:pPr>
            <w:r>
              <w:rPr>
                <w:rFonts w:ascii="Arial" w:cs="Arial" w:eastAsia="Arial" w:hAnsi="Arial"/>
                <w:sz w:val="17"/>
                <w:szCs w:val="17"/>
                <w:color w:val="auto"/>
              </w:rPr>
              <w:t>Property and equipment, net</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6,701</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6,621</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6,354</w:t>
            </w:r>
          </w:p>
        </w:tc>
      </w:tr>
      <w:tr>
        <w:trPr>
          <w:trHeight w:val="212"/>
        </w:trPr>
        <w:tc>
          <w:tcPr>
            <w:tcW w:w="55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Deferred tax asset</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88,829</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86,966</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80,175</w:t>
            </w:r>
          </w:p>
        </w:tc>
      </w:tr>
      <w:tr>
        <w:trPr>
          <w:trHeight w:val="212"/>
        </w:trPr>
        <w:tc>
          <w:tcPr>
            <w:tcW w:w="5520" w:type="dxa"/>
            <w:vAlign w:val="bottom"/>
          </w:tcPr>
          <w:p>
            <w:pPr>
              <w:ind w:left="260"/>
              <w:spacing w:after="0"/>
              <w:rPr>
                <w:sz w:val="20"/>
                <w:szCs w:val="20"/>
                <w:color w:val="auto"/>
              </w:rPr>
            </w:pPr>
            <w:r>
              <w:rPr>
                <w:rFonts w:ascii="Arial" w:cs="Arial" w:eastAsia="Arial" w:hAnsi="Arial"/>
                <w:sz w:val="17"/>
                <w:szCs w:val="17"/>
                <w:color w:val="auto"/>
              </w:rPr>
              <w:t>Goodwill</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852</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1,386</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1,471</w:t>
            </w:r>
          </w:p>
        </w:tc>
      </w:tr>
      <w:tr>
        <w:trPr>
          <w:trHeight w:val="212"/>
        </w:trPr>
        <w:tc>
          <w:tcPr>
            <w:tcW w:w="55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Deferred financing fees, net</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1,014</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156</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161</w:t>
            </w:r>
          </w:p>
        </w:tc>
      </w:tr>
      <w:tr>
        <w:trPr>
          <w:trHeight w:val="217"/>
        </w:trPr>
        <w:tc>
          <w:tcPr>
            <w:tcW w:w="5520" w:type="dxa"/>
            <w:vAlign w:val="bottom"/>
          </w:tcPr>
          <w:p>
            <w:pPr>
              <w:ind w:left="260"/>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294</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99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37</w:t>
            </w:r>
          </w:p>
        </w:tc>
      </w:tr>
      <w:tr>
        <w:trPr>
          <w:trHeight w:val="100"/>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99"/>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2"/>
        </w:trPr>
        <w:tc>
          <w:tcPr>
            <w:tcW w:w="552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assets</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w w:val="91"/>
              </w:rPr>
              <w:t>132,907</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w w:val="91"/>
              </w:rPr>
              <w:t>120,966</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w w:val="87"/>
              </w:rPr>
              <w:t>142,585</w:t>
            </w:r>
          </w:p>
        </w:tc>
      </w:tr>
      <w:tr>
        <w:trPr>
          <w:trHeight w:val="106"/>
        </w:trPr>
        <w:tc>
          <w:tcPr>
            <w:tcW w:w="5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09"/>
        </w:trPr>
        <w:tc>
          <w:tcPr>
            <w:tcW w:w="552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3"/>
        </w:trPr>
        <w:tc>
          <w:tcPr>
            <w:tcW w:w="55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Current liabilities: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r>
      <w:tr>
        <w:trPr>
          <w:trHeight w:val="212"/>
        </w:trPr>
        <w:tc>
          <w:tcPr>
            <w:tcW w:w="5520" w:type="dxa"/>
            <w:vAlign w:val="bottom"/>
          </w:tcPr>
          <w:p>
            <w:pPr>
              <w:ind w:left="500"/>
              <w:spacing w:after="0"/>
              <w:rPr>
                <w:sz w:val="20"/>
                <w:szCs w:val="20"/>
                <w:color w:val="auto"/>
              </w:rPr>
            </w:pPr>
            <w:r>
              <w:rPr>
                <w:rFonts w:ascii="Arial" w:cs="Arial" w:eastAsia="Arial" w:hAnsi="Arial"/>
                <w:sz w:val="17"/>
                <w:szCs w:val="17"/>
                <w:color w:val="auto"/>
              </w:rPr>
              <w:t>Trade accounts payable</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2,116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2,590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2,362</w:t>
            </w:r>
          </w:p>
        </w:tc>
      </w:tr>
      <w:tr>
        <w:trPr>
          <w:trHeight w:val="212"/>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Current portion of long-term debt and capital lease obligations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5,295</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142</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81</w:t>
            </w:r>
          </w:p>
        </w:tc>
      </w:tr>
      <w:tr>
        <w:trPr>
          <w:trHeight w:val="212"/>
        </w:trPr>
        <w:tc>
          <w:tcPr>
            <w:tcW w:w="5520" w:type="dxa"/>
            <w:vAlign w:val="bottom"/>
          </w:tcPr>
          <w:p>
            <w:pPr>
              <w:ind w:left="500"/>
              <w:spacing w:after="0"/>
              <w:rPr>
                <w:sz w:val="20"/>
                <w:szCs w:val="20"/>
                <w:color w:val="auto"/>
              </w:rPr>
            </w:pPr>
            <w:r>
              <w:rPr>
                <w:rFonts w:ascii="Arial" w:cs="Arial" w:eastAsia="Arial" w:hAnsi="Arial"/>
                <w:sz w:val="17"/>
                <w:szCs w:val="17"/>
                <w:color w:val="auto"/>
              </w:rPr>
              <w:t>Accrued expenses and other current liabilities</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7,756</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9,659</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12,096</w:t>
            </w:r>
          </w:p>
        </w:tc>
      </w:tr>
      <w:tr>
        <w:trPr>
          <w:trHeight w:val="212"/>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Deferred revenue</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39,047</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43,673</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51,727</w:t>
            </w:r>
          </w:p>
        </w:tc>
      </w:tr>
      <w:tr>
        <w:trPr>
          <w:trHeight w:val="106"/>
        </w:trPr>
        <w:tc>
          <w:tcPr>
            <w:tcW w:w="55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09"/>
        </w:trPr>
        <w:tc>
          <w:tcPr>
            <w:tcW w:w="5520" w:type="dxa"/>
            <w:vAlign w:val="bottom"/>
          </w:tcPr>
          <w:p>
            <w:pPr>
              <w:ind w:left="760"/>
              <w:spacing w:after="0"/>
              <w:rPr>
                <w:sz w:val="20"/>
                <w:szCs w:val="20"/>
                <w:color w:val="auto"/>
              </w:rPr>
            </w:pPr>
            <w:r>
              <w:rPr>
                <w:rFonts w:ascii="Arial" w:cs="Arial" w:eastAsia="Arial" w:hAnsi="Arial"/>
                <w:sz w:val="17"/>
                <w:szCs w:val="17"/>
                <w:color w:val="auto"/>
              </w:rPr>
              <w:t>Total current liabilities</w:t>
            </w:r>
          </w:p>
        </w:tc>
        <w:tc>
          <w:tcPr>
            <w:tcW w:w="340" w:type="dxa"/>
            <w:vAlign w:val="bottom"/>
          </w:tcPr>
          <w:p>
            <w:pPr>
              <w:spacing w:after="0"/>
              <w:rPr>
                <w:sz w:val="24"/>
                <w:szCs w:val="24"/>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54,214</w:t>
            </w:r>
          </w:p>
        </w:tc>
        <w:tc>
          <w:tcPr>
            <w:tcW w:w="80" w:type="dxa"/>
            <w:vAlign w:val="bottom"/>
          </w:tcPr>
          <w:p>
            <w:pPr>
              <w:spacing w:after="0"/>
              <w:rPr>
                <w:sz w:val="24"/>
                <w:szCs w:val="24"/>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56,064</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66,266</w:t>
            </w:r>
          </w:p>
        </w:tc>
      </w:tr>
      <w:tr>
        <w:trPr>
          <w:trHeight w:val="213"/>
        </w:trPr>
        <w:tc>
          <w:tcPr>
            <w:tcW w:w="55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Long-term debt and capital lease obligations</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45,186</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5,044</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w:t>
            </w:r>
          </w:p>
        </w:tc>
      </w:tr>
      <w:tr>
        <w:trPr>
          <w:trHeight w:val="106"/>
        </w:trPr>
        <w:tc>
          <w:tcPr>
            <w:tcW w:w="55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09"/>
        </w:trPr>
        <w:tc>
          <w:tcPr>
            <w:tcW w:w="5520" w:type="dxa"/>
            <w:vAlign w:val="bottom"/>
          </w:tcPr>
          <w:p>
            <w:pPr>
              <w:ind w:left="260"/>
              <w:spacing w:after="0"/>
              <w:rPr>
                <w:sz w:val="20"/>
                <w:szCs w:val="20"/>
                <w:color w:val="auto"/>
              </w:rPr>
            </w:pPr>
            <w:r>
              <w:rPr>
                <w:rFonts w:ascii="Arial" w:cs="Arial" w:eastAsia="Arial" w:hAnsi="Arial"/>
                <w:sz w:val="17"/>
                <w:szCs w:val="17"/>
                <w:color w:val="auto"/>
              </w:rPr>
              <w:t>Total liabilities</w:t>
            </w:r>
          </w:p>
        </w:tc>
        <w:tc>
          <w:tcPr>
            <w:tcW w:w="340" w:type="dxa"/>
            <w:vAlign w:val="bottom"/>
          </w:tcPr>
          <w:p>
            <w:pPr>
              <w:spacing w:after="0"/>
              <w:rPr>
                <w:sz w:val="24"/>
                <w:szCs w:val="24"/>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99,400</w:t>
            </w:r>
          </w:p>
        </w:tc>
        <w:tc>
          <w:tcPr>
            <w:tcW w:w="80" w:type="dxa"/>
            <w:vAlign w:val="bottom"/>
          </w:tcPr>
          <w:p>
            <w:pPr>
              <w:spacing w:after="0"/>
              <w:rPr>
                <w:sz w:val="24"/>
                <w:szCs w:val="24"/>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61,108</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66,266</w:t>
            </w:r>
          </w:p>
        </w:tc>
      </w:tr>
      <w:tr>
        <w:trPr>
          <w:trHeight w:val="213"/>
        </w:trPr>
        <w:tc>
          <w:tcPr>
            <w:tcW w:w="552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Commitments and contingencies (Notes 8 and 10)</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r>
      <w:tr>
        <w:trPr>
          <w:trHeight w:val="212"/>
        </w:trPr>
        <w:tc>
          <w:tcPr>
            <w:tcW w:w="5520" w:type="dxa"/>
            <w:vAlign w:val="bottom"/>
          </w:tcPr>
          <w:p>
            <w:pPr>
              <w:ind w:left="260"/>
              <w:spacing w:after="0"/>
              <w:rPr>
                <w:sz w:val="20"/>
                <w:szCs w:val="20"/>
                <w:color w:val="auto"/>
              </w:rPr>
            </w:pPr>
            <w:r>
              <w:rPr>
                <w:rFonts w:ascii="Arial" w:cs="Arial" w:eastAsia="Arial" w:hAnsi="Arial"/>
                <w:sz w:val="17"/>
                <w:szCs w:val="17"/>
                <w:color w:val="auto"/>
              </w:rPr>
              <w:t>Shareholders’ equity:</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Preferred stock; 20,000,000 shares authorized</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w:t>
            </w:r>
          </w:p>
        </w:tc>
      </w:tr>
      <w:tr>
        <w:trPr>
          <w:trHeight w:val="203"/>
        </w:trPr>
        <w:tc>
          <w:tcPr>
            <w:tcW w:w="5520" w:type="dxa"/>
            <w:vAlign w:val="bottom"/>
          </w:tcPr>
          <w:p>
            <w:pPr>
              <w:ind w:left="500"/>
              <w:spacing w:after="0"/>
              <w:rPr>
                <w:sz w:val="20"/>
                <w:szCs w:val="20"/>
                <w:color w:val="auto"/>
              </w:rPr>
            </w:pPr>
            <w:r>
              <w:rPr>
                <w:rFonts w:ascii="Arial" w:cs="Arial" w:eastAsia="Arial" w:hAnsi="Arial"/>
                <w:sz w:val="17"/>
                <w:szCs w:val="17"/>
                <w:color w:val="auto"/>
                <w:w w:val="96"/>
              </w:rPr>
              <w:t>Common stock, $0.001 par value and no par value; 180,000,000 and</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2"/>
        </w:trPr>
        <w:tc>
          <w:tcPr>
            <w:tcW w:w="5520" w:type="dxa"/>
            <w:vAlign w:val="bottom"/>
          </w:tcPr>
          <w:p>
            <w:pPr>
              <w:ind w:left="640"/>
              <w:spacing w:after="0"/>
              <w:rPr>
                <w:sz w:val="20"/>
                <w:szCs w:val="20"/>
                <w:color w:val="auto"/>
              </w:rPr>
            </w:pPr>
            <w:r>
              <w:rPr>
                <w:rFonts w:ascii="Arial" w:cs="Arial" w:eastAsia="Arial" w:hAnsi="Arial"/>
                <w:sz w:val="17"/>
                <w:szCs w:val="17"/>
                <w:color w:val="auto"/>
              </w:rPr>
              <w:t>95,000,000 shares authorized, 42,360,410, 42,408,872 and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5520" w:type="dxa"/>
            <w:vAlign w:val="bottom"/>
          </w:tcPr>
          <w:p>
            <w:pPr>
              <w:ind w:left="640"/>
              <w:spacing w:after="0"/>
              <w:rPr>
                <w:sz w:val="20"/>
                <w:szCs w:val="20"/>
                <w:color w:val="auto"/>
              </w:rPr>
            </w:pPr>
            <w:r>
              <w:rPr>
                <w:rFonts w:ascii="Arial" w:cs="Arial" w:eastAsia="Arial" w:hAnsi="Arial"/>
                <w:sz w:val="17"/>
                <w:szCs w:val="17"/>
                <w:color w:val="auto"/>
              </w:rPr>
              <w:t>42,542,700 shares issued and outstanding in 2002, 2003 and</w:t>
            </w: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5520" w:type="dxa"/>
            <w:vAlign w:val="bottom"/>
          </w:tcPr>
          <w:p>
            <w:pPr>
              <w:ind w:left="640"/>
              <w:spacing w:after="0"/>
              <w:rPr>
                <w:sz w:val="20"/>
                <w:szCs w:val="20"/>
                <w:color w:val="auto"/>
              </w:rPr>
            </w:pPr>
            <w:r>
              <w:rPr>
                <w:rFonts w:ascii="Arial" w:cs="Arial" w:eastAsia="Arial" w:hAnsi="Arial"/>
                <w:sz w:val="17"/>
                <w:szCs w:val="17"/>
                <w:color w:val="auto"/>
              </w:rPr>
              <w:t>September 30, 2004 (unaudited), respectively</w:t>
            </w:r>
          </w:p>
        </w:tc>
        <w:tc>
          <w:tcPr>
            <w:tcW w:w="340" w:type="dxa"/>
            <w:vAlign w:val="bottom"/>
          </w:tcPr>
          <w:p>
            <w:pPr>
              <w:spacing w:after="0"/>
              <w:rPr>
                <w:sz w:val="19"/>
                <w:szCs w:val="19"/>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10,740</w:t>
            </w:r>
          </w:p>
        </w:tc>
        <w:tc>
          <w:tcPr>
            <w:tcW w:w="80" w:type="dxa"/>
            <w:vAlign w:val="bottom"/>
          </w:tcPr>
          <w:p>
            <w:pPr>
              <w:spacing w:after="0"/>
              <w:rPr>
                <w:sz w:val="19"/>
                <w:szCs w:val="19"/>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41,613</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43</w:t>
            </w:r>
          </w:p>
        </w:tc>
      </w:tr>
      <w:tr>
        <w:trPr>
          <w:trHeight w:val="213"/>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Additional paid-in capital</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38,056</w:t>
            </w:r>
          </w:p>
        </w:tc>
      </w:tr>
      <w:tr>
        <w:trPr>
          <w:trHeight w:val="212"/>
        </w:trPr>
        <w:tc>
          <w:tcPr>
            <w:tcW w:w="5520" w:type="dxa"/>
            <w:vAlign w:val="bottom"/>
          </w:tcPr>
          <w:p>
            <w:pPr>
              <w:ind w:left="500"/>
              <w:spacing w:after="0"/>
              <w:rPr>
                <w:sz w:val="20"/>
                <w:szCs w:val="20"/>
                <w:color w:val="auto"/>
              </w:rPr>
            </w:pPr>
            <w:r>
              <w:rPr>
                <w:rFonts w:ascii="Arial" w:cs="Arial" w:eastAsia="Arial" w:hAnsi="Arial"/>
                <w:sz w:val="17"/>
                <w:szCs w:val="17"/>
                <w:color w:val="auto"/>
              </w:rPr>
              <w:t>Deferred compensation</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40" w:type="dxa"/>
            <w:vAlign w:val="bottom"/>
          </w:tcPr>
          <w:p>
            <w:pPr>
              <w:jc w:val="right"/>
              <w:ind w:right="135"/>
              <w:spacing w:after="0"/>
              <w:rPr>
                <w:sz w:val="20"/>
                <w:szCs w:val="20"/>
                <w:color w:val="auto"/>
              </w:rPr>
            </w:pPr>
            <w:r>
              <w:rPr>
                <w:rFonts w:ascii="Arial" w:cs="Arial" w:eastAsia="Arial" w:hAnsi="Arial"/>
                <w:sz w:val="17"/>
                <w:szCs w:val="17"/>
                <w:color w:val="auto"/>
              </w:rPr>
              <w:t>(4,795)</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15"/>
              <w:spacing w:after="0"/>
              <w:rPr>
                <w:sz w:val="20"/>
                <w:szCs w:val="20"/>
                <w:color w:val="auto"/>
              </w:rPr>
            </w:pPr>
            <w:r>
              <w:rPr>
                <w:rFonts w:ascii="Arial" w:cs="Arial" w:eastAsia="Arial" w:hAnsi="Arial"/>
                <w:sz w:val="17"/>
                <w:szCs w:val="17"/>
                <w:color w:val="auto"/>
              </w:rPr>
              <w:t>(1,405)</w:t>
            </w:r>
          </w:p>
        </w:tc>
      </w:tr>
      <w:tr>
        <w:trPr>
          <w:trHeight w:val="212"/>
        </w:trPr>
        <w:tc>
          <w:tcPr>
            <w:tcW w:w="5520" w:type="dxa"/>
            <w:vAlign w:val="bottom"/>
            <w:shd w:val="clear" w:color="auto" w:fill="EEEEEE"/>
          </w:tcPr>
          <w:p>
            <w:pPr>
              <w:ind w:left="500"/>
              <w:spacing w:after="0"/>
              <w:rPr>
                <w:sz w:val="20"/>
                <w:szCs w:val="20"/>
                <w:color w:val="auto"/>
              </w:rPr>
            </w:pPr>
            <w:r>
              <w:rPr>
                <w:rFonts w:ascii="Arial" w:cs="Arial" w:eastAsia="Arial" w:hAnsi="Arial"/>
                <w:sz w:val="17"/>
                <w:szCs w:val="17"/>
                <w:color w:val="auto"/>
              </w:rPr>
              <w:t>Accumulated other comprehensive (loss) income</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55"/>
              <w:spacing w:after="0"/>
              <w:rPr>
                <w:sz w:val="20"/>
                <w:szCs w:val="20"/>
                <w:color w:val="auto"/>
              </w:rPr>
            </w:pPr>
            <w:r>
              <w:rPr>
                <w:rFonts w:ascii="Arial" w:cs="Arial" w:eastAsia="Arial" w:hAnsi="Arial"/>
                <w:sz w:val="17"/>
                <w:szCs w:val="17"/>
                <w:color w:val="auto"/>
              </w:rPr>
              <w:t>(233)</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518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176</w:t>
            </w:r>
          </w:p>
        </w:tc>
      </w:tr>
      <w:tr>
        <w:trPr>
          <w:trHeight w:val="217"/>
        </w:trPr>
        <w:tc>
          <w:tcPr>
            <w:tcW w:w="5520" w:type="dxa"/>
            <w:vAlign w:val="bottom"/>
          </w:tcPr>
          <w:p>
            <w:pPr>
              <w:ind w:left="500"/>
              <w:spacing w:after="0"/>
              <w:rPr>
                <w:sz w:val="20"/>
                <w:szCs w:val="20"/>
                <w:color w:val="auto"/>
              </w:rPr>
            </w:pPr>
            <w:r>
              <w:rPr>
                <w:rFonts w:ascii="Arial" w:cs="Arial" w:eastAsia="Arial" w:hAnsi="Arial"/>
                <w:sz w:val="17"/>
                <w:szCs w:val="17"/>
                <w:color w:val="auto"/>
              </w:rPr>
              <w:t>Retained earnings</w:t>
            </w:r>
          </w:p>
        </w:tc>
        <w:tc>
          <w:tcPr>
            <w:tcW w:w="340" w:type="dxa"/>
            <w:vAlign w:val="bottom"/>
          </w:tcPr>
          <w:p>
            <w:pPr>
              <w:spacing w:after="0"/>
              <w:rPr>
                <w:sz w:val="18"/>
                <w:szCs w:val="18"/>
                <w:color w:val="auto"/>
              </w:rPr>
            </w:pPr>
          </w:p>
        </w:tc>
        <w:tc>
          <w:tcPr>
            <w:tcW w:w="1360" w:type="dxa"/>
            <w:vAlign w:val="bottom"/>
          </w:tcPr>
          <w:p>
            <w:pPr>
              <w:jc w:val="right"/>
              <w:ind w:right="695"/>
              <w:spacing w:after="0"/>
              <w:rPr>
                <w:sz w:val="20"/>
                <w:szCs w:val="20"/>
                <w:color w:val="auto"/>
              </w:rPr>
            </w:pPr>
            <w:r>
              <w:rPr>
                <w:rFonts w:ascii="Arial" w:cs="Arial" w:eastAsia="Arial" w:hAnsi="Arial"/>
                <w:sz w:val="17"/>
                <w:szCs w:val="17"/>
                <w:color w:val="auto"/>
              </w:rPr>
              <w:t>23,000</w:t>
            </w:r>
          </w:p>
        </w:tc>
        <w:tc>
          <w:tcPr>
            <w:tcW w:w="80" w:type="dxa"/>
            <w:vAlign w:val="bottom"/>
          </w:tcPr>
          <w:p>
            <w:pPr>
              <w:spacing w:after="0"/>
              <w:rPr>
                <w:sz w:val="18"/>
                <w:szCs w:val="18"/>
                <w:color w:val="auto"/>
              </w:rPr>
            </w:pPr>
          </w:p>
        </w:tc>
        <w:tc>
          <w:tcPr>
            <w:tcW w:w="840" w:type="dxa"/>
            <w:vAlign w:val="bottom"/>
          </w:tcPr>
          <w:p>
            <w:pPr>
              <w:jc w:val="right"/>
              <w:ind w:right="175"/>
              <w:spacing w:after="0"/>
              <w:rPr>
                <w:sz w:val="20"/>
                <w:szCs w:val="20"/>
                <w:color w:val="auto"/>
              </w:rPr>
            </w:pPr>
            <w:r>
              <w:rPr>
                <w:rFonts w:ascii="Arial" w:cs="Arial" w:eastAsia="Arial" w:hAnsi="Arial"/>
                <w:sz w:val="17"/>
                <w:szCs w:val="17"/>
                <w:color w:val="auto"/>
              </w:rPr>
              <w:t>22,522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75"/>
              <w:spacing w:after="0"/>
              <w:rPr>
                <w:sz w:val="20"/>
                <w:szCs w:val="20"/>
                <w:color w:val="auto"/>
              </w:rPr>
            </w:pPr>
            <w:r>
              <w:rPr>
                <w:rFonts w:ascii="Arial" w:cs="Arial" w:eastAsia="Arial" w:hAnsi="Arial"/>
                <w:sz w:val="17"/>
                <w:szCs w:val="17"/>
                <w:color w:val="auto"/>
              </w:rPr>
              <w:t>39,449</w:t>
            </w:r>
          </w:p>
        </w:tc>
      </w:tr>
      <w:tr>
        <w:trPr>
          <w:trHeight w:val="100"/>
        </w:trPr>
        <w:tc>
          <w:tcPr>
            <w:tcW w:w="55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r>
      <w:tr>
        <w:trPr>
          <w:trHeight w:val="99"/>
        </w:trPr>
        <w:tc>
          <w:tcPr>
            <w:tcW w:w="5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2"/>
        </w:trPr>
        <w:tc>
          <w:tcPr>
            <w:tcW w:w="5520" w:type="dxa"/>
            <w:vAlign w:val="bottom"/>
            <w:shd w:val="clear" w:color="auto" w:fill="EEEEEE"/>
          </w:tcPr>
          <w:p>
            <w:pPr>
              <w:ind w:left="760"/>
              <w:spacing w:after="0"/>
              <w:rPr>
                <w:sz w:val="20"/>
                <w:szCs w:val="20"/>
                <w:color w:val="auto"/>
              </w:rPr>
            </w:pPr>
            <w:r>
              <w:rPr>
                <w:rFonts w:ascii="Arial" w:cs="Arial" w:eastAsia="Arial" w:hAnsi="Arial"/>
                <w:sz w:val="17"/>
                <w:szCs w:val="17"/>
                <w:color w:val="auto"/>
              </w:rPr>
              <w:t>Total shareholders’ equity</w:t>
            </w:r>
          </w:p>
        </w:tc>
        <w:tc>
          <w:tcPr>
            <w:tcW w:w="34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695"/>
              <w:spacing w:after="0"/>
              <w:rPr>
                <w:sz w:val="20"/>
                <w:szCs w:val="20"/>
                <w:color w:val="auto"/>
              </w:rPr>
            </w:pPr>
            <w:r>
              <w:rPr>
                <w:rFonts w:ascii="Arial" w:cs="Arial" w:eastAsia="Arial" w:hAnsi="Arial"/>
                <w:sz w:val="17"/>
                <w:szCs w:val="17"/>
                <w:color w:val="auto"/>
              </w:rPr>
              <w:t>33,507</w:t>
            </w:r>
          </w:p>
        </w:tc>
        <w:tc>
          <w:tcPr>
            <w:tcW w:w="8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175"/>
              <w:spacing w:after="0"/>
              <w:rPr>
                <w:sz w:val="20"/>
                <w:szCs w:val="20"/>
                <w:color w:val="auto"/>
              </w:rPr>
            </w:pPr>
            <w:r>
              <w:rPr>
                <w:rFonts w:ascii="Arial" w:cs="Arial" w:eastAsia="Arial" w:hAnsi="Arial"/>
                <w:sz w:val="17"/>
                <w:szCs w:val="17"/>
                <w:color w:val="auto"/>
              </w:rPr>
              <w:t>59,858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75"/>
              <w:spacing w:after="0"/>
              <w:rPr>
                <w:sz w:val="20"/>
                <w:szCs w:val="20"/>
                <w:color w:val="auto"/>
              </w:rPr>
            </w:pPr>
            <w:r>
              <w:rPr>
                <w:rFonts w:ascii="Arial" w:cs="Arial" w:eastAsia="Arial" w:hAnsi="Arial"/>
                <w:sz w:val="17"/>
                <w:szCs w:val="17"/>
                <w:color w:val="auto"/>
              </w:rPr>
              <w:t>76,319</w:t>
            </w:r>
          </w:p>
        </w:tc>
      </w:tr>
      <w:tr>
        <w:trPr>
          <w:trHeight w:val="106"/>
        </w:trPr>
        <w:tc>
          <w:tcPr>
            <w:tcW w:w="55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r>
        <w:trPr>
          <w:trHeight w:val="308"/>
        </w:trPr>
        <w:tc>
          <w:tcPr>
            <w:tcW w:w="5520" w:type="dxa"/>
            <w:vAlign w:val="bottom"/>
          </w:tcPr>
          <w:p>
            <w:pPr>
              <w:ind w:left="760"/>
              <w:spacing w:after="0"/>
              <w:rPr>
                <w:sz w:val="20"/>
                <w:szCs w:val="20"/>
                <w:color w:val="auto"/>
              </w:rPr>
            </w:pPr>
            <w:r>
              <w:rPr>
                <w:rFonts w:ascii="Arial" w:cs="Arial" w:eastAsia="Arial" w:hAnsi="Arial"/>
                <w:sz w:val="17"/>
                <w:szCs w:val="17"/>
                <w:color w:val="auto"/>
              </w:rPr>
              <w:t>Total liabilities and shareholders’ equity</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695"/>
              <w:spacing w:after="0"/>
              <w:rPr>
                <w:sz w:val="20"/>
                <w:szCs w:val="20"/>
                <w:color w:val="auto"/>
              </w:rPr>
            </w:pPr>
            <w:r>
              <w:rPr>
                <w:rFonts w:ascii="Arial" w:cs="Arial" w:eastAsia="Arial" w:hAnsi="Arial"/>
                <w:sz w:val="17"/>
                <w:szCs w:val="17"/>
                <w:color w:val="auto"/>
                <w:w w:val="91"/>
              </w:rPr>
              <w:t>132,907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5"/>
              <w:spacing w:after="0"/>
              <w:rPr>
                <w:sz w:val="20"/>
                <w:szCs w:val="20"/>
                <w:color w:val="auto"/>
              </w:rPr>
            </w:pPr>
            <w:r>
              <w:rPr>
                <w:rFonts w:ascii="Arial" w:cs="Arial" w:eastAsia="Arial" w:hAnsi="Arial"/>
                <w:sz w:val="17"/>
                <w:szCs w:val="17"/>
                <w:color w:val="auto"/>
                <w:w w:val="91"/>
              </w:rPr>
              <w:t>120,966</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575"/>
              <w:spacing w:after="0"/>
              <w:rPr>
                <w:sz w:val="20"/>
                <w:szCs w:val="20"/>
                <w:color w:val="auto"/>
              </w:rPr>
            </w:pPr>
            <w:r>
              <w:rPr>
                <w:rFonts w:ascii="Arial" w:cs="Arial" w:eastAsia="Arial" w:hAnsi="Arial"/>
                <w:sz w:val="17"/>
                <w:szCs w:val="17"/>
                <w:color w:val="auto"/>
                <w:w w:val="87"/>
              </w:rPr>
              <w:t>142,585</w:t>
            </w:r>
          </w:p>
        </w:tc>
      </w:tr>
      <w:tr>
        <w:trPr>
          <w:trHeight w:val="109"/>
        </w:trPr>
        <w:tc>
          <w:tcPr>
            <w:tcW w:w="5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907" w:right="799" w:bottom="1440" w:gutter="0" w:footer="0" w:header="0"/>
        </w:sectPr>
      </w:pPr>
    </w:p>
    <w:bookmarkStart w:id="97" w:name="page98"/>
    <w:bookmarkEnd w:id="97"/>
    <w:p>
      <w:pPr>
        <w:spacing w:after="0" w:line="4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Blackbaud,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249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auto"/>
                <w:w w:val="89"/>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2"/>
          </w:tcPr>
          <w:p>
            <w:pPr>
              <w:jc w:val="right"/>
              <w:ind w:right="75"/>
              <w:spacing w:after="0"/>
              <w:rPr>
                <w:sz w:val="20"/>
                <w:szCs w:val="20"/>
                <w:color w:val="auto"/>
              </w:rPr>
            </w:pPr>
            <w:r>
              <w:rPr>
                <w:rFonts w:ascii="Arial" w:cs="Arial" w:eastAsia="Arial" w:hAnsi="Arial"/>
                <w:sz w:val="13"/>
                <w:szCs w:val="13"/>
                <w:b w:val="1"/>
                <w:bCs w:val="1"/>
                <w:color w:val="auto"/>
                <w:w w:val="97"/>
              </w:rPr>
              <w:t>Year ended December 31,</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3"/>
          </w:tcPr>
          <w:p>
            <w:pPr>
              <w:jc w:val="center"/>
              <w:ind w:right="215"/>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40" w:type="dxa"/>
            <w:vAlign w:val="bottom"/>
          </w:tcPr>
          <w:p>
            <w:pPr>
              <w:ind w:left="520"/>
              <w:spacing w:after="0"/>
              <w:rPr>
                <w:sz w:val="20"/>
                <w:szCs w:val="20"/>
                <w:color w:val="auto"/>
              </w:rPr>
            </w:pPr>
            <w:r>
              <w:rPr>
                <w:rFonts w:ascii="Arial" w:cs="Arial" w:eastAsia="Arial" w:hAnsi="Arial"/>
                <w:sz w:val="13"/>
                <w:szCs w:val="13"/>
                <w:b w:val="1"/>
                <w:bCs w:val="1"/>
                <w:color w:val="auto"/>
              </w:rPr>
              <w:t>(in thousands, except share and per share amounts)</w:t>
            </w:r>
          </w:p>
        </w:tc>
        <w:tc>
          <w:tcPr>
            <w:tcW w:w="280" w:type="dxa"/>
            <w:vAlign w:val="bottom"/>
          </w:tcPr>
          <w:p>
            <w:pPr>
              <w:spacing w:after="0"/>
              <w:rPr>
                <w:sz w:val="22"/>
                <w:szCs w:val="22"/>
                <w:color w:val="auto"/>
              </w:rPr>
            </w:pPr>
          </w:p>
        </w:tc>
        <w:tc>
          <w:tcPr>
            <w:tcW w:w="980" w:type="dxa"/>
            <w:vAlign w:val="bottom"/>
          </w:tcPr>
          <w:p>
            <w:pPr>
              <w:jc w:val="right"/>
              <w:ind w:right="415"/>
              <w:spacing w:after="0"/>
              <w:rPr>
                <w:sz w:val="20"/>
                <w:szCs w:val="20"/>
                <w:color w:val="auto"/>
              </w:rPr>
            </w:pPr>
            <w:r>
              <w:rPr>
                <w:rFonts w:ascii="Arial" w:cs="Arial" w:eastAsia="Arial" w:hAnsi="Arial"/>
                <w:sz w:val="13"/>
                <w:szCs w:val="13"/>
                <w:b w:val="1"/>
                <w:bCs w:val="1"/>
                <w:color w:val="auto"/>
              </w:rPr>
              <w:t>2001</w:t>
            </w:r>
          </w:p>
        </w:tc>
        <w:tc>
          <w:tcPr>
            <w:tcW w:w="480" w:type="dxa"/>
            <w:vAlign w:val="bottom"/>
          </w:tcPr>
          <w:p>
            <w:pPr>
              <w:spacing w:after="0"/>
              <w:rPr>
                <w:sz w:val="22"/>
                <w:szCs w:val="22"/>
                <w:color w:val="auto"/>
              </w:rPr>
            </w:pPr>
          </w:p>
        </w:tc>
        <w:tc>
          <w:tcPr>
            <w:tcW w:w="1240" w:type="dxa"/>
            <w:vAlign w:val="bottom"/>
          </w:tcPr>
          <w:p>
            <w:pPr>
              <w:jc w:val="right"/>
              <w:ind w:right="655"/>
              <w:spacing w:after="0"/>
              <w:rPr>
                <w:sz w:val="20"/>
                <w:szCs w:val="20"/>
                <w:color w:val="auto"/>
              </w:rPr>
            </w:pPr>
            <w:r>
              <w:rPr>
                <w:rFonts w:ascii="Arial" w:cs="Arial" w:eastAsia="Arial" w:hAnsi="Arial"/>
                <w:sz w:val="13"/>
                <w:szCs w:val="13"/>
                <w:b w:val="1"/>
                <w:bCs w:val="1"/>
                <w:color w:val="auto"/>
              </w:rPr>
              <w:t>2002</w:t>
            </w:r>
          </w:p>
        </w:tc>
        <w:tc>
          <w:tcPr>
            <w:tcW w:w="260" w:type="dxa"/>
            <w:vAlign w:val="bottom"/>
          </w:tcPr>
          <w:p>
            <w:pPr>
              <w:spacing w:after="0"/>
              <w:rPr>
                <w:sz w:val="22"/>
                <w:szCs w:val="22"/>
                <w:color w:val="auto"/>
              </w:rPr>
            </w:pPr>
          </w:p>
        </w:tc>
        <w:tc>
          <w:tcPr>
            <w:tcW w:w="980" w:type="dxa"/>
            <w:vAlign w:val="bottom"/>
          </w:tcPr>
          <w:p>
            <w:pPr>
              <w:jc w:val="right"/>
              <w:ind w:right="415"/>
              <w:spacing w:after="0"/>
              <w:rPr>
                <w:sz w:val="20"/>
                <w:szCs w:val="20"/>
                <w:color w:val="auto"/>
              </w:rPr>
            </w:pPr>
            <w:r>
              <w:rPr>
                <w:rFonts w:ascii="Arial" w:cs="Arial" w:eastAsia="Arial" w:hAnsi="Arial"/>
                <w:sz w:val="13"/>
                <w:szCs w:val="13"/>
                <w:b w:val="1"/>
                <w:bCs w:val="1"/>
                <w:color w:val="auto"/>
              </w:rPr>
              <w:t>2003</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556"/>
              <w:spacing w:after="0"/>
              <w:rPr>
                <w:sz w:val="20"/>
                <w:szCs w:val="20"/>
                <w:color w:val="auto"/>
              </w:rPr>
            </w:pPr>
            <w:r>
              <w:rPr>
                <w:rFonts w:ascii="Arial" w:cs="Arial" w:eastAsia="Arial" w:hAnsi="Arial"/>
                <w:sz w:val="13"/>
                <w:szCs w:val="13"/>
                <w:b w:val="1"/>
                <w:bCs w:val="1"/>
                <w:color w:val="auto"/>
              </w:rPr>
              <w:t>2003</w:t>
            </w:r>
          </w:p>
        </w:tc>
        <w:tc>
          <w:tcPr>
            <w:tcW w:w="360" w:type="dxa"/>
            <w:vAlign w:val="bottom"/>
          </w:tcPr>
          <w:p>
            <w:pPr>
              <w:spacing w:after="0"/>
              <w:rPr>
                <w:sz w:val="22"/>
                <w:szCs w:val="22"/>
                <w:color w:val="auto"/>
              </w:rPr>
            </w:pPr>
          </w:p>
        </w:tc>
        <w:tc>
          <w:tcPr>
            <w:tcW w:w="1060" w:type="dxa"/>
            <w:vAlign w:val="bottom"/>
          </w:tcPr>
          <w:p>
            <w:pPr>
              <w:jc w:val="right"/>
              <w:ind w:right="455"/>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gridSpan w:val="2"/>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gridSpan w:val="2"/>
          </w:tcPr>
          <w:p>
            <w:pPr>
              <w:jc w:val="center"/>
              <w:ind w:left="676"/>
              <w:spacing w:after="0"/>
              <w:rPr>
                <w:sz w:val="20"/>
                <w:szCs w:val="20"/>
                <w:color w:val="auto"/>
              </w:rPr>
            </w:pPr>
            <w:r>
              <w:rPr>
                <w:rFonts w:ascii="Arial" w:cs="Arial" w:eastAsia="Arial" w:hAnsi="Arial"/>
                <w:sz w:val="13"/>
                <w:szCs w:val="13"/>
                <w:b w:val="1"/>
                <w:bCs w:val="1"/>
                <w:color w:val="auto"/>
                <w:w w:val="96"/>
              </w:rPr>
              <w:t>(unaudited)</w:t>
            </w: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Revenue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License fees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19,300</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20,572</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21,339</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15,427</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18,614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Services</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18,797</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26,739</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34,042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25,888</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32,678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Maintenance and subscriptions</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47,022</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52,788</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58,360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43,271</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48,886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Other revenue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4,915</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5,130</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4,352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2,906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2,849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7"/>
                <w:szCs w:val="17"/>
                <w:color w:val="auto"/>
              </w:rPr>
              <w:t>Total revenue</w:t>
            </w:r>
          </w:p>
        </w:tc>
        <w:tc>
          <w:tcPr>
            <w:tcW w:w="2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90,034</w:t>
            </w:r>
          </w:p>
        </w:tc>
        <w:tc>
          <w:tcPr>
            <w:tcW w:w="4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105,229</w:t>
            </w:r>
          </w:p>
        </w:tc>
        <w:tc>
          <w:tcPr>
            <w:tcW w:w="260" w:type="dxa"/>
            <w:vAlign w:val="bottom"/>
          </w:tcPr>
          <w:p>
            <w:pPr>
              <w:spacing w:after="0"/>
              <w:rPr>
                <w:sz w:val="24"/>
                <w:szCs w:val="24"/>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118,093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87,492</w:t>
            </w:r>
          </w:p>
        </w:tc>
        <w:tc>
          <w:tcPr>
            <w:tcW w:w="360" w:type="dxa"/>
            <w:vAlign w:val="bottom"/>
          </w:tcPr>
          <w:p>
            <w:pPr>
              <w:spacing w:after="0"/>
              <w:rPr>
                <w:sz w:val="24"/>
                <w:szCs w:val="24"/>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103,027</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Cost of revenue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Cost of license fees</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1,726</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2,547</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2,819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2,110</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2,733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Cost of services (of which $0, $0 and $3,342 in</w:t>
            </w:r>
          </w:p>
        </w:tc>
        <w:tc>
          <w:tcPr>
            <w:tcW w:w="2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380"/>
              <w:spacing w:after="0"/>
              <w:rPr>
                <w:sz w:val="20"/>
                <w:szCs w:val="20"/>
                <w:color w:val="auto"/>
              </w:rPr>
            </w:pPr>
            <w:r>
              <w:rPr>
                <w:rFonts w:ascii="Arial" w:cs="Arial" w:eastAsia="Arial" w:hAnsi="Arial"/>
                <w:sz w:val="17"/>
                <w:szCs w:val="17"/>
                <w:color w:val="auto"/>
              </w:rPr>
              <w:t>2001, 2002 and 2003, and $2,291 and ($644) for</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380"/>
              <w:spacing w:after="0"/>
              <w:rPr>
                <w:sz w:val="20"/>
                <w:szCs w:val="20"/>
                <w:color w:val="auto"/>
              </w:rPr>
            </w:pPr>
            <w:r>
              <w:rPr>
                <w:rFonts w:ascii="Arial" w:cs="Arial" w:eastAsia="Arial" w:hAnsi="Arial"/>
                <w:sz w:val="17"/>
                <w:szCs w:val="17"/>
                <w:color w:val="auto"/>
              </w:rPr>
              <w:t>the nine months ended September 30, 2003 and</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40" w:type="dxa"/>
            <w:vAlign w:val="bottom"/>
            <w:shd w:val="clear" w:color="auto" w:fill="EEEEEE"/>
          </w:tcPr>
          <w:p>
            <w:pPr>
              <w:ind w:left="380"/>
              <w:spacing w:after="0"/>
              <w:rPr>
                <w:sz w:val="20"/>
                <w:szCs w:val="20"/>
                <w:color w:val="auto"/>
              </w:rPr>
            </w:pPr>
            <w:r>
              <w:rPr>
                <w:rFonts w:ascii="Arial" w:cs="Arial" w:eastAsia="Arial" w:hAnsi="Arial"/>
                <w:sz w:val="17"/>
                <w:szCs w:val="17"/>
                <w:color w:val="auto"/>
                <w:w w:val="96"/>
              </w:rPr>
              <w:t>2004, respectively, was stock option compensation)</w:t>
            </w:r>
          </w:p>
        </w:tc>
        <w:tc>
          <w:tcPr>
            <w:tcW w:w="280" w:type="dxa"/>
            <w:vAlign w:val="bottom"/>
            <w:shd w:val="clear" w:color="auto" w:fill="EEEEEE"/>
          </w:tcPr>
          <w:p>
            <w:pPr>
              <w:spacing w:after="0"/>
              <w:rPr>
                <w:sz w:val="19"/>
                <w:szCs w:val="19"/>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10,253</w:t>
            </w:r>
          </w:p>
        </w:tc>
        <w:tc>
          <w:tcPr>
            <w:tcW w:w="480" w:type="dxa"/>
            <w:vAlign w:val="bottom"/>
            <w:shd w:val="clear" w:color="auto" w:fill="EEEEEE"/>
          </w:tcPr>
          <w:p>
            <w:pPr>
              <w:spacing w:after="0"/>
              <w:rPr>
                <w:sz w:val="19"/>
                <w:szCs w:val="19"/>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14,234</w:t>
            </w:r>
          </w:p>
        </w:tc>
        <w:tc>
          <w:tcPr>
            <w:tcW w:w="260" w:type="dxa"/>
            <w:vAlign w:val="bottom"/>
            <w:shd w:val="clear" w:color="auto" w:fill="EEEEEE"/>
          </w:tcPr>
          <w:p>
            <w:pPr>
              <w:spacing w:after="0"/>
              <w:rPr>
                <w:sz w:val="19"/>
                <w:szCs w:val="19"/>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21,006</w:t>
            </w:r>
          </w:p>
        </w:tc>
        <w:tc>
          <w:tcPr>
            <w:tcW w:w="2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15,347</w:t>
            </w:r>
          </w:p>
        </w:tc>
        <w:tc>
          <w:tcPr>
            <w:tcW w:w="360" w:type="dxa"/>
            <w:vAlign w:val="bottom"/>
            <w:shd w:val="clear" w:color="auto" w:fill="EEEEEE"/>
          </w:tcPr>
          <w:p>
            <w:pPr>
              <w:spacing w:after="0"/>
              <w:rPr>
                <w:sz w:val="19"/>
                <w:szCs w:val="19"/>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15,988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w w:val="97"/>
              </w:rPr>
              <w:t>Cost of maintenance and subscriptions (of which $0,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380"/>
              <w:spacing w:after="0"/>
              <w:rPr>
                <w:sz w:val="20"/>
                <w:szCs w:val="20"/>
                <w:color w:val="auto"/>
              </w:rPr>
            </w:pPr>
            <w:r>
              <w:rPr>
                <w:rFonts w:ascii="Arial" w:cs="Arial" w:eastAsia="Arial" w:hAnsi="Arial"/>
                <w:sz w:val="17"/>
                <w:szCs w:val="17"/>
                <w:color w:val="auto"/>
                <w:w w:val="95"/>
              </w:rPr>
              <w:t>$0 and $505 in 2001, 2002 and 2003, and $344 and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380"/>
              <w:spacing w:after="0"/>
              <w:rPr>
                <w:sz w:val="20"/>
                <w:szCs w:val="20"/>
                <w:color w:val="auto"/>
              </w:rPr>
            </w:pPr>
            <w:r>
              <w:rPr>
                <w:rFonts w:ascii="Arial" w:cs="Arial" w:eastAsia="Arial" w:hAnsi="Arial"/>
                <w:sz w:val="17"/>
                <w:szCs w:val="17"/>
                <w:color w:val="auto"/>
              </w:rPr>
              <w:t>($106) for the nine months ended September 30,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380"/>
              <w:spacing w:after="0"/>
              <w:rPr>
                <w:sz w:val="20"/>
                <w:szCs w:val="20"/>
                <w:color w:val="auto"/>
              </w:rPr>
            </w:pPr>
            <w:r>
              <w:rPr>
                <w:rFonts w:ascii="Arial" w:cs="Arial" w:eastAsia="Arial" w:hAnsi="Arial"/>
                <w:sz w:val="17"/>
                <w:szCs w:val="17"/>
                <w:color w:val="auto"/>
              </w:rPr>
              <w:t>2003 and 2004, respectively, was stock option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40" w:type="dxa"/>
            <w:vAlign w:val="bottom"/>
          </w:tcPr>
          <w:p>
            <w:pPr>
              <w:ind w:left="380"/>
              <w:spacing w:after="0"/>
              <w:rPr>
                <w:sz w:val="20"/>
                <w:szCs w:val="20"/>
                <w:color w:val="auto"/>
              </w:rPr>
            </w:pPr>
            <w:r>
              <w:rPr>
                <w:rFonts w:ascii="Arial" w:cs="Arial" w:eastAsia="Arial" w:hAnsi="Arial"/>
                <w:sz w:val="17"/>
                <w:szCs w:val="17"/>
                <w:color w:val="auto"/>
              </w:rPr>
              <w:t>compensation)</w:t>
            </w:r>
          </w:p>
        </w:tc>
        <w:tc>
          <w:tcPr>
            <w:tcW w:w="280" w:type="dxa"/>
            <w:vAlign w:val="bottom"/>
          </w:tcPr>
          <w:p>
            <w:pPr>
              <w:spacing w:after="0"/>
              <w:rPr>
                <w:sz w:val="19"/>
                <w:szCs w:val="19"/>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11,733</w:t>
            </w:r>
          </w:p>
        </w:tc>
        <w:tc>
          <w:tcPr>
            <w:tcW w:w="480" w:type="dxa"/>
            <w:vAlign w:val="bottom"/>
          </w:tcPr>
          <w:p>
            <w:pPr>
              <w:spacing w:after="0"/>
              <w:rPr>
                <w:sz w:val="19"/>
                <w:szCs w:val="19"/>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10,588</w:t>
            </w:r>
          </w:p>
        </w:tc>
        <w:tc>
          <w:tcPr>
            <w:tcW w:w="26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11,837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9,031</w:t>
            </w:r>
          </w:p>
        </w:tc>
        <w:tc>
          <w:tcPr>
            <w:tcW w:w="360" w:type="dxa"/>
            <w:vAlign w:val="bottom"/>
          </w:tcPr>
          <w:p>
            <w:pPr>
              <w:spacing w:after="0"/>
              <w:rPr>
                <w:sz w:val="19"/>
                <w:szCs w:val="19"/>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7,864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Cost of other revenue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2,750</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3,611</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3,712</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2,556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2,577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7"/>
                <w:szCs w:val="17"/>
                <w:color w:val="auto"/>
              </w:rPr>
              <w:t>Total cost of revenue</w:t>
            </w:r>
          </w:p>
        </w:tc>
        <w:tc>
          <w:tcPr>
            <w:tcW w:w="2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26,462</w:t>
            </w:r>
          </w:p>
        </w:tc>
        <w:tc>
          <w:tcPr>
            <w:tcW w:w="4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30,980</w:t>
            </w:r>
          </w:p>
        </w:tc>
        <w:tc>
          <w:tcPr>
            <w:tcW w:w="260" w:type="dxa"/>
            <w:vAlign w:val="bottom"/>
          </w:tcPr>
          <w:p>
            <w:pPr>
              <w:spacing w:after="0"/>
              <w:rPr>
                <w:sz w:val="24"/>
                <w:szCs w:val="24"/>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39,374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29,044</w:t>
            </w:r>
          </w:p>
        </w:tc>
        <w:tc>
          <w:tcPr>
            <w:tcW w:w="360" w:type="dxa"/>
            <w:vAlign w:val="bottom"/>
          </w:tcPr>
          <w:p>
            <w:pPr>
              <w:spacing w:after="0"/>
              <w:rPr>
                <w:sz w:val="24"/>
                <w:szCs w:val="24"/>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29,162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Gross profit</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63,572</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74,249</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78,719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58,448</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73,865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15,173</w:t>
            </w:r>
          </w:p>
        </w:tc>
        <w:tc>
          <w:tcPr>
            <w:tcW w:w="4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19,173</w:t>
            </w:r>
          </w:p>
        </w:tc>
        <w:tc>
          <w:tcPr>
            <w:tcW w:w="260" w:type="dxa"/>
            <w:vAlign w:val="bottom"/>
          </w:tcPr>
          <w:p>
            <w:pPr>
              <w:spacing w:after="0"/>
              <w:rPr>
                <w:sz w:val="24"/>
                <w:szCs w:val="24"/>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21,883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15,991</w:t>
            </w:r>
          </w:p>
        </w:tc>
        <w:tc>
          <w:tcPr>
            <w:tcW w:w="360" w:type="dxa"/>
            <w:vAlign w:val="bottom"/>
          </w:tcPr>
          <w:p>
            <w:pPr>
              <w:spacing w:after="0"/>
              <w:rPr>
                <w:sz w:val="24"/>
                <w:szCs w:val="24"/>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20,646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14,755</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14,385</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15,516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11,506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13,245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9,031</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10,631</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11,085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8,042</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9,093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Amortization</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2,239</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1,045</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848</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800</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Costs of initial public offering</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2,455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Stock option compensation</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23,691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17,326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41,198</w:t>
            </w:r>
          </w:p>
        </w:tc>
        <w:tc>
          <w:tcPr>
            <w:tcW w:w="4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45,234</w:t>
            </w:r>
          </w:p>
        </w:tc>
        <w:tc>
          <w:tcPr>
            <w:tcW w:w="260" w:type="dxa"/>
            <w:vAlign w:val="bottom"/>
          </w:tcPr>
          <w:p>
            <w:pPr>
              <w:spacing w:after="0"/>
              <w:rPr>
                <w:sz w:val="24"/>
                <w:szCs w:val="24"/>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73,023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53,665</w:t>
            </w:r>
          </w:p>
        </w:tc>
        <w:tc>
          <w:tcPr>
            <w:tcW w:w="360" w:type="dxa"/>
            <w:vAlign w:val="bottom"/>
          </w:tcPr>
          <w:p>
            <w:pPr>
              <w:spacing w:after="0"/>
              <w:rPr>
                <w:sz w:val="24"/>
                <w:szCs w:val="24"/>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45,526</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Income from operations</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22,374</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29,015</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5,696</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4,783</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28,339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Interest income</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96</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138</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97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70</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(7,963)</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15"/>
              <w:spacing w:after="0"/>
              <w:rPr>
                <w:sz w:val="20"/>
                <w:szCs w:val="20"/>
                <w:color w:val="auto"/>
              </w:rPr>
            </w:pPr>
            <w:r>
              <w:rPr>
                <w:rFonts w:ascii="Arial" w:cs="Arial" w:eastAsia="Arial" w:hAnsi="Arial"/>
                <w:sz w:val="17"/>
                <w:szCs w:val="17"/>
                <w:color w:val="auto"/>
              </w:rPr>
              <w:t>(4,410)</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(2,559)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16"/>
              <w:spacing w:after="0"/>
              <w:rPr>
                <w:sz w:val="20"/>
                <w:szCs w:val="20"/>
                <w:color w:val="auto"/>
              </w:rPr>
            </w:pPr>
            <w:r>
              <w:rPr>
                <w:rFonts w:ascii="Arial" w:cs="Arial" w:eastAsia="Arial" w:hAnsi="Arial"/>
                <w:sz w:val="17"/>
                <w:szCs w:val="17"/>
                <w:color w:val="auto"/>
              </w:rPr>
              <w:t>(2,216)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Other (expense) income, net</w:t>
            </w:r>
          </w:p>
        </w:tc>
        <w:tc>
          <w:tcPr>
            <w:tcW w:w="2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(113)</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235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16"/>
              <w:spacing w:after="0"/>
              <w:rPr>
                <w:sz w:val="20"/>
                <w:szCs w:val="20"/>
                <w:color w:val="auto"/>
              </w:rPr>
            </w:pPr>
            <w:r>
              <w:rPr>
                <w:rFonts w:ascii="Arial" w:cs="Arial" w:eastAsia="Arial" w:hAnsi="Arial"/>
                <w:sz w:val="17"/>
                <w:szCs w:val="17"/>
                <w:color w:val="auto"/>
              </w:rPr>
              <w:t>(100)</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Income before provision for income taxes</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14,394</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24,806</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3,469</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2,537</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28,546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Income tax provision</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5,488</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9,166</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3,947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2,886</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11,619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Net income (loss)</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8,906</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15,640</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(478)</w:t>
            </w: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16"/>
              <w:spacing w:after="0"/>
              <w:rPr>
                <w:sz w:val="20"/>
                <w:szCs w:val="20"/>
                <w:color w:val="auto"/>
              </w:rPr>
            </w:pPr>
            <w:r>
              <w:rPr>
                <w:rFonts w:ascii="Arial" w:cs="Arial" w:eastAsia="Arial" w:hAnsi="Arial"/>
                <w:sz w:val="17"/>
                <w:szCs w:val="17"/>
                <w:color w:val="auto"/>
              </w:rPr>
              <w:t>(349)</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16,927</w:t>
            </w:r>
          </w:p>
        </w:tc>
        <w:tc>
          <w:tcPr>
            <w:tcW w:w="0" w:type="dxa"/>
            <w:vAlign w:val="bottom"/>
          </w:tcPr>
          <w:p>
            <w:pPr>
              <w:spacing w:after="0"/>
              <w:rPr>
                <w:sz w:val="1"/>
                <w:szCs w:val="1"/>
                <w:color w:val="auto"/>
              </w:rPr>
            </w:pPr>
          </w:p>
        </w:tc>
      </w:tr>
      <w:tr>
        <w:trPr>
          <w:trHeight w:val="106"/>
        </w:trPr>
        <w:tc>
          <w:tcPr>
            <w:tcW w:w="4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Earnings (loss) per share</w:t>
            </w: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41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0.21</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0.37</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(0.01)</w:t>
            </w: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16"/>
              <w:spacing w:after="0"/>
              <w:rPr>
                <w:sz w:val="20"/>
                <w:szCs w:val="20"/>
                <w:color w:val="auto"/>
              </w:rPr>
            </w:pPr>
            <w:r>
              <w:rPr>
                <w:rFonts w:ascii="Arial" w:cs="Arial" w:eastAsia="Arial" w:hAnsi="Arial"/>
                <w:sz w:val="17"/>
                <w:szCs w:val="17"/>
                <w:color w:val="auto"/>
              </w:rPr>
              <w:t>(0.01)</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Diluted</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0.21</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0.37</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(0.01)</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6"/>
              <w:spacing w:after="0"/>
              <w:rPr>
                <w:sz w:val="20"/>
                <w:szCs w:val="20"/>
                <w:color w:val="auto"/>
              </w:rPr>
            </w:pPr>
            <w:r>
              <w:rPr>
                <w:rFonts w:ascii="Arial" w:cs="Arial" w:eastAsia="Arial" w:hAnsi="Arial"/>
                <w:sz w:val="17"/>
                <w:szCs w:val="17"/>
                <w:color w:val="auto"/>
              </w:rPr>
              <w:t>(0.01)</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Common shares and equivalents outstanding</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Basic weighted average shares</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w w:val="89"/>
              </w:rPr>
              <w:t>41,492,329</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w w:val="89"/>
              </w:rPr>
              <w:t>42,360,410</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w w:val="86"/>
              </w:rPr>
              <w:t>42,395,594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w w:val="86"/>
              </w:rPr>
              <w:t>42,391,299</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w w:val="89"/>
              </w:rPr>
              <w:t>42,480,059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Diluted weighted average shares</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w w:val="89"/>
              </w:rPr>
              <w:t>41,492,329</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w w:val="89"/>
              </w:rPr>
              <w:t>42,360,410</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w w:val="86"/>
              </w:rPr>
              <w:t>42,395,594</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w w:val="86"/>
              </w:rPr>
              <w:t>42,391,299</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w w:val="89"/>
              </w:rPr>
              <w:t>46,466,986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7"/>
                <w:szCs w:val="17"/>
                <w:b w:val="1"/>
                <w:bCs w:val="1"/>
                <w:color w:val="auto"/>
              </w:rPr>
              <w:t>Summary of stock option compensation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Cost of services</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3,342</w:t>
            </w: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2,291</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Cost of maintenance and subscriptions</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505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344</w:t>
            </w:r>
          </w:p>
        </w:tc>
        <w:tc>
          <w:tcPr>
            <w:tcW w:w="360" w:type="dxa"/>
            <w:vAlign w:val="bottom"/>
          </w:tcPr>
          <w:p>
            <w:pPr>
              <w:spacing w:after="0"/>
              <w:rPr>
                <w:sz w:val="18"/>
                <w:szCs w:val="18"/>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520"/>
              <w:spacing w:after="0"/>
              <w:rPr>
                <w:sz w:val="20"/>
                <w:szCs w:val="20"/>
                <w:color w:val="auto"/>
              </w:rPr>
            </w:pPr>
            <w:r>
              <w:rPr>
                <w:rFonts w:ascii="Arial" w:cs="Arial" w:eastAsia="Arial" w:hAnsi="Arial"/>
                <w:sz w:val="17"/>
                <w:szCs w:val="17"/>
                <w:color w:val="auto"/>
              </w:rPr>
              <w:t>Total cost of revenue</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3,847</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2,635</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(750)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24"/>
                <w:szCs w:val="24"/>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4"/>
                <w:szCs w:val="24"/>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4"/>
                <w:szCs w:val="24"/>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1,817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1,201</w:t>
            </w:r>
          </w:p>
        </w:tc>
        <w:tc>
          <w:tcPr>
            <w:tcW w:w="360" w:type="dxa"/>
            <w:vAlign w:val="bottom"/>
          </w:tcPr>
          <w:p>
            <w:pPr>
              <w:spacing w:after="0"/>
              <w:rPr>
                <w:sz w:val="24"/>
                <w:szCs w:val="24"/>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(194)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40" w:type="dxa"/>
            <w:vAlign w:val="bottom"/>
            <w:shd w:val="clear" w:color="auto" w:fill="EEEEEE"/>
          </w:tcPr>
          <w:p>
            <w:pPr>
              <w:ind w:left="26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2,341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1,639</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(517)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Pr>
          <w:p>
            <w:pPr>
              <w:ind w:left="260"/>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19,533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14,486</w:t>
            </w:r>
          </w:p>
        </w:tc>
        <w:tc>
          <w:tcPr>
            <w:tcW w:w="36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Arial" w:cs="Arial" w:eastAsia="Arial" w:hAnsi="Arial"/>
                <w:sz w:val="17"/>
                <w:szCs w:val="17"/>
                <w:color w:val="auto"/>
              </w:rPr>
              <w:t>766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40" w:type="dxa"/>
            <w:vAlign w:val="bottom"/>
            <w:shd w:val="clear" w:color="auto" w:fill="EEEEEE"/>
          </w:tcPr>
          <w:p>
            <w:pPr>
              <w:ind w:left="520"/>
              <w:spacing w:after="0"/>
              <w:rPr>
                <w:sz w:val="20"/>
                <w:szCs w:val="20"/>
                <w:color w:val="auto"/>
              </w:rPr>
            </w:pPr>
            <w:r>
              <w:rPr>
                <w:rFonts w:ascii="Arial" w:cs="Arial" w:eastAsia="Arial" w:hAnsi="Arial"/>
                <w:sz w:val="17"/>
                <w:szCs w:val="17"/>
                <w:color w:val="auto"/>
              </w:rPr>
              <w:t>Total operating expenses</w:t>
            </w:r>
          </w:p>
        </w:tc>
        <w:tc>
          <w:tcPr>
            <w:tcW w:w="28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23,691</w:t>
            </w:r>
          </w:p>
        </w:tc>
        <w:tc>
          <w:tcPr>
            <w:tcW w:w="2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6"/>
              <w:spacing w:after="0"/>
              <w:rPr>
                <w:sz w:val="20"/>
                <w:szCs w:val="20"/>
                <w:color w:val="auto"/>
              </w:rPr>
            </w:pPr>
            <w:r>
              <w:rPr>
                <w:rFonts w:ascii="Arial" w:cs="Arial" w:eastAsia="Arial" w:hAnsi="Arial"/>
                <w:sz w:val="17"/>
                <w:szCs w:val="17"/>
                <w:color w:val="auto"/>
              </w:rPr>
              <w:t>17,326</w:t>
            </w:r>
          </w:p>
        </w:tc>
        <w:tc>
          <w:tcPr>
            <w:tcW w:w="36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4140" w:type="dxa"/>
            <w:vAlign w:val="bottom"/>
          </w:tcPr>
          <w:p>
            <w:pPr>
              <w:ind w:left="520"/>
              <w:spacing w:after="0"/>
              <w:rPr>
                <w:sz w:val="20"/>
                <w:szCs w:val="20"/>
                <w:color w:val="auto"/>
              </w:rPr>
            </w:pPr>
            <w:r>
              <w:rPr>
                <w:rFonts w:ascii="Arial" w:cs="Arial" w:eastAsia="Arial" w:hAnsi="Arial"/>
                <w:sz w:val="17"/>
                <w:szCs w:val="17"/>
                <w:color w:val="auto"/>
              </w:rPr>
              <w:t>Total stock option compensation</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27,538</w:t>
            </w: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76"/>
              <w:spacing w:after="0"/>
              <w:rPr>
                <w:sz w:val="20"/>
                <w:szCs w:val="20"/>
                <w:color w:val="auto"/>
              </w:rPr>
            </w:pPr>
            <w:r>
              <w:rPr>
                <w:rFonts w:ascii="Arial" w:cs="Arial" w:eastAsia="Arial" w:hAnsi="Arial"/>
                <w:sz w:val="17"/>
                <w:szCs w:val="17"/>
                <w:color w:val="auto"/>
              </w:rPr>
              <w:t>19,961</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bl>
    <w:p>
      <w:pPr>
        <w:sectPr>
          <w:pgSz w:w="11900" w:h="16886" w:orient="portrait"/>
          <w:cols w:equalWidth="0" w:num="1">
            <w:col w:w="11420"/>
          </w:cols>
          <w:pgMar w:left="240" w:top="907" w:right="239" w:bottom="0" w:gutter="0" w:footer="0" w:header="0"/>
        </w:sectPr>
      </w:pPr>
    </w:p>
    <w:bookmarkStart w:id="98" w:name="page99"/>
    <w:bookmarkEnd w:id="98"/>
    <w:p>
      <w:pPr>
        <w:spacing w:after="0"/>
        <w:rPr>
          <w:sz w:val="20"/>
          <w:szCs w:val="20"/>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249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9160" cy="8255"/>
                    </a:xfrm>
                    <a:prstGeom prst="rect">
                      <a:avLst/>
                    </a:prstGeom>
                    <a:noFill/>
                  </pic:spPr>
                </pic:pic>
              </a:graphicData>
            </a:graphic>
          </wp:anchor>
        </w:drawing>
        <w:t>The accompanying notes are an integral part of these consolidated financial statements.</w:t>
      </w:r>
    </w:p>
    <w:p>
      <w:pPr>
        <w:sectPr>
          <w:pgSz w:w="11900" w:h="16838" w:orient="portrait"/>
          <w:cols w:equalWidth="0" w:num="1">
            <w:col w:w="10219"/>
          </w:cols>
          <w:pgMar w:left="240" w:top="462" w:right="1440" w:bottom="1440" w:gutter="0" w:footer="0" w:header="0"/>
        </w:sectPr>
      </w:pPr>
    </w:p>
    <w:p>
      <w:pPr>
        <w:spacing w:after="0" w:line="251"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162560</wp:posOffset>
            </wp:positionV>
            <wp:extent cx="725360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462" w:right="1440"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4"/>
          <w:szCs w:val="24"/>
          <w:b w:val="1"/>
          <w:bCs w:val="1"/>
          <w:color w:val="auto"/>
        </w:rPr>
        <w:t>Blackbaud,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219710</wp:posOffset>
            </wp:positionV>
            <wp:extent cx="7249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tcPr>
          <w:p>
            <w:pPr>
              <w:jc w:val="center"/>
              <w:ind w:left="396"/>
              <w:spacing w:after="0"/>
              <w:rPr>
                <w:sz w:val="20"/>
                <w:szCs w:val="20"/>
                <w:color w:val="auto"/>
              </w:rPr>
            </w:pPr>
            <w:r>
              <w:rPr>
                <w:rFonts w:ascii="Arial" w:cs="Arial" w:eastAsia="Arial" w:hAnsi="Arial"/>
                <w:sz w:val="13"/>
                <w:szCs w:val="13"/>
                <w:b w:val="1"/>
                <w:bCs w:val="1"/>
                <w:color w:val="auto"/>
                <w:w w:val="91"/>
              </w:rPr>
              <w:t>Nine months</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jc w:val="center"/>
              <w:ind w:right="118"/>
              <w:spacing w:after="0" w:line="146" w:lineRule="exact"/>
              <w:rPr>
                <w:sz w:val="20"/>
                <w:szCs w:val="20"/>
                <w:color w:val="auto"/>
              </w:rPr>
            </w:pPr>
            <w:r>
              <w:rPr>
                <w:rFonts w:ascii="Arial" w:cs="Arial" w:eastAsia="Arial" w:hAnsi="Arial"/>
                <w:sz w:val="13"/>
                <w:szCs w:val="13"/>
                <w:b w:val="1"/>
                <w:bCs w:val="1"/>
                <w:color w:val="auto"/>
                <w:w w:val="88"/>
              </w:rPr>
              <w:t>ended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gridSpan w:val="2"/>
          </w:tcPr>
          <w:p>
            <w:pPr>
              <w:jc w:val="right"/>
              <w:ind w:right="35"/>
              <w:spacing w:after="0"/>
              <w:rPr>
                <w:sz w:val="20"/>
                <w:szCs w:val="20"/>
                <w:color w:val="auto"/>
              </w:rPr>
            </w:pPr>
            <w:r>
              <w:rPr>
                <w:rFonts w:ascii="Arial" w:cs="Arial" w:eastAsia="Arial" w:hAnsi="Arial"/>
                <w:sz w:val="13"/>
                <w:szCs w:val="13"/>
                <w:b w:val="1"/>
                <w:bCs w:val="1"/>
                <w:color w:val="auto"/>
                <w:w w:val="97"/>
              </w:rPr>
              <w:t>Year ended December 31,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b w:val="1"/>
                <w:bCs w:val="1"/>
                <w:color w:val="auto"/>
              </w:rPr>
              <w:t>September 30,</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tcPr>
          <w:p>
            <w:pPr>
              <w:ind w:left="2060"/>
              <w:spacing w:after="0"/>
              <w:rPr>
                <w:sz w:val="20"/>
                <w:szCs w:val="20"/>
                <w:color w:val="auto"/>
              </w:rPr>
            </w:pPr>
            <w:r>
              <w:rPr>
                <w:rFonts w:ascii="Arial" w:cs="Arial" w:eastAsia="Arial" w:hAnsi="Arial"/>
                <w:sz w:val="13"/>
                <w:szCs w:val="13"/>
                <w:b w:val="1"/>
                <w:bCs w:val="1"/>
                <w:color w:val="auto"/>
              </w:rPr>
              <w:t>(in thousands)</w:t>
            </w:r>
          </w:p>
        </w:tc>
        <w:tc>
          <w:tcPr>
            <w:tcW w:w="280" w:type="dxa"/>
            <w:vAlign w:val="bottom"/>
          </w:tcPr>
          <w:p>
            <w:pPr>
              <w:spacing w:after="0"/>
              <w:rPr>
                <w:sz w:val="22"/>
                <w:szCs w:val="22"/>
                <w:color w:val="auto"/>
              </w:rPr>
            </w:pPr>
          </w:p>
        </w:tc>
        <w:tc>
          <w:tcPr>
            <w:tcW w:w="700" w:type="dxa"/>
            <w:vAlign w:val="bottom"/>
          </w:tcPr>
          <w:p>
            <w:pPr>
              <w:jc w:val="right"/>
              <w:ind w:right="255"/>
              <w:spacing w:after="0"/>
              <w:rPr>
                <w:sz w:val="20"/>
                <w:szCs w:val="20"/>
                <w:color w:val="auto"/>
              </w:rPr>
            </w:pPr>
            <w:r>
              <w:rPr>
                <w:rFonts w:ascii="Arial" w:cs="Arial" w:eastAsia="Arial" w:hAnsi="Arial"/>
                <w:sz w:val="13"/>
                <w:szCs w:val="13"/>
                <w:b w:val="1"/>
                <w:bCs w:val="1"/>
                <w:color w:val="auto"/>
              </w:rPr>
              <w:t>2001</w:t>
            </w:r>
          </w:p>
        </w:tc>
        <w:tc>
          <w:tcPr>
            <w:tcW w:w="600" w:type="dxa"/>
            <w:vAlign w:val="bottom"/>
          </w:tcPr>
          <w:p>
            <w:pPr>
              <w:spacing w:after="0"/>
              <w:rPr>
                <w:sz w:val="22"/>
                <w:szCs w:val="22"/>
                <w:color w:val="auto"/>
              </w:rPr>
            </w:pPr>
          </w:p>
        </w:tc>
        <w:tc>
          <w:tcPr>
            <w:tcW w:w="1080" w:type="dxa"/>
            <w:vAlign w:val="bottom"/>
          </w:tcPr>
          <w:p>
            <w:pPr>
              <w:jc w:val="right"/>
              <w:ind w:right="635"/>
              <w:spacing w:after="0"/>
              <w:rPr>
                <w:sz w:val="20"/>
                <w:szCs w:val="20"/>
                <w:color w:val="auto"/>
              </w:rPr>
            </w:pPr>
            <w:r>
              <w:rPr>
                <w:rFonts w:ascii="Arial" w:cs="Arial" w:eastAsia="Arial" w:hAnsi="Arial"/>
                <w:sz w:val="13"/>
                <w:szCs w:val="13"/>
                <w:b w:val="1"/>
                <w:bCs w:val="1"/>
                <w:color w:val="auto"/>
              </w:rPr>
              <w:t>2002</w:t>
            </w:r>
          </w:p>
        </w:tc>
        <w:tc>
          <w:tcPr>
            <w:tcW w:w="220" w:type="dxa"/>
            <w:vAlign w:val="bottom"/>
          </w:tcPr>
          <w:p>
            <w:pPr>
              <w:spacing w:after="0"/>
              <w:rPr>
                <w:sz w:val="22"/>
                <w:szCs w:val="22"/>
                <w:color w:val="auto"/>
              </w:rPr>
            </w:pPr>
          </w:p>
        </w:tc>
        <w:tc>
          <w:tcPr>
            <w:tcW w:w="740" w:type="dxa"/>
            <w:vAlign w:val="bottom"/>
          </w:tcPr>
          <w:p>
            <w:pPr>
              <w:jc w:val="right"/>
              <w:ind w:right="295"/>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ind w:right="216"/>
              <w:spacing w:after="0"/>
              <w:rPr>
                <w:sz w:val="20"/>
                <w:szCs w:val="20"/>
                <w:color w:val="auto"/>
              </w:rPr>
            </w:pPr>
            <w:r>
              <w:rPr>
                <w:rFonts w:ascii="Arial" w:cs="Arial" w:eastAsia="Arial" w:hAnsi="Arial"/>
                <w:sz w:val="13"/>
                <w:szCs w:val="13"/>
                <w:b w:val="1"/>
                <w:bCs w:val="1"/>
                <w:color w:val="auto"/>
              </w:rPr>
              <w:t>2003</w:t>
            </w:r>
          </w:p>
        </w:tc>
        <w:tc>
          <w:tcPr>
            <w:tcW w:w="620" w:type="dxa"/>
            <w:vAlign w:val="bottom"/>
          </w:tcPr>
          <w:p>
            <w:pPr>
              <w:spacing w:after="0"/>
              <w:rPr>
                <w:sz w:val="22"/>
                <w:szCs w:val="22"/>
                <w:color w:val="auto"/>
              </w:rPr>
            </w:pPr>
          </w:p>
        </w:tc>
        <w:tc>
          <w:tcPr>
            <w:tcW w:w="760" w:type="dxa"/>
            <w:vAlign w:val="bottom"/>
          </w:tcPr>
          <w:p>
            <w:pPr>
              <w:jc w:val="right"/>
              <w:ind w:right="295"/>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gridSpan w:val="2"/>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center"/>
              <w:ind w:left="376"/>
              <w:spacing w:after="0"/>
              <w:rPr>
                <w:sz w:val="20"/>
                <w:szCs w:val="20"/>
                <w:color w:val="auto"/>
              </w:rPr>
            </w:pPr>
            <w:r>
              <w:rPr>
                <w:rFonts w:ascii="Arial" w:cs="Arial" w:eastAsia="Arial" w:hAnsi="Arial"/>
                <w:sz w:val="13"/>
                <w:szCs w:val="13"/>
                <w:b w:val="1"/>
                <w:bCs w:val="1"/>
                <w:color w:val="auto"/>
                <w:w w:val="93"/>
              </w:rPr>
              <w:t>(unaudited)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7"/>
                <w:szCs w:val="17"/>
                <w:color w:val="auto"/>
              </w:rPr>
              <w:t>Net income (loss)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8,906</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55"/>
              <w:spacing w:after="0"/>
              <w:rPr>
                <w:sz w:val="20"/>
                <w:szCs w:val="20"/>
                <w:color w:val="auto"/>
              </w:rPr>
            </w:pPr>
            <w:r>
              <w:rPr>
                <w:rFonts w:ascii="Arial" w:cs="Arial" w:eastAsia="Arial" w:hAnsi="Arial"/>
                <w:sz w:val="17"/>
                <w:szCs w:val="17"/>
                <w:color w:val="auto"/>
                <w:w w:val="99"/>
              </w:rPr>
              <w:t>15,640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(478)</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(349)</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5"/>
              <w:spacing w:after="0"/>
              <w:rPr>
                <w:sz w:val="20"/>
                <w:szCs w:val="20"/>
                <w:color w:val="auto"/>
              </w:rPr>
            </w:pPr>
            <w:r>
              <w:rPr>
                <w:rFonts w:ascii="Arial" w:cs="Arial" w:eastAsia="Arial" w:hAnsi="Arial"/>
                <w:sz w:val="17"/>
                <w:szCs w:val="17"/>
                <w:color w:val="auto"/>
                <w:w w:val="88"/>
              </w:rPr>
              <w:t>16,927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Adjustments to reconcile net income (loss) to net cash provided by</w:t>
            </w:r>
          </w:p>
        </w:tc>
        <w:tc>
          <w:tcPr>
            <w:tcW w:w="2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shd w:val="clear" w:color="auto" w:fill="EEEEEE"/>
          </w:tcPr>
          <w:p>
            <w:pPr>
              <w:ind w:left="120"/>
              <w:spacing w:after="0"/>
              <w:rPr>
                <w:sz w:val="20"/>
                <w:szCs w:val="20"/>
                <w:color w:val="auto"/>
              </w:rPr>
            </w:pPr>
            <w:r>
              <w:rPr>
                <w:rFonts w:ascii="Arial" w:cs="Arial" w:eastAsia="Arial" w:hAnsi="Arial"/>
                <w:sz w:val="17"/>
                <w:szCs w:val="17"/>
                <w:color w:val="auto"/>
              </w:rPr>
              <w:t>operating activities</w:t>
            </w:r>
          </w:p>
        </w:tc>
        <w:tc>
          <w:tcPr>
            <w:tcW w:w="2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2,552</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2,447</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2,781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2,197</w:t>
            </w:r>
          </w:p>
        </w:tc>
        <w:tc>
          <w:tcPr>
            <w:tcW w:w="62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1,889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Amortization</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2,239</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1,045</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848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800</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Stock option compensation</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w w:val="99"/>
              </w:rPr>
              <w:t>25,845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19,961</w:t>
            </w:r>
          </w:p>
        </w:tc>
        <w:tc>
          <w:tcPr>
            <w:tcW w:w="6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Amortization of deferred financing fees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513</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935</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858</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702</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Deferred taxes</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5,400</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9,010</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2,178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283</w:t>
            </w:r>
          </w:p>
        </w:tc>
        <w:tc>
          <w:tcPr>
            <w:tcW w:w="62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7,555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Changes in assets and liabilities, net of impact from</w:t>
            </w:r>
          </w:p>
        </w:tc>
        <w:tc>
          <w:tcPr>
            <w:tcW w:w="28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80" w:type="dxa"/>
            <w:vAlign w:val="bottom"/>
            <w:shd w:val="clear" w:color="auto" w:fill="EEEEEE"/>
          </w:tcPr>
          <w:p>
            <w:pPr>
              <w:ind w:left="640"/>
              <w:spacing w:after="0"/>
              <w:rPr>
                <w:sz w:val="20"/>
                <w:szCs w:val="20"/>
                <w:color w:val="auto"/>
              </w:rPr>
            </w:pPr>
            <w:r>
              <w:rPr>
                <w:rFonts w:ascii="Arial" w:cs="Arial" w:eastAsia="Arial" w:hAnsi="Arial"/>
                <w:sz w:val="17"/>
                <w:szCs w:val="17"/>
                <w:color w:val="auto"/>
              </w:rPr>
              <w:t>acquisitions</w:t>
            </w:r>
          </w:p>
        </w:tc>
        <w:tc>
          <w:tcPr>
            <w:tcW w:w="28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10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7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76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4,545</w:t>
            </w:r>
          </w:p>
        </w:tc>
        <w:tc>
          <w:tcPr>
            <w:tcW w:w="60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color w:val="auto"/>
              </w:rPr>
              <w:t>(1,844)</w:t>
            </w:r>
          </w:p>
        </w:tc>
        <w:tc>
          <w:tcPr>
            <w:tcW w:w="220" w:type="dxa"/>
            <w:vAlign w:val="bottom"/>
          </w:tcPr>
          <w:p>
            <w:pPr>
              <w:spacing w:after="0"/>
              <w:rPr>
                <w:sz w:val="18"/>
                <w:szCs w:val="18"/>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(1,078)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(166)</w:t>
            </w:r>
          </w:p>
        </w:tc>
        <w:tc>
          <w:tcPr>
            <w:tcW w:w="6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w w:val="96"/>
              </w:rPr>
              <w:t>(2,365)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760"/>
              <w:spacing w:after="0"/>
              <w:rPr>
                <w:sz w:val="20"/>
                <w:szCs w:val="20"/>
                <w:color w:val="auto"/>
              </w:rPr>
            </w:pPr>
            <w:r>
              <w:rPr>
                <w:rFonts w:ascii="Arial" w:cs="Arial" w:eastAsia="Arial" w:hAnsi="Arial"/>
                <w:sz w:val="17"/>
                <w:szCs w:val="17"/>
                <w:color w:val="auto"/>
              </w:rPr>
              <w:t>Other current assets and other assets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
              <w:spacing w:after="0"/>
              <w:rPr>
                <w:sz w:val="20"/>
                <w:szCs w:val="20"/>
                <w:color w:val="auto"/>
              </w:rPr>
            </w:pPr>
            <w:r>
              <w:rPr>
                <w:rFonts w:ascii="Arial" w:cs="Arial" w:eastAsia="Arial" w:hAnsi="Arial"/>
                <w:sz w:val="17"/>
                <w:szCs w:val="17"/>
                <w:color w:val="auto"/>
              </w:rPr>
              <w:t>(504)</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(238)</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(1,424)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(1,165)</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760"/>
              <w:spacing w:after="0"/>
              <w:rPr>
                <w:sz w:val="20"/>
                <w:szCs w:val="20"/>
                <w:color w:val="auto"/>
              </w:rPr>
            </w:pPr>
            <w:r>
              <w:rPr>
                <w:rFonts w:ascii="Arial" w:cs="Arial" w:eastAsia="Arial" w:hAnsi="Arial"/>
                <w:sz w:val="17"/>
                <w:szCs w:val="17"/>
                <w:color w:val="auto"/>
              </w:rPr>
              <w:t>Trade accounts payable</w:t>
            </w:r>
          </w:p>
        </w:tc>
        <w:tc>
          <w:tcPr>
            <w:tcW w:w="2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(1,234)</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69</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470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(1,012)</w:t>
            </w:r>
          </w:p>
        </w:tc>
        <w:tc>
          <w:tcPr>
            <w:tcW w:w="6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rPr>
              <w:t>(230)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760"/>
              <w:spacing w:after="0"/>
              <w:rPr>
                <w:sz w:val="20"/>
                <w:szCs w:val="20"/>
                <w:color w:val="auto"/>
              </w:rPr>
            </w:pPr>
            <w:r>
              <w:rPr>
                <w:rFonts w:ascii="Arial" w:cs="Arial" w:eastAsia="Arial" w:hAnsi="Arial"/>
                <w:sz w:val="17"/>
                <w:szCs w:val="17"/>
                <w:color w:val="auto"/>
              </w:rPr>
              <w:t>Accrued expenses and other current liabilities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
              <w:spacing w:after="0"/>
              <w:rPr>
                <w:sz w:val="20"/>
                <w:szCs w:val="20"/>
                <w:color w:val="auto"/>
              </w:rPr>
            </w:pPr>
            <w:r>
              <w:rPr>
                <w:rFonts w:ascii="Arial" w:cs="Arial" w:eastAsia="Arial" w:hAnsi="Arial"/>
                <w:sz w:val="17"/>
                <w:szCs w:val="17"/>
                <w:color w:val="auto"/>
              </w:rPr>
              <w:t>(676)</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571</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2,179</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1,493</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2,353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ind w:left="760"/>
              <w:spacing w:after="0"/>
              <w:rPr>
                <w:sz w:val="20"/>
                <w:szCs w:val="20"/>
                <w:color w:val="auto"/>
              </w:rPr>
            </w:pPr>
            <w:r>
              <w:rPr>
                <w:rFonts w:ascii="Arial" w:cs="Arial" w:eastAsia="Arial" w:hAnsi="Arial"/>
                <w:sz w:val="17"/>
                <w:szCs w:val="17"/>
                <w:color w:val="auto"/>
              </w:rPr>
              <w:t>Deferred revenue</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3,253</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4,835</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4,407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4,302</w:t>
            </w:r>
          </w:p>
        </w:tc>
        <w:tc>
          <w:tcPr>
            <w:tcW w:w="62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8,040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1040"/>
              <w:spacing w:after="0"/>
              <w:rPr>
                <w:sz w:val="20"/>
                <w:szCs w:val="20"/>
                <w:color w:val="auto"/>
              </w:rPr>
            </w:pPr>
            <w:r>
              <w:rPr>
                <w:rFonts w:ascii="Arial" w:cs="Arial" w:eastAsia="Arial" w:hAnsi="Arial"/>
                <w:sz w:val="17"/>
                <w:szCs w:val="17"/>
                <w:color w:val="auto"/>
              </w:rPr>
              <w:t>Total adjustments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w w:val="99"/>
              </w:rPr>
              <w:t>16,088</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w w:val="99"/>
              </w:rPr>
              <w:t>16,830</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w w:val="99"/>
              </w:rPr>
              <w:t>37,064</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w w:val="99"/>
              </w:rPr>
              <w:t>27,395</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w w:val="88"/>
              </w:rPr>
              <w:t>16,468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180" w:type="dxa"/>
            <w:vAlign w:val="bottom"/>
          </w:tcPr>
          <w:p>
            <w:pPr>
              <w:ind w:left="1040"/>
              <w:spacing w:after="0"/>
              <w:rPr>
                <w:sz w:val="20"/>
                <w:szCs w:val="20"/>
                <w:color w:val="auto"/>
              </w:rPr>
            </w:pPr>
            <w:r>
              <w:rPr>
                <w:rFonts w:ascii="Arial" w:cs="Arial" w:eastAsia="Arial" w:hAnsi="Arial"/>
                <w:sz w:val="17"/>
                <w:szCs w:val="17"/>
                <w:color w:val="auto"/>
              </w:rPr>
              <w:t>Net cash provided by operating activities</w:t>
            </w:r>
          </w:p>
        </w:tc>
        <w:tc>
          <w:tcPr>
            <w:tcW w:w="28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w w:val="99"/>
              </w:rPr>
              <w:t>24,994</w:t>
            </w:r>
          </w:p>
        </w:tc>
        <w:tc>
          <w:tcPr>
            <w:tcW w:w="60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w w:val="99"/>
              </w:rPr>
              <w:t>32,470</w:t>
            </w:r>
          </w:p>
        </w:tc>
        <w:tc>
          <w:tcPr>
            <w:tcW w:w="220" w:type="dxa"/>
            <w:vAlign w:val="bottom"/>
          </w:tcPr>
          <w:p>
            <w:pPr>
              <w:spacing w:after="0"/>
              <w:rPr>
                <w:sz w:val="24"/>
                <w:szCs w:val="24"/>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w w:val="99"/>
              </w:rPr>
              <w:t>36,586</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27,046</w:t>
            </w:r>
          </w:p>
        </w:tc>
        <w:tc>
          <w:tcPr>
            <w:tcW w:w="620" w:type="dxa"/>
            <w:vAlign w:val="bottom"/>
          </w:tcPr>
          <w:p>
            <w:pPr>
              <w:spacing w:after="0"/>
              <w:rPr>
                <w:sz w:val="24"/>
                <w:szCs w:val="24"/>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w w:val="88"/>
              </w:rPr>
              <w:t>33,395</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Purchase of property and equipment</w:t>
            </w:r>
          </w:p>
        </w:tc>
        <w:tc>
          <w:tcPr>
            <w:tcW w:w="2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(2,451)</w:t>
            </w:r>
          </w:p>
        </w:tc>
        <w:tc>
          <w:tcPr>
            <w:tcW w:w="60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color w:val="auto"/>
              </w:rPr>
              <w:t>(1,493)</w:t>
            </w:r>
          </w:p>
        </w:tc>
        <w:tc>
          <w:tcPr>
            <w:tcW w:w="220" w:type="dxa"/>
            <w:vAlign w:val="bottom"/>
          </w:tcPr>
          <w:p>
            <w:pPr>
              <w:spacing w:after="0"/>
              <w:rPr>
                <w:sz w:val="18"/>
                <w:szCs w:val="18"/>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(2,666)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(1,837)</w:t>
            </w:r>
          </w:p>
        </w:tc>
        <w:tc>
          <w:tcPr>
            <w:tcW w:w="6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w w:val="96"/>
              </w:rPr>
              <w:t>(1,616)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Purchase of net assets of acquired company</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
              <w:spacing w:after="0"/>
              <w:rPr>
                <w:sz w:val="20"/>
                <w:szCs w:val="20"/>
                <w:color w:val="auto"/>
              </w:rPr>
            </w:pPr>
            <w:r>
              <w:rPr>
                <w:rFonts w:ascii="Arial" w:cs="Arial" w:eastAsia="Arial" w:hAnsi="Arial"/>
                <w:sz w:val="17"/>
                <w:szCs w:val="17"/>
                <w:color w:val="auto"/>
              </w:rPr>
              <w:t>(574)</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(500)</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55"/>
              <w:spacing w:after="0"/>
              <w:rPr>
                <w:sz w:val="20"/>
                <w:szCs w:val="20"/>
                <w:color w:val="auto"/>
              </w:rPr>
            </w:pPr>
            <w:r>
              <w:rPr>
                <w:rFonts w:ascii="Arial" w:cs="Arial" w:eastAsia="Arial" w:hAnsi="Arial"/>
                <w:sz w:val="17"/>
                <w:szCs w:val="17"/>
                <w:color w:val="auto"/>
              </w:rPr>
              <w:t>(1,082)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(894)</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180" w:type="dxa"/>
            <w:vAlign w:val="bottom"/>
          </w:tcPr>
          <w:p>
            <w:pPr>
              <w:ind w:left="760"/>
              <w:spacing w:after="0"/>
              <w:rPr>
                <w:sz w:val="20"/>
                <w:szCs w:val="20"/>
                <w:color w:val="auto"/>
              </w:rPr>
            </w:pPr>
            <w:r>
              <w:rPr>
                <w:rFonts w:ascii="Arial" w:cs="Arial" w:eastAsia="Arial" w:hAnsi="Arial"/>
                <w:sz w:val="17"/>
                <w:szCs w:val="17"/>
                <w:color w:val="auto"/>
              </w:rPr>
              <w:t>Net cash used in investing activities</w:t>
            </w:r>
          </w:p>
        </w:tc>
        <w:tc>
          <w:tcPr>
            <w:tcW w:w="2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(3,025)</w:t>
            </w:r>
          </w:p>
        </w:tc>
        <w:tc>
          <w:tcPr>
            <w:tcW w:w="600" w:type="dxa"/>
            <w:vAlign w:val="bottom"/>
          </w:tcPr>
          <w:p>
            <w:pPr>
              <w:spacing w:after="0"/>
              <w:rPr>
                <w:sz w:val="24"/>
                <w:szCs w:val="24"/>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color w:val="auto"/>
              </w:rPr>
              <w:t>(1,993)</w:t>
            </w: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rPr>
              <w:t>(3,748)</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(2,731)</w:t>
            </w:r>
          </w:p>
        </w:tc>
        <w:tc>
          <w:tcPr>
            <w:tcW w:w="620" w:type="dxa"/>
            <w:vAlign w:val="bottom"/>
          </w:tcPr>
          <w:p>
            <w:pPr>
              <w:spacing w:after="0"/>
              <w:rPr>
                <w:sz w:val="24"/>
                <w:szCs w:val="24"/>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w w:val="96"/>
              </w:rPr>
              <w:t>(1,713)</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Repayments on long-term debt and capital lease obligations</w:t>
            </w:r>
          </w:p>
        </w:tc>
        <w:tc>
          <w:tcPr>
            <w:tcW w:w="28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w w:val="91"/>
              </w:rPr>
              <w:t>(24,918)</w:t>
            </w:r>
          </w:p>
        </w:tc>
        <w:tc>
          <w:tcPr>
            <w:tcW w:w="600" w:type="dxa"/>
            <w:vAlign w:val="bottom"/>
          </w:tcPr>
          <w:p>
            <w:pPr>
              <w:spacing w:after="0"/>
              <w:rPr>
                <w:sz w:val="18"/>
                <w:szCs w:val="18"/>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color w:val="auto"/>
                <w:w w:val="91"/>
              </w:rPr>
              <w:t>(20,471)</w:t>
            </w:r>
          </w:p>
        </w:tc>
        <w:tc>
          <w:tcPr>
            <w:tcW w:w="220" w:type="dxa"/>
            <w:vAlign w:val="bottom"/>
          </w:tcPr>
          <w:p>
            <w:pPr>
              <w:spacing w:after="0"/>
              <w:rPr>
                <w:sz w:val="18"/>
                <w:szCs w:val="18"/>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w w:val="91"/>
              </w:rPr>
              <w:t>(45,295)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(34,280)</w:t>
            </w:r>
          </w:p>
        </w:tc>
        <w:tc>
          <w:tcPr>
            <w:tcW w:w="620" w:type="dxa"/>
            <w:vAlign w:val="bottom"/>
          </w:tcPr>
          <w:p>
            <w:pPr>
              <w:spacing w:after="0"/>
              <w:rPr>
                <w:sz w:val="18"/>
                <w:szCs w:val="18"/>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w w:val="96"/>
              </w:rPr>
              <w:t>(5,105)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Proceeds from exercise of stock options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232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233</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642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Proceeds from sale of common stock</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w w:val="99"/>
              </w:rPr>
              <w:t>10,000</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Payment of deferred financing fees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15"/>
              <w:spacing w:after="0"/>
              <w:rPr>
                <w:sz w:val="20"/>
                <w:szCs w:val="20"/>
                <w:color w:val="auto"/>
              </w:rPr>
            </w:pPr>
            <w:r>
              <w:rPr>
                <w:rFonts w:ascii="Arial" w:cs="Arial" w:eastAsia="Arial" w:hAnsi="Arial"/>
                <w:sz w:val="17"/>
                <w:szCs w:val="17"/>
                <w:color w:val="auto"/>
              </w:rPr>
              <w:t>(44)</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5180" w:type="dxa"/>
            <w:vAlign w:val="bottom"/>
          </w:tcPr>
          <w:p>
            <w:pPr>
              <w:ind w:left="760"/>
              <w:spacing w:after="0"/>
              <w:rPr>
                <w:sz w:val="20"/>
                <w:szCs w:val="20"/>
                <w:color w:val="auto"/>
              </w:rPr>
            </w:pPr>
            <w:r>
              <w:rPr>
                <w:rFonts w:ascii="Arial" w:cs="Arial" w:eastAsia="Arial" w:hAnsi="Arial"/>
                <w:sz w:val="17"/>
                <w:szCs w:val="17"/>
                <w:color w:val="auto"/>
              </w:rPr>
              <w:t>Net cash used in financing activities</w:t>
            </w:r>
          </w:p>
        </w:tc>
        <w:tc>
          <w:tcPr>
            <w:tcW w:w="280" w:type="dxa"/>
            <w:vAlign w:val="bottom"/>
          </w:tcPr>
          <w:p>
            <w:pPr>
              <w:spacing w:after="0"/>
              <w:rPr>
                <w:sz w:val="24"/>
                <w:szCs w:val="24"/>
                <w:color w:val="auto"/>
              </w:rPr>
            </w:pPr>
          </w:p>
        </w:tc>
        <w:tc>
          <w:tcPr>
            <w:tcW w:w="700" w:type="dxa"/>
            <w:vAlign w:val="bottom"/>
          </w:tcPr>
          <w:p>
            <w:pPr>
              <w:jc w:val="right"/>
              <w:ind w:right="15"/>
              <w:spacing w:after="0"/>
              <w:rPr>
                <w:sz w:val="20"/>
                <w:szCs w:val="20"/>
                <w:color w:val="auto"/>
              </w:rPr>
            </w:pPr>
            <w:r>
              <w:rPr>
                <w:rFonts w:ascii="Arial" w:cs="Arial" w:eastAsia="Arial" w:hAnsi="Arial"/>
                <w:sz w:val="17"/>
                <w:szCs w:val="17"/>
                <w:color w:val="auto"/>
                <w:w w:val="91"/>
              </w:rPr>
              <w:t>(14,962)</w:t>
            </w:r>
          </w:p>
        </w:tc>
        <w:tc>
          <w:tcPr>
            <w:tcW w:w="600" w:type="dxa"/>
            <w:vAlign w:val="bottom"/>
          </w:tcPr>
          <w:p>
            <w:pPr>
              <w:spacing w:after="0"/>
              <w:rPr>
                <w:sz w:val="24"/>
                <w:szCs w:val="24"/>
                <w:color w:val="auto"/>
              </w:rPr>
            </w:pPr>
          </w:p>
        </w:tc>
        <w:tc>
          <w:tcPr>
            <w:tcW w:w="1080" w:type="dxa"/>
            <w:vAlign w:val="bottom"/>
          </w:tcPr>
          <w:p>
            <w:pPr>
              <w:jc w:val="right"/>
              <w:ind w:right="395"/>
              <w:spacing w:after="0"/>
              <w:rPr>
                <w:sz w:val="20"/>
                <w:szCs w:val="20"/>
                <w:color w:val="auto"/>
              </w:rPr>
            </w:pPr>
            <w:r>
              <w:rPr>
                <w:rFonts w:ascii="Arial" w:cs="Arial" w:eastAsia="Arial" w:hAnsi="Arial"/>
                <w:sz w:val="17"/>
                <w:szCs w:val="17"/>
                <w:color w:val="auto"/>
                <w:w w:val="91"/>
              </w:rPr>
              <w:t>(20,471)</w:t>
            </w: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w w:val="91"/>
              </w:rPr>
              <w:t>(45,063)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(34,047)</w:t>
            </w:r>
          </w:p>
        </w:tc>
        <w:tc>
          <w:tcPr>
            <w:tcW w:w="620" w:type="dxa"/>
            <w:vAlign w:val="bottom"/>
          </w:tcPr>
          <w:p>
            <w:pPr>
              <w:spacing w:after="0"/>
              <w:rPr>
                <w:sz w:val="24"/>
                <w:szCs w:val="24"/>
                <w:color w:val="auto"/>
              </w:rPr>
            </w:pPr>
          </w:p>
        </w:tc>
        <w:tc>
          <w:tcPr>
            <w:tcW w:w="760" w:type="dxa"/>
            <w:vAlign w:val="bottom"/>
          </w:tcPr>
          <w:p>
            <w:pPr>
              <w:jc w:val="right"/>
              <w:ind w:right="135"/>
              <w:spacing w:after="0"/>
              <w:rPr>
                <w:sz w:val="20"/>
                <w:szCs w:val="20"/>
                <w:color w:val="auto"/>
              </w:rPr>
            </w:pPr>
            <w:r>
              <w:rPr>
                <w:rFonts w:ascii="Arial" w:cs="Arial" w:eastAsia="Arial" w:hAnsi="Arial"/>
                <w:sz w:val="17"/>
                <w:szCs w:val="17"/>
                <w:color w:val="auto"/>
                <w:w w:val="96"/>
              </w:rPr>
              <w:t>(4,624)</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Effect of exchange rate on cash and cash equivalents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30</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95"/>
              <w:spacing w:after="0"/>
              <w:rPr>
                <w:sz w:val="20"/>
                <w:szCs w:val="20"/>
                <w:color w:val="auto"/>
              </w:rPr>
            </w:pPr>
            <w:r>
              <w:rPr>
                <w:rFonts w:ascii="Arial" w:cs="Arial" w:eastAsia="Arial" w:hAnsi="Arial"/>
                <w:sz w:val="17"/>
                <w:szCs w:val="17"/>
                <w:color w:val="auto"/>
              </w:rPr>
              <w:t>(47)</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230</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495</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35"/>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106"/>
        </w:trPr>
        <w:tc>
          <w:tcPr>
            <w:tcW w:w="52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200" w:type="dxa"/>
            <w:vAlign w:val="bottom"/>
            <w:gridSpan w:val="2"/>
          </w:tcPr>
          <w:p>
            <w:pPr>
              <w:spacing w:after="0"/>
              <w:rPr>
                <w:sz w:val="20"/>
                <w:szCs w:val="20"/>
                <w:color w:val="auto"/>
              </w:rPr>
            </w:pPr>
            <w:r>
              <w:rPr>
                <w:rFonts w:ascii="Arial" w:cs="Arial" w:eastAsia="Arial" w:hAnsi="Arial"/>
                <w:sz w:val="17"/>
                <w:szCs w:val="17"/>
                <w:color w:val="auto"/>
              </w:rPr>
              <w:t>Net increase (decrease) in cash and cash equivalents</w:t>
            </w:r>
          </w:p>
        </w:tc>
        <w:tc>
          <w:tcPr>
            <w:tcW w:w="280" w:type="dxa"/>
            <w:vAlign w:val="bottom"/>
          </w:tcPr>
          <w:p>
            <w:pPr>
              <w:spacing w:after="0"/>
              <w:rPr>
                <w:sz w:val="24"/>
                <w:szCs w:val="24"/>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7,037</w:t>
            </w:r>
          </w:p>
        </w:tc>
        <w:tc>
          <w:tcPr>
            <w:tcW w:w="600" w:type="dxa"/>
            <w:vAlign w:val="bottom"/>
          </w:tcPr>
          <w:p>
            <w:pPr>
              <w:spacing w:after="0"/>
              <w:rPr>
                <w:sz w:val="24"/>
                <w:szCs w:val="24"/>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9,959</w:t>
            </w:r>
          </w:p>
        </w:tc>
        <w:tc>
          <w:tcPr>
            <w:tcW w:w="220" w:type="dxa"/>
            <w:vAlign w:val="bottom"/>
          </w:tcPr>
          <w:p>
            <w:pPr>
              <w:spacing w:after="0"/>
              <w:rPr>
                <w:sz w:val="24"/>
                <w:szCs w:val="24"/>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color w:val="auto"/>
                <w:w w:val="91"/>
              </w:rPr>
              <w:t>(11,995)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(9,237)</w:t>
            </w:r>
          </w:p>
        </w:tc>
        <w:tc>
          <w:tcPr>
            <w:tcW w:w="620" w:type="dxa"/>
            <w:vAlign w:val="bottom"/>
          </w:tcPr>
          <w:p>
            <w:pPr>
              <w:spacing w:after="0"/>
              <w:rPr>
                <w:sz w:val="24"/>
                <w:szCs w:val="24"/>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w w:val="88"/>
              </w:rPr>
              <w:t>26,674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color w:val="auto"/>
              </w:rPr>
              <w:t>Cash and cash equivalents, beginning of period</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1,707</w:t>
            </w: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8,744</w:t>
            </w: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w w:val="99"/>
              </w:rPr>
              <w:t>18,703</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w w:val="99"/>
              </w:rPr>
              <w:t>18,703</w:t>
            </w: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6,708</w:t>
            </w:r>
          </w:p>
        </w:tc>
        <w:tc>
          <w:tcPr>
            <w:tcW w:w="0" w:type="dxa"/>
            <w:vAlign w:val="bottom"/>
          </w:tcPr>
          <w:p>
            <w:pPr>
              <w:spacing w:after="0"/>
              <w:rPr>
                <w:sz w:val="1"/>
                <w:szCs w:val="1"/>
                <w:color w:val="auto"/>
              </w:rPr>
            </w:pPr>
          </w:p>
        </w:tc>
      </w:tr>
      <w:tr>
        <w:trPr>
          <w:trHeight w:val="106"/>
        </w:trPr>
        <w:tc>
          <w:tcPr>
            <w:tcW w:w="520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200" w:type="dxa"/>
            <w:vAlign w:val="bottom"/>
            <w:gridSpan w:val="2"/>
          </w:tcPr>
          <w:p>
            <w:pPr>
              <w:spacing w:after="0"/>
              <w:rPr>
                <w:sz w:val="20"/>
                <w:szCs w:val="20"/>
                <w:color w:val="auto"/>
              </w:rPr>
            </w:pPr>
            <w:r>
              <w:rPr>
                <w:rFonts w:ascii="Arial" w:cs="Arial" w:eastAsia="Arial" w:hAnsi="Arial"/>
                <w:sz w:val="17"/>
                <w:szCs w:val="17"/>
                <w:color w:val="auto"/>
              </w:rPr>
              <w:t>Cash and cash equivalents, end of period</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8,744</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455"/>
              <w:spacing w:after="0"/>
              <w:rPr>
                <w:sz w:val="20"/>
                <w:szCs w:val="20"/>
                <w:color w:val="auto"/>
              </w:rPr>
            </w:pPr>
            <w:r>
              <w:rPr>
                <w:rFonts w:ascii="Arial" w:cs="Arial" w:eastAsia="Arial" w:hAnsi="Arial"/>
                <w:sz w:val="17"/>
                <w:szCs w:val="17"/>
                <w:color w:val="auto"/>
                <w:w w:val="99"/>
              </w:rPr>
              <w:t>18,703</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6,708</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9,466</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5"/>
              <w:spacing w:after="0"/>
              <w:rPr>
                <w:sz w:val="20"/>
                <w:szCs w:val="20"/>
                <w:color w:val="auto"/>
              </w:rPr>
            </w:pPr>
            <w:r>
              <w:rPr>
                <w:rFonts w:ascii="Arial" w:cs="Arial" w:eastAsia="Arial" w:hAnsi="Arial"/>
                <w:sz w:val="17"/>
                <w:szCs w:val="17"/>
                <w:color w:val="auto"/>
                <w:w w:val="88"/>
              </w:rPr>
              <w:t>33,382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7"/>
                <w:szCs w:val="17"/>
                <w:color w:val="auto"/>
              </w:rPr>
              <w:t>Cash paid during the year for</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ind w:left="500"/>
              <w:spacing w:after="0"/>
              <w:rPr>
                <w:sz w:val="20"/>
                <w:szCs w:val="20"/>
                <w:color w:val="auto"/>
              </w:rPr>
            </w:pPr>
            <w:r>
              <w:rPr>
                <w:rFonts w:ascii="Arial" w:cs="Arial" w:eastAsia="Arial" w:hAnsi="Arial"/>
                <w:sz w:val="17"/>
                <w:szCs w:val="17"/>
                <w:color w:val="auto"/>
              </w:rPr>
              <w:t>Interest</w:t>
            </w: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75"/>
              <w:spacing w:after="0"/>
              <w:rPr>
                <w:sz w:val="20"/>
                <w:szCs w:val="20"/>
                <w:color w:val="auto"/>
              </w:rPr>
            </w:pPr>
            <w:r>
              <w:rPr>
                <w:rFonts w:ascii="Arial" w:cs="Arial" w:eastAsia="Arial" w:hAnsi="Arial"/>
                <w:sz w:val="17"/>
                <w:szCs w:val="17"/>
                <w:color w:val="auto"/>
              </w:rPr>
              <w:t>7,462</w:t>
            </w: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455"/>
              <w:spacing w:after="0"/>
              <w:rPr>
                <w:sz w:val="20"/>
                <w:szCs w:val="20"/>
                <w:color w:val="auto"/>
              </w:rPr>
            </w:pPr>
            <w:r>
              <w:rPr>
                <w:rFonts w:ascii="Arial" w:cs="Arial" w:eastAsia="Arial" w:hAnsi="Arial"/>
                <w:sz w:val="17"/>
                <w:szCs w:val="17"/>
                <w:color w:val="auto"/>
              </w:rPr>
              <w:t>3,683</w:t>
            </w:r>
          </w:p>
        </w:tc>
        <w:tc>
          <w:tcPr>
            <w:tcW w:w="2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EEEEE"/>
          </w:tcPr>
          <w:p>
            <w:pPr>
              <w:jc w:val="right"/>
              <w:ind w:right="115"/>
              <w:spacing w:after="0"/>
              <w:rPr>
                <w:sz w:val="20"/>
                <w:szCs w:val="20"/>
                <w:color w:val="auto"/>
              </w:rPr>
            </w:pPr>
            <w:r>
              <w:rPr>
                <w:rFonts w:ascii="Arial" w:cs="Arial" w:eastAsia="Arial" w:hAnsi="Arial"/>
                <w:sz w:val="17"/>
                <w:szCs w:val="17"/>
                <w:color w:val="auto"/>
              </w:rPr>
              <w:t>1,285</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rPr>
              <w:t>1,152</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EEEEEE"/>
          </w:tcPr>
          <w:p>
            <w:pPr>
              <w:jc w:val="right"/>
              <w:ind w:right="195"/>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tcPr>
          <w:p>
            <w:pPr>
              <w:ind w:left="500"/>
              <w:spacing w:after="0"/>
              <w:rPr>
                <w:sz w:val="20"/>
                <w:szCs w:val="20"/>
                <w:color w:val="auto"/>
              </w:rPr>
            </w:pPr>
            <w:r>
              <w:rPr>
                <w:rFonts w:ascii="Arial" w:cs="Arial" w:eastAsia="Arial" w:hAnsi="Arial"/>
                <w:sz w:val="17"/>
                <w:szCs w:val="17"/>
                <w:color w:val="auto"/>
              </w:rPr>
              <w:t>Taxes</w:t>
            </w:r>
          </w:p>
        </w:tc>
        <w:tc>
          <w:tcPr>
            <w:tcW w:w="280" w:type="dxa"/>
            <w:vAlign w:val="bottom"/>
          </w:tcPr>
          <w:p>
            <w:pPr>
              <w:spacing w:after="0"/>
              <w:rPr>
                <w:sz w:val="18"/>
                <w:szCs w:val="18"/>
                <w:color w:val="auto"/>
              </w:rPr>
            </w:pP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29</w:t>
            </w:r>
          </w:p>
        </w:tc>
        <w:tc>
          <w:tcPr>
            <w:tcW w:w="60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Arial" w:cs="Arial" w:eastAsia="Arial" w:hAnsi="Arial"/>
                <w:sz w:val="17"/>
                <w:szCs w:val="17"/>
                <w:color w:val="auto"/>
              </w:rPr>
              <w:t>195</w:t>
            </w:r>
          </w:p>
        </w:tc>
        <w:tc>
          <w:tcPr>
            <w:tcW w:w="220" w:type="dxa"/>
            <w:vAlign w:val="bottom"/>
          </w:tcPr>
          <w:p>
            <w:pPr>
              <w:spacing w:after="0"/>
              <w:rPr>
                <w:sz w:val="18"/>
                <w:szCs w:val="18"/>
                <w:color w:val="auto"/>
              </w:rPr>
            </w:pP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1,612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359</w:t>
            </w:r>
          </w:p>
        </w:tc>
        <w:tc>
          <w:tcPr>
            <w:tcW w:w="620" w:type="dxa"/>
            <w:vAlign w:val="bottom"/>
          </w:tcPr>
          <w:p>
            <w:pPr>
              <w:spacing w:after="0"/>
              <w:rPr>
                <w:sz w:val="18"/>
                <w:szCs w:val="18"/>
                <w:color w:val="auto"/>
              </w:rPr>
            </w:pP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1,691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Noncash activities</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tcPr>
          <w:p>
            <w:pPr>
              <w:ind w:left="240"/>
              <w:spacing w:after="0"/>
              <w:rPr>
                <w:sz w:val="20"/>
                <w:szCs w:val="20"/>
                <w:color w:val="auto"/>
              </w:rPr>
            </w:pPr>
            <w:r>
              <w:rPr>
                <w:rFonts w:ascii="Arial" w:cs="Arial" w:eastAsia="Arial" w:hAnsi="Arial"/>
                <w:sz w:val="17"/>
                <w:szCs w:val="17"/>
                <w:color w:val="auto"/>
              </w:rPr>
              <w:t>Change in fair value of derivative instruments</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216</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95"/>
              <w:spacing w:after="0"/>
              <w:rPr>
                <w:sz w:val="20"/>
                <w:szCs w:val="20"/>
                <w:color w:val="auto"/>
              </w:rPr>
            </w:pPr>
            <w:r>
              <w:rPr>
                <w:rFonts w:ascii="Arial" w:cs="Arial" w:eastAsia="Arial" w:hAnsi="Arial"/>
                <w:sz w:val="17"/>
                <w:szCs w:val="17"/>
                <w:color w:val="auto"/>
              </w:rPr>
              <w:t>(605)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15"/>
              <w:spacing w:after="0"/>
              <w:rPr>
                <w:sz w:val="20"/>
                <w:szCs w:val="20"/>
                <w:color w:val="auto"/>
              </w:rPr>
            </w:pPr>
            <w:r>
              <w:rPr>
                <w:rFonts w:ascii="Arial" w:cs="Arial" w:eastAsia="Arial" w:hAnsi="Arial"/>
                <w:sz w:val="17"/>
                <w:szCs w:val="17"/>
                <w:color w:val="auto"/>
              </w:rPr>
              <w:t>389</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332</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1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4"/>
          <w:szCs w:val="24"/>
          <w:b w:val="1"/>
          <w:bCs w:val="1"/>
          <w:color w:val="auto"/>
        </w:rPr>
        <w:t>Blackbaud,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Consolidated statements of shareholders’ equity (deficit) and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7249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Accumulated</w:t>
            </w: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w w:val="99"/>
              </w:rPr>
              <w:t>Year ended December 31,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60" w:type="dxa"/>
            <w:vAlign w:val="bottom"/>
            <w:gridSpan w:val="3"/>
          </w:tcPr>
          <w:p>
            <w:pPr>
              <w:jc w:val="right"/>
              <w:ind w:right="434"/>
              <w:spacing w:after="0"/>
              <w:rPr>
                <w:sz w:val="20"/>
                <w:szCs w:val="20"/>
                <w:color w:val="auto"/>
              </w:rPr>
            </w:pPr>
            <w:r>
              <w:rPr>
                <w:rFonts w:ascii="Arial" w:cs="Arial" w:eastAsia="Arial" w:hAnsi="Arial"/>
                <w:sz w:val="13"/>
                <w:szCs w:val="13"/>
                <w:b w:val="1"/>
                <w:bCs w:val="1"/>
                <w:color w:val="auto"/>
              </w:rPr>
              <w:t>Common stock</w:t>
            </w:r>
          </w:p>
        </w:tc>
        <w:tc>
          <w:tcPr>
            <w:tcW w:w="1260" w:type="dxa"/>
            <w:vAlign w:val="bottom"/>
            <w:gridSpan w:val="2"/>
          </w:tcPr>
          <w:p>
            <w:pPr>
              <w:jc w:val="center"/>
              <w:ind w:left="74"/>
              <w:spacing w:after="0"/>
              <w:rPr>
                <w:sz w:val="20"/>
                <w:szCs w:val="20"/>
                <w:color w:val="auto"/>
              </w:rPr>
            </w:pPr>
            <w:r>
              <w:rPr>
                <w:rFonts w:ascii="Arial" w:cs="Arial" w:eastAsia="Arial" w:hAnsi="Arial"/>
                <w:sz w:val="13"/>
                <w:szCs w:val="13"/>
                <w:b w:val="1"/>
                <w:bCs w:val="1"/>
                <w:color w:val="auto"/>
                <w:w w:val="94"/>
              </w:rPr>
              <w:t>Additional</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other</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0"/>
              </w:rPr>
              <w:t>Retained</w:t>
            </w: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94"/>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420" w:type="dxa"/>
            <w:vAlign w:val="bottom"/>
            <w:gridSpan w:val="3"/>
            <w:vMerge w:val="restart"/>
          </w:tcPr>
          <w:p>
            <w:pPr>
              <w:jc w:val="right"/>
              <w:ind w:right="360"/>
              <w:spacing w:after="0"/>
              <w:rPr>
                <w:sz w:val="20"/>
                <w:szCs w:val="20"/>
                <w:color w:val="auto"/>
              </w:rPr>
            </w:pPr>
            <w:r>
              <w:rPr>
                <w:rFonts w:ascii="Arial" w:cs="Arial" w:eastAsia="Arial" w:hAnsi="Arial"/>
                <w:sz w:val="13"/>
                <w:szCs w:val="13"/>
                <w:b w:val="1"/>
                <w:bCs w:val="1"/>
                <w:color w:val="auto"/>
              </w:rPr>
              <w:t>Comprehensive</w:t>
            </w: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60" w:type="dxa"/>
            <w:vAlign w:val="bottom"/>
            <w:gridSpan w:val="2"/>
            <w:vMerge w:val="restart"/>
          </w:tcPr>
          <w:p>
            <w:pPr>
              <w:jc w:val="center"/>
              <w:ind w:left="94"/>
              <w:spacing w:after="0"/>
              <w:rPr>
                <w:sz w:val="20"/>
                <w:szCs w:val="20"/>
                <w:color w:val="auto"/>
              </w:rPr>
            </w:pPr>
            <w:r>
              <w:rPr>
                <w:rFonts w:ascii="Arial" w:cs="Arial" w:eastAsia="Arial" w:hAnsi="Arial"/>
                <w:sz w:val="13"/>
                <w:szCs w:val="13"/>
                <w:b w:val="1"/>
                <w:bCs w:val="1"/>
                <w:color w:val="auto"/>
                <w:w w:val="96"/>
              </w:rPr>
              <w:t>Paid-in</w:t>
            </w:r>
          </w:p>
        </w:tc>
        <w:tc>
          <w:tcPr>
            <w:tcW w:w="13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1320" w:type="dxa"/>
            <w:vAlign w:val="bottom"/>
            <w:gridSpan w:val="2"/>
            <w:vMerge w:val="restart"/>
          </w:tcPr>
          <w:p>
            <w:pPr>
              <w:jc w:val="right"/>
              <w:ind w:right="354"/>
              <w:spacing w:after="0"/>
              <w:rPr>
                <w:sz w:val="20"/>
                <w:szCs w:val="20"/>
                <w:color w:val="auto"/>
              </w:rPr>
            </w:pPr>
            <w:r>
              <w:rPr>
                <w:rFonts w:ascii="Arial" w:cs="Arial" w:eastAsia="Arial" w:hAnsi="Arial"/>
                <w:sz w:val="13"/>
                <w:szCs w:val="13"/>
                <w:b w:val="1"/>
                <w:bCs w:val="1"/>
                <w:color w:val="auto"/>
              </w:rPr>
              <w:t>Deferred</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earnings</w:t>
            </w:r>
          </w:p>
        </w:tc>
        <w:tc>
          <w:tcPr>
            <w:tcW w:w="14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1"/>
              </w:rPr>
              <w:t>shareholders’</w:t>
            </w:r>
          </w:p>
        </w:tc>
        <w:tc>
          <w:tcPr>
            <w:tcW w:w="0" w:type="dxa"/>
            <w:vAlign w:val="bottom"/>
          </w:tcPr>
          <w:p>
            <w:pPr>
              <w:spacing w:after="0"/>
              <w:rPr>
                <w:sz w:val="1"/>
                <w:szCs w:val="1"/>
                <w:color w:val="auto"/>
              </w:rPr>
            </w:pPr>
          </w:p>
        </w:tc>
      </w:tr>
      <w:tr>
        <w:trPr>
          <w:trHeight w:val="71"/>
        </w:trPr>
        <w:tc>
          <w:tcPr>
            <w:tcW w:w="160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1600" w:type="dxa"/>
            <w:vAlign w:val="bottom"/>
            <w:gridSpan w:val="2"/>
          </w:tcPr>
          <w:p>
            <w:pPr>
              <w:spacing w:after="0"/>
              <w:rPr>
                <w:sz w:val="20"/>
                <w:szCs w:val="20"/>
                <w:color w:val="auto"/>
              </w:rPr>
            </w:pPr>
            <w:r>
              <w:rPr>
                <w:rFonts w:ascii="Arial" w:cs="Arial" w:eastAsia="Arial" w:hAnsi="Arial"/>
                <w:sz w:val="13"/>
                <w:szCs w:val="13"/>
                <w:b w:val="1"/>
                <w:bCs w:val="1"/>
                <w:color w:val="auto"/>
              </w:rPr>
              <w:t>except share amounts)</w:t>
            </w:r>
          </w:p>
        </w:tc>
        <w:tc>
          <w:tcPr>
            <w:tcW w:w="142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income</w:t>
            </w:r>
          </w:p>
        </w:tc>
        <w:tc>
          <w:tcPr>
            <w:tcW w:w="1020" w:type="dxa"/>
            <w:vAlign w:val="bottom"/>
          </w:tcPr>
          <w:p>
            <w:pPr>
              <w:jc w:val="right"/>
              <w:ind w:right="294"/>
              <w:spacing w:after="0"/>
              <w:rPr>
                <w:sz w:val="20"/>
                <w:szCs w:val="20"/>
                <w:color w:val="auto"/>
              </w:rPr>
            </w:pPr>
            <w:r>
              <w:rPr>
                <w:rFonts w:ascii="Arial" w:cs="Arial" w:eastAsia="Arial" w:hAnsi="Arial"/>
                <w:sz w:val="13"/>
                <w:szCs w:val="13"/>
                <w:b w:val="1"/>
                <w:bCs w:val="1"/>
                <w:color w:val="auto"/>
              </w:rPr>
              <w:t>Shares</w:t>
            </w:r>
          </w:p>
        </w:tc>
        <w:tc>
          <w:tcPr>
            <w:tcW w:w="8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Amount</w:t>
            </w:r>
          </w:p>
        </w:tc>
        <w:tc>
          <w:tcPr>
            <w:tcW w:w="1260" w:type="dxa"/>
            <w:vAlign w:val="bottom"/>
            <w:gridSpan w:val="2"/>
          </w:tcPr>
          <w:p>
            <w:pPr>
              <w:jc w:val="center"/>
              <w:ind w:left="94"/>
              <w:spacing w:after="0"/>
              <w:rPr>
                <w:sz w:val="20"/>
                <w:szCs w:val="20"/>
                <w:color w:val="auto"/>
              </w:rPr>
            </w:pPr>
            <w:r>
              <w:rPr>
                <w:rFonts w:ascii="Arial" w:cs="Arial" w:eastAsia="Arial" w:hAnsi="Arial"/>
                <w:sz w:val="13"/>
                <w:szCs w:val="13"/>
                <w:b w:val="1"/>
                <w:bCs w:val="1"/>
                <w:color w:val="auto"/>
                <w:w w:val="92"/>
              </w:rPr>
              <w:t>capital</w:t>
            </w: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income (loss)</w:t>
            </w:r>
          </w:p>
        </w:tc>
        <w:tc>
          <w:tcPr>
            <w:tcW w:w="132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compensation</w:t>
            </w: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93"/>
              </w:rPr>
              <w:t>(deficit)</w:t>
            </w:r>
          </w:p>
        </w:tc>
        <w:tc>
          <w:tcPr>
            <w:tcW w:w="14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equity (deficit)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8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Balance, December 31,</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2000</w:t>
            </w: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40,277,076</w:t>
            </w:r>
          </w:p>
        </w:tc>
        <w:tc>
          <w:tcPr>
            <w:tcW w:w="2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740</w:t>
            </w: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EEEEE"/>
          </w:tcPr>
          <w:p>
            <w:pPr>
              <w:jc w:val="right"/>
              <w:ind w:right="434"/>
              <w:spacing w:after="0"/>
              <w:rPr>
                <w:sz w:val="20"/>
                <w:szCs w:val="20"/>
                <w:color w:val="auto"/>
              </w:rPr>
            </w:pPr>
            <w:r>
              <w:rPr>
                <w:rFonts w:ascii="Arial" w:cs="Arial" w:eastAsia="Arial" w:hAnsi="Arial"/>
                <w:sz w:val="13"/>
                <w:szCs w:val="13"/>
                <w:color w:val="auto"/>
              </w:rPr>
              <w:t>(14)</w:t>
            </w:r>
          </w:p>
        </w:tc>
        <w:tc>
          <w:tcPr>
            <w:tcW w:w="50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274"/>
              <w:spacing w:after="0"/>
              <w:rPr>
                <w:sz w:val="20"/>
                <w:szCs w:val="20"/>
                <w:color w:val="auto"/>
              </w:rPr>
            </w:pPr>
            <w:r>
              <w:rPr>
                <w:rFonts w:ascii="Arial" w:cs="Arial" w:eastAsia="Arial" w:hAnsi="Arial"/>
                <w:sz w:val="13"/>
                <w:szCs w:val="13"/>
                <w:color w:val="auto"/>
              </w:rPr>
              <w:t>$ (1,546)</w:t>
            </w:r>
          </w:p>
        </w:tc>
        <w:tc>
          <w:tcPr>
            <w:tcW w:w="6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(820)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Sale of common</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stock</w:t>
            </w:r>
          </w:p>
        </w:tc>
        <w:tc>
          <w:tcPr>
            <w:tcW w:w="42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2,083,334</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10,000</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10,000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Derivative</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instruments</w:t>
            </w: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216</w:t>
            </w: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216</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216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Translation</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adjustment</w:t>
            </w:r>
          </w:p>
        </w:tc>
        <w:tc>
          <w:tcPr>
            <w:tcW w:w="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36</w:t>
            </w:r>
          </w:p>
        </w:tc>
        <w:tc>
          <w:tcPr>
            <w:tcW w:w="62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36</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color w:val="auto"/>
              </w:rPr>
              <w:t>Net income</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8,906</w:t>
            </w: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474"/>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354"/>
              <w:spacing w:after="0" w:line="146" w:lineRule="exact"/>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line="146" w:lineRule="exact"/>
              <w:rPr>
                <w:sz w:val="20"/>
                <w:szCs w:val="20"/>
                <w:color w:val="auto"/>
              </w:rPr>
            </w:pPr>
            <w:r>
              <w:rPr>
                <w:rFonts w:ascii="Arial" w:cs="Arial" w:eastAsia="Arial" w:hAnsi="Arial"/>
                <w:sz w:val="13"/>
                <w:szCs w:val="13"/>
                <w:color w:val="auto"/>
              </w:rPr>
              <w:t>8,906</w:t>
            </w: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414"/>
              <w:spacing w:after="0" w:line="146" w:lineRule="exact"/>
              <w:rPr>
                <w:sz w:val="20"/>
                <w:szCs w:val="20"/>
                <w:color w:val="auto"/>
              </w:rPr>
            </w:pPr>
            <w:r>
              <w:rPr>
                <w:rFonts w:ascii="Arial" w:cs="Arial" w:eastAsia="Arial" w:hAnsi="Arial"/>
                <w:sz w:val="13"/>
                <w:szCs w:val="13"/>
                <w:color w:val="auto"/>
              </w:rPr>
              <w:t>8,906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80" w:type="dxa"/>
            <w:vAlign w:val="bottom"/>
            <w:vMerge w:val="restart"/>
          </w:tcPr>
          <w:p>
            <w:pPr>
              <w:ind w:left="280"/>
              <w:spacing w:after="0"/>
              <w:rPr>
                <w:sz w:val="20"/>
                <w:szCs w:val="20"/>
                <w:color w:val="auto"/>
              </w:rPr>
            </w:pPr>
            <w:r>
              <w:rPr>
                <w:rFonts w:ascii="Arial" w:cs="Arial" w:eastAsia="Arial" w:hAnsi="Arial"/>
                <w:sz w:val="13"/>
                <w:szCs w:val="13"/>
                <w:color w:val="auto"/>
              </w:rPr>
              <w:t>Comprehensive</w:t>
            </w:r>
          </w:p>
        </w:tc>
        <w:tc>
          <w:tcPr>
            <w:tcW w:w="4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income</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9,158</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8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Balance, December 31,</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2001</w:t>
            </w: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42,360,410</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w w:val="95"/>
              </w:rPr>
              <w:t>10,740</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238</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7,360</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w w:val="85"/>
              </w:rPr>
              <w:t>18,338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Derivative</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instruments</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80"/>
              <w:spacing w:after="0"/>
              <w:rPr>
                <w:sz w:val="20"/>
                <w:szCs w:val="20"/>
                <w:color w:val="auto"/>
              </w:rPr>
            </w:pPr>
            <w:r>
              <w:rPr>
                <w:rFonts w:ascii="Arial" w:cs="Arial" w:eastAsia="Arial" w:hAnsi="Arial"/>
                <w:sz w:val="13"/>
                <w:szCs w:val="13"/>
                <w:color w:val="auto"/>
              </w:rPr>
              <w:t>(605)</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34"/>
              <w:spacing w:after="0"/>
              <w:rPr>
                <w:sz w:val="20"/>
                <w:szCs w:val="20"/>
                <w:color w:val="auto"/>
              </w:rPr>
            </w:pPr>
            <w:r>
              <w:rPr>
                <w:rFonts w:ascii="Arial" w:cs="Arial" w:eastAsia="Arial" w:hAnsi="Arial"/>
                <w:sz w:val="13"/>
                <w:szCs w:val="13"/>
                <w:color w:val="auto"/>
                <w:w w:val="85"/>
              </w:rPr>
              <w:t>(605)</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Translation</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adjustment</w:t>
            </w: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134</w:t>
            </w: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134</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134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3"/>
                <w:szCs w:val="13"/>
                <w:color w:val="auto"/>
              </w:rPr>
              <w:t>Net income</w:t>
            </w: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15,640</w:t>
            </w:r>
          </w:p>
        </w:tc>
        <w:tc>
          <w:tcPr>
            <w:tcW w:w="620" w:type="dxa"/>
            <w:vAlign w:val="bottom"/>
          </w:tcPr>
          <w:p>
            <w:pPr>
              <w:spacing w:after="0"/>
              <w:rPr>
                <w:sz w:val="14"/>
                <w:szCs w:val="14"/>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15,640</w:t>
            </w:r>
          </w:p>
        </w:tc>
        <w:tc>
          <w:tcPr>
            <w:tcW w:w="620" w:type="dxa"/>
            <w:vAlign w:val="bottom"/>
          </w:tcPr>
          <w:p>
            <w:pPr>
              <w:spacing w:after="0"/>
              <w:rPr>
                <w:sz w:val="14"/>
                <w:szCs w:val="14"/>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15,640</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Comprehensive</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income</w:t>
            </w: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3"/>
                <w:szCs w:val="13"/>
                <w:color w:val="auto"/>
                <w:w w:val="90"/>
              </w:rPr>
              <w:t>15,169</w:t>
            </w: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spacing w:after="0"/>
              <w:rPr>
                <w:sz w:val="13"/>
                <w:szCs w:val="13"/>
                <w:color w:val="auto"/>
              </w:rPr>
            </w:pP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160" w:type="dxa"/>
            <w:vAlign w:val="bottom"/>
            <w:shd w:val="clear" w:color="auto" w:fill="EEEEEE"/>
          </w:tcPr>
          <w:p>
            <w:pPr>
              <w:spacing w:after="0"/>
              <w:rPr>
                <w:sz w:val="13"/>
                <w:szCs w:val="13"/>
                <w:color w:val="auto"/>
              </w:rPr>
            </w:pP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December 31,</w:t>
            </w:r>
          </w:p>
        </w:tc>
        <w:tc>
          <w:tcPr>
            <w:tcW w:w="4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1600" w:type="dxa"/>
            <w:vAlign w:val="bottom"/>
            <w:gridSpan w:val="2"/>
          </w:tcPr>
          <w:p>
            <w:pPr>
              <w:ind w:left="140"/>
              <w:spacing w:after="0"/>
              <w:rPr>
                <w:sz w:val="20"/>
                <w:szCs w:val="20"/>
                <w:color w:val="auto"/>
              </w:rPr>
            </w:pPr>
            <w:r>
              <w:rPr>
                <w:rFonts w:ascii="Arial" w:cs="Arial" w:eastAsia="Arial" w:hAnsi="Arial"/>
                <w:sz w:val="13"/>
                <w:szCs w:val="13"/>
                <w:b w:val="1"/>
                <w:bCs w:val="1"/>
                <w:color w:val="auto"/>
              </w:rPr>
              <w:t>2002</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42,360,410</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10,740</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34"/>
              <w:spacing w:after="0"/>
              <w:rPr>
                <w:sz w:val="20"/>
                <w:szCs w:val="20"/>
                <w:color w:val="auto"/>
              </w:rPr>
            </w:pPr>
            <w:r>
              <w:rPr>
                <w:rFonts w:ascii="Arial" w:cs="Arial" w:eastAsia="Arial" w:hAnsi="Arial"/>
                <w:sz w:val="13"/>
                <w:szCs w:val="13"/>
                <w:color w:val="auto"/>
                <w:w w:val="85"/>
              </w:rPr>
              <w:t>(233)</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23,000</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33,507</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Exercise of stock</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options</w:t>
            </w: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48,462</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232</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Derivative</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instruments</w:t>
            </w:r>
          </w:p>
        </w:tc>
        <w:tc>
          <w:tcPr>
            <w:tcW w:w="4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389</w:t>
            </w:r>
          </w:p>
        </w:tc>
        <w:tc>
          <w:tcPr>
            <w:tcW w:w="620" w:type="dxa"/>
            <w:vAlign w:val="bottom"/>
          </w:tcPr>
          <w:p>
            <w:pPr>
              <w:spacing w:after="0"/>
              <w:rPr>
                <w:sz w:val="13"/>
                <w:szCs w:val="13"/>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389</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Translation</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adjustment</w:t>
            </w: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362</w:t>
            </w: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362</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Deferred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compensation</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related to options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issued to</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employees</w:t>
            </w:r>
          </w:p>
        </w:tc>
        <w:tc>
          <w:tcPr>
            <w:tcW w:w="42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w w:val="95"/>
              </w:rPr>
              <w:t>30,756</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color w:val="auto"/>
                <w:w w:val="86"/>
              </w:rPr>
              <w:t>(32,448)</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color w:val="auto"/>
                <w:w w:val="97"/>
              </w:rPr>
              <w:t>(1,692)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Reversal of deferred</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compensation</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related to option</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cancellations</w:t>
            </w:r>
          </w:p>
        </w:tc>
        <w:tc>
          <w:tcPr>
            <w:tcW w:w="420" w:type="dxa"/>
            <w:vAlign w:val="bottom"/>
            <w:shd w:val="clear" w:color="auto" w:fill="EEEEEE"/>
          </w:tcPr>
          <w:p>
            <w:pPr>
              <w:spacing w:after="0"/>
              <w:rPr>
                <w:sz w:val="13"/>
                <w:szCs w:val="13"/>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(115)</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115</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Amortization of</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deferred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compensation</w:t>
            </w:r>
          </w:p>
        </w:tc>
        <w:tc>
          <w:tcPr>
            <w:tcW w:w="42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w w:val="95"/>
              </w:rPr>
              <w:t>27,538</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27,538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280"/>
              <w:spacing w:after="0" w:line="146" w:lineRule="exact"/>
              <w:rPr>
                <w:sz w:val="20"/>
                <w:szCs w:val="20"/>
                <w:color w:val="auto"/>
              </w:rPr>
            </w:pPr>
            <w:r>
              <w:rPr>
                <w:rFonts w:ascii="Arial" w:cs="Arial" w:eastAsia="Arial" w:hAnsi="Arial"/>
                <w:sz w:val="13"/>
                <w:szCs w:val="13"/>
                <w:color w:val="auto"/>
              </w:rPr>
              <w:t>Net loss</w:t>
            </w:r>
          </w:p>
        </w:tc>
        <w:tc>
          <w:tcPr>
            <w:tcW w:w="42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580"/>
              <w:spacing w:after="0" w:line="146" w:lineRule="exact"/>
              <w:rPr>
                <w:sz w:val="20"/>
                <w:szCs w:val="20"/>
                <w:color w:val="auto"/>
              </w:rPr>
            </w:pPr>
            <w:r>
              <w:rPr>
                <w:rFonts w:ascii="Arial" w:cs="Arial" w:eastAsia="Arial" w:hAnsi="Arial"/>
                <w:sz w:val="13"/>
                <w:szCs w:val="13"/>
                <w:color w:val="auto"/>
              </w:rPr>
              <w:t>(478)</w:t>
            </w:r>
          </w:p>
        </w:tc>
        <w:tc>
          <w:tcPr>
            <w:tcW w:w="1020" w:type="dxa"/>
            <w:vAlign w:val="bottom"/>
            <w:shd w:val="clear" w:color="auto" w:fill="EEEEEE"/>
          </w:tcPr>
          <w:p>
            <w:pPr>
              <w:jc w:val="right"/>
              <w:ind w:right="154"/>
              <w:spacing w:after="0" w:line="146"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jc w:val="right"/>
              <w:ind w:right="94"/>
              <w:spacing w:after="0" w:line="146"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jc w:val="right"/>
              <w:ind w:right="294"/>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jc w:val="right"/>
              <w:ind w:right="474"/>
              <w:spacing w:after="0" w:line="146" w:lineRule="exact"/>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jc w:val="right"/>
              <w:ind w:right="354"/>
              <w:spacing w:after="0" w:line="146" w:lineRule="exact"/>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274"/>
              <w:spacing w:after="0" w:line="146" w:lineRule="exact"/>
              <w:rPr>
                <w:sz w:val="20"/>
                <w:szCs w:val="20"/>
                <w:color w:val="auto"/>
              </w:rPr>
            </w:pPr>
            <w:r>
              <w:rPr>
                <w:rFonts w:ascii="Arial" w:cs="Arial" w:eastAsia="Arial" w:hAnsi="Arial"/>
                <w:sz w:val="13"/>
                <w:szCs w:val="13"/>
                <w:color w:val="auto"/>
              </w:rPr>
              <w:t>(478)</w:t>
            </w: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354"/>
              <w:spacing w:after="0" w:line="146" w:lineRule="exact"/>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580" w:type="dxa"/>
            <w:vAlign w:val="bottom"/>
            <w:vMerge w:val="restart"/>
          </w:tcPr>
          <w:p>
            <w:pPr>
              <w:ind w:left="280"/>
              <w:spacing w:after="0"/>
              <w:rPr>
                <w:sz w:val="20"/>
                <w:szCs w:val="20"/>
                <w:color w:val="auto"/>
              </w:rPr>
            </w:pPr>
            <w:r>
              <w:rPr>
                <w:rFonts w:ascii="Arial" w:cs="Arial" w:eastAsia="Arial" w:hAnsi="Arial"/>
                <w:sz w:val="13"/>
                <w:szCs w:val="13"/>
                <w:color w:val="auto"/>
              </w:rPr>
              <w:t>Comprehensive</w:t>
            </w:r>
          </w:p>
        </w:tc>
        <w:tc>
          <w:tcPr>
            <w:tcW w:w="4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income</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273</w:t>
            </w:r>
          </w:p>
        </w:tc>
        <w:tc>
          <w:tcPr>
            <w:tcW w:w="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80" w:type="dxa"/>
            <w:vAlign w:val="bottom"/>
            <w:shd w:val="clear" w:color="auto" w:fill="EEEEEE"/>
          </w:tcPr>
          <w:p>
            <w:pPr>
              <w:spacing w:after="0" w:line="133" w:lineRule="exact"/>
              <w:rPr>
                <w:sz w:val="20"/>
                <w:szCs w:val="20"/>
                <w:color w:val="auto"/>
              </w:rPr>
            </w:pPr>
            <w:r>
              <w:rPr>
                <w:rFonts w:ascii="Arial" w:cs="Arial" w:eastAsia="Arial" w:hAnsi="Arial"/>
                <w:sz w:val="13"/>
                <w:szCs w:val="13"/>
                <w:b w:val="1"/>
                <w:bCs w:val="1"/>
                <w:color w:val="auto"/>
              </w:rPr>
              <w:t>Balance, December 31,</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580" w:type="dxa"/>
            <w:vAlign w:val="bottom"/>
            <w:shd w:val="clear" w:color="auto" w:fill="EEEEEE"/>
          </w:tcPr>
          <w:p>
            <w:pPr>
              <w:ind w:left="120"/>
              <w:spacing w:after="0"/>
              <w:rPr>
                <w:sz w:val="20"/>
                <w:szCs w:val="20"/>
                <w:color w:val="auto"/>
              </w:rPr>
            </w:pPr>
            <w:r>
              <w:rPr>
                <w:rFonts w:ascii="Arial" w:cs="Arial" w:eastAsia="Arial" w:hAnsi="Arial"/>
                <w:sz w:val="13"/>
                <w:szCs w:val="13"/>
                <w:b w:val="1"/>
                <w:bCs w:val="1"/>
                <w:color w:val="auto"/>
              </w:rPr>
              <w:t>2003</w:t>
            </w:r>
          </w:p>
        </w:tc>
        <w:tc>
          <w:tcPr>
            <w:tcW w:w="42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42,408,872</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w w:val="95"/>
              </w:rPr>
              <w:t>41,613</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518</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(4,795)</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22,522</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w w:val="85"/>
              </w:rPr>
              <w:t>59,858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Exercise of stock</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options</w:t>
            </w:r>
          </w:p>
        </w:tc>
        <w:tc>
          <w:tcPr>
            <w:tcW w:w="4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133,828</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480</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161</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rPr>
              <w:t>641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Translation</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adjustment</w:t>
            </w:r>
          </w:p>
        </w:tc>
        <w:tc>
          <w:tcPr>
            <w:tcW w:w="420" w:type="dxa"/>
            <w:vAlign w:val="bottom"/>
            <w:shd w:val="clear" w:color="auto" w:fill="EEEEEE"/>
          </w:tcPr>
          <w:p>
            <w:pPr>
              <w:spacing w:after="0"/>
              <w:rPr>
                <w:sz w:val="13"/>
                <w:szCs w:val="13"/>
                <w:color w:val="auto"/>
              </w:rPr>
            </w:pPr>
          </w:p>
        </w:tc>
        <w:tc>
          <w:tcPr>
            <w:tcW w:w="1000" w:type="dxa"/>
            <w:vAlign w:val="bottom"/>
            <w:gridSpan w:val="2"/>
            <w:shd w:val="clear" w:color="auto" w:fill="EEEEEE"/>
          </w:tcPr>
          <w:p>
            <w:pPr>
              <w:jc w:val="right"/>
              <w:ind w:right="580"/>
              <w:spacing w:after="0"/>
              <w:rPr>
                <w:sz w:val="20"/>
                <w:szCs w:val="20"/>
                <w:color w:val="auto"/>
              </w:rPr>
            </w:pPr>
            <w:r>
              <w:rPr>
                <w:rFonts w:ascii="Arial" w:cs="Arial" w:eastAsia="Arial" w:hAnsi="Arial"/>
                <w:sz w:val="13"/>
                <w:szCs w:val="13"/>
                <w:color w:val="auto"/>
              </w:rPr>
              <w:t>(342)</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34"/>
              <w:spacing w:after="0"/>
              <w:rPr>
                <w:sz w:val="20"/>
                <w:szCs w:val="20"/>
                <w:color w:val="auto"/>
              </w:rPr>
            </w:pPr>
            <w:r>
              <w:rPr>
                <w:rFonts w:ascii="Arial" w:cs="Arial" w:eastAsia="Arial" w:hAnsi="Arial"/>
                <w:sz w:val="13"/>
                <w:szCs w:val="13"/>
                <w:color w:val="auto"/>
                <w:w w:val="85"/>
              </w:rPr>
              <w:t>(342)</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(342)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Deferred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compensation</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related to options</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issued to</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employees</w:t>
            </w:r>
          </w:p>
        </w:tc>
        <w:tc>
          <w:tcPr>
            <w:tcW w:w="42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82</w:t>
            </w:r>
          </w:p>
        </w:tc>
        <w:tc>
          <w:tcPr>
            <w:tcW w:w="520" w:type="dxa"/>
            <w:vAlign w:val="bottom"/>
          </w:tcPr>
          <w:p>
            <w:pPr>
              <w:spacing w:after="0"/>
              <w:rPr>
                <w:sz w:val="13"/>
                <w:szCs w:val="13"/>
                <w:color w:val="auto"/>
              </w:rPr>
            </w:pPr>
          </w:p>
        </w:tc>
        <w:tc>
          <w:tcPr>
            <w:tcW w:w="740" w:type="dxa"/>
            <w:vAlign w:val="bottom"/>
          </w:tcPr>
          <w:p>
            <w:pPr>
              <w:jc w:val="right"/>
              <w:ind w:right="254"/>
              <w:spacing w:after="0"/>
              <w:rPr>
                <w:sz w:val="20"/>
                <w:szCs w:val="20"/>
                <w:color w:val="auto"/>
              </w:rPr>
            </w:pPr>
            <w:r>
              <w:rPr>
                <w:rFonts w:ascii="Arial" w:cs="Arial" w:eastAsia="Arial" w:hAnsi="Arial"/>
                <w:sz w:val="13"/>
                <w:szCs w:val="13"/>
                <w:color w:val="auto"/>
                <w:w w:val="97"/>
              </w:rPr>
              <w:t>(4,155)</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4,003</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Reversal of deferred</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compensation</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related to option</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cancellations</w:t>
            </w:r>
          </w:p>
        </w:tc>
        <w:tc>
          <w:tcPr>
            <w:tcW w:w="420" w:type="dxa"/>
            <w:vAlign w:val="bottom"/>
            <w:shd w:val="clear" w:color="auto" w:fill="EEEEEE"/>
          </w:tcPr>
          <w:p>
            <w:pPr>
              <w:spacing w:after="0"/>
              <w:rPr>
                <w:sz w:val="13"/>
                <w:szCs w:val="13"/>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rPr>
              <w:t>(82)</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82</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tcPr>
          <w:p>
            <w:pPr>
              <w:ind w:left="280"/>
              <w:spacing w:after="0" w:line="137" w:lineRule="exact"/>
              <w:rPr>
                <w:sz w:val="20"/>
                <w:szCs w:val="20"/>
                <w:color w:val="auto"/>
              </w:rPr>
            </w:pPr>
            <w:r>
              <w:rPr>
                <w:rFonts w:ascii="Arial" w:cs="Arial" w:eastAsia="Arial" w:hAnsi="Arial"/>
                <w:sz w:val="13"/>
                <w:szCs w:val="13"/>
                <w:color w:val="auto"/>
              </w:rPr>
              <w:t>Amortization of</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tcPr>
          <w:p>
            <w:pPr>
              <w:ind w:left="400"/>
              <w:spacing w:after="0" w:line="146" w:lineRule="exact"/>
              <w:rPr>
                <w:sz w:val="20"/>
                <w:szCs w:val="20"/>
                <w:color w:val="auto"/>
              </w:rPr>
            </w:pPr>
            <w:r>
              <w:rPr>
                <w:rFonts w:ascii="Arial" w:cs="Arial" w:eastAsia="Arial" w:hAnsi="Arial"/>
                <w:sz w:val="13"/>
                <w:szCs w:val="13"/>
                <w:color w:val="auto"/>
              </w:rPr>
              <w:t>deferred</w:t>
            </w: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tcPr>
          <w:p>
            <w:pPr>
              <w:ind w:left="400"/>
              <w:spacing w:after="0"/>
              <w:rPr>
                <w:sz w:val="20"/>
                <w:szCs w:val="20"/>
                <w:color w:val="auto"/>
              </w:rPr>
            </w:pPr>
            <w:r>
              <w:rPr>
                <w:rFonts w:ascii="Arial" w:cs="Arial" w:eastAsia="Arial" w:hAnsi="Arial"/>
                <w:sz w:val="13"/>
                <w:szCs w:val="13"/>
                <w:color w:val="auto"/>
              </w:rPr>
              <w:t>compensation</w:t>
            </w:r>
          </w:p>
        </w:tc>
        <w:tc>
          <w:tcPr>
            <w:tcW w:w="420" w:type="dxa"/>
            <w:vAlign w:val="bottom"/>
          </w:tcPr>
          <w:p>
            <w:pPr>
              <w:spacing w:after="0"/>
              <w:rPr>
                <w:sz w:val="13"/>
                <w:szCs w:val="13"/>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3"/>
                <w:szCs w:val="13"/>
                <w:color w:val="auto"/>
              </w:rPr>
            </w:pPr>
          </w:p>
        </w:tc>
        <w:tc>
          <w:tcPr>
            <w:tcW w:w="820" w:type="dxa"/>
            <w:vAlign w:val="bottom"/>
          </w:tcPr>
          <w:p>
            <w:pPr>
              <w:jc w:val="right"/>
              <w:ind w:right="314"/>
              <w:spacing w:after="0"/>
              <w:rPr>
                <w:sz w:val="20"/>
                <w:szCs w:val="20"/>
                <w:color w:val="auto"/>
              </w:rPr>
            </w:pPr>
            <w:r>
              <w:rPr>
                <w:rFonts w:ascii="Arial" w:cs="Arial" w:eastAsia="Arial" w:hAnsi="Arial"/>
                <w:sz w:val="13"/>
                <w:szCs w:val="13"/>
                <w:color w:val="auto"/>
              </w:rPr>
              <w:t>(695)</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3"/>
                <w:szCs w:val="13"/>
                <w:color w:val="auto"/>
              </w:rPr>
            </w:pPr>
          </w:p>
        </w:tc>
        <w:tc>
          <w:tcPr>
            <w:tcW w:w="840" w:type="dxa"/>
            <w:vAlign w:val="bottom"/>
          </w:tcPr>
          <w:p>
            <w:pPr>
              <w:jc w:val="right"/>
              <w:ind w:right="354"/>
              <w:spacing w:after="0"/>
              <w:rPr>
                <w:sz w:val="20"/>
                <w:szCs w:val="20"/>
                <w:color w:val="auto"/>
              </w:rPr>
            </w:pPr>
            <w:r>
              <w:rPr>
                <w:rFonts w:ascii="Arial" w:cs="Arial" w:eastAsia="Arial" w:hAnsi="Arial"/>
                <w:sz w:val="13"/>
                <w:szCs w:val="13"/>
                <w:color w:val="auto"/>
              </w:rPr>
              <w:t>(695)</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Reclassification of</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common stock to</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additional paid in</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capital resulting</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from the</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80" w:type="dxa"/>
            <w:vAlign w:val="bottom"/>
            <w:shd w:val="clear" w:color="auto" w:fill="EEEEEE"/>
          </w:tcPr>
          <w:p>
            <w:pPr>
              <w:ind w:left="400"/>
              <w:spacing w:after="0" w:line="146" w:lineRule="exact"/>
              <w:rPr>
                <w:sz w:val="20"/>
                <w:szCs w:val="20"/>
                <w:color w:val="auto"/>
              </w:rPr>
            </w:pPr>
            <w:r>
              <w:rPr>
                <w:rFonts w:ascii="Arial" w:cs="Arial" w:eastAsia="Arial" w:hAnsi="Arial"/>
                <w:sz w:val="13"/>
                <w:szCs w:val="13"/>
                <w:color w:val="auto"/>
              </w:rPr>
              <w:t>establishment of</w:t>
            </w: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10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56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500" w:type="dxa"/>
            <w:vAlign w:val="bottom"/>
            <w:shd w:val="clear" w:color="auto" w:fill="EEEEEE"/>
          </w:tcPr>
          <w:p>
            <w:pPr>
              <w:spacing w:after="0"/>
              <w:rPr>
                <w:sz w:val="12"/>
                <w:szCs w:val="12"/>
                <w:color w:val="auto"/>
              </w:rPr>
            </w:pPr>
          </w:p>
        </w:tc>
        <w:tc>
          <w:tcPr>
            <w:tcW w:w="82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6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par value</w:t>
            </w:r>
          </w:p>
        </w:tc>
        <w:tc>
          <w:tcPr>
            <w:tcW w:w="420" w:type="dxa"/>
            <w:vAlign w:val="bottom"/>
            <w:shd w:val="clear" w:color="auto" w:fill="EEEEEE"/>
          </w:tcPr>
          <w:p>
            <w:pPr>
              <w:spacing w:after="0"/>
              <w:rPr>
                <w:sz w:val="13"/>
                <w:szCs w:val="13"/>
                <w:color w:val="auto"/>
              </w:rPr>
            </w:pPr>
          </w:p>
        </w:tc>
        <w:tc>
          <w:tcPr>
            <w:tcW w:w="1000" w:type="dxa"/>
            <w:vAlign w:val="bottom"/>
            <w:gridSpan w:val="2"/>
            <w:shd w:val="clear" w:color="auto" w:fill="EEEEEE"/>
          </w:tcPr>
          <w:p>
            <w:pPr>
              <w:jc w:val="right"/>
              <w:ind w:right="6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EEEEEE"/>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jc w:val="right"/>
              <w:ind w:right="34"/>
              <w:spacing w:after="0"/>
              <w:rPr>
                <w:sz w:val="20"/>
                <w:szCs w:val="20"/>
                <w:color w:val="auto"/>
              </w:rPr>
            </w:pPr>
            <w:r>
              <w:rPr>
                <w:rFonts w:ascii="Arial" w:cs="Arial" w:eastAsia="Arial" w:hAnsi="Arial"/>
                <w:sz w:val="13"/>
                <w:szCs w:val="13"/>
                <w:color w:val="auto"/>
                <w:w w:val="90"/>
              </w:rPr>
              <w:t>(42,050)</w:t>
            </w: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jc w:val="right"/>
              <w:ind w:right="294"/>
              <w:spacing w:after="0"/>
              <w:rPr>
                <w:sz w:val="20"/>
                <w:szCs w:val="20"/>
                <w:color w:val="auto"/>
              </w:rPr>
            </w:pPr>
            <w:r>
              <w:rPr>
                <w:rFonts w:ascii="Arial" w:cs="Arial" w:eastAsia="Arial" w:hAnsi="Arial"/>
                <w:sz w:val="13"/>
                <w:szCs w:val="13"/>
                <w:color w:val="auto"/>
                <w:w w:val="90"/>
              </w:rPr>
              <w:t>42,050</w:t>
            </w: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shd w:val="clear" w:color="auto" w:fill="EEEEEE"/>
          </w:tcPr>
          <w:p>
            <w:pPr>
              <w:jc w:val="right"/>
              <w:ind w:right="314"/>
              <w:spacing w:after="0"/>
              <w:rPr>
                <w:sz w:val="20"/>
                <w:szCs w:val="20"/>
                <w:color w:val="auto"/>
              </w:rPr>
            </w:pPr>
            <w:r>
              <w:rPr>
                <w:rFonts w:ascii="Arial" w:cs="Arial" w:eastAsia="Arial" w:hAnsi="Arial"/>
                <w:sz w:val="13"/>
                <w:szCs w:val="13"/>
                <w:color w:val="auto"/>
              </w:rPr>
              <w:t>—</w:t>
            </w: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jc w:val="right"/>
              <w:ind w:right="4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tcPr>
          <w:p>
            <w:pPr>
              <w:ind w:left="280"/>
              <w:spacing w:after="0"/>
              <w:rPr>
                <w:sz w:val="20"/>
                <w:szCs w:val="20"/>
                <w:color w:val="auto"/>
              </w:rPr>
            </w:pPr>
            <w:r>
              <w:rPr>
                <w:rFonts w:ascii="Arial" w:cs="Arial" w:eastAsia="Arial" w:hAnsi="Arial"/>
                <w:sz w:val="13"/>
                <w:szCs w:val="13"/>
                <w:color w:val="auto"/>
              </w:rPr>
              <w:t>Net income</w:t>
            </w:r>
          </w:p>
        </w:tc>
        <w:tc>
          <w:tcPr>
            <w:tcW w:w="4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16,927</w:t>
            </w:r>
          </w:p>
        </w:tc>
        <w:tc>
          <w:tcPr>
            <w:tcW w:w="620" w:type="dxa"/>
            <w:vAlign w:val="bottom"/>
          </w:tcPr>
          <w:p>
            <w:pPr>
              <w:spacing w:after="0"/>
              <w:rPr>
                <w:sz w:val="14"/>
                <w:szCs w:val="14"/>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4"/>
                <w:szCs w:val="14"/>
                <w:color w:val="auto"/>
              </w:rPr>
            </w:pPr>
          </w:p>
        </w:tc>
        <w:tc>
          <w:tcPr>
            <w:tcW w:w="740" w:type="dxa"/>
            <w:vAlign w:val="bottom"/>
          </w:tcPr>
          <w:p>
            <w:pPr>
              <w:jc w:val="right"/>
              <w:ind w:right="294"/>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4"/>
                <w:szCs w:val="14"/>
                <w:color w:val="auto"/>
              </w:rPr>
            </w:pPr>
          </w:p>
        </w:tc>
        <w:tc>
          <w:tcPr>
            <w:tcW w:w="820" w:type="dxa"/>
            <w:vAlign w:val="bottom"/>
          </w:tcPr>
          <w:p>
            <w:pPr>
              <w:jc w:val="right"/>
              <w:ind w:right="354"/>
              <w:spacing w:after="0"/>
              <w:rPr>
                <w:sz w:val="20"/>
                <w:szCs w:val="20"/>
                <w:color w:val="auto"/>
              </w:rPr>
            </w:pPr>
            <w:r>
              <w:rPr>
                <w:rFonts w:ascii="Arial" w:cs="Arial" w:eastAsia="Arial" w:hAnsi="Arial"/>
                <w:sz w:val="13"/>
                <w:szCs w:val="13"/>
                <w:color w:val="auto"/>
              </w:rPr>
              <w:t>—</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16,927</w:t>
            </w:r>
          </w:p>
        </w:tc>
        <w:tc>
          <w:tcPr>
            <w:tcW w:w="620" w:type="dxa"/>
            <w:vAlign w:val="bottom"/>
          </w:tcPr>
          <w:p>
            <w:pPr>
              <w:spacing w:after="0"/>
              <w:rPr>
                <w:sz w:val="14"/>
                <w:szCs w:val="14"/>
                <w:color w:val="auto"/>
              </w:rPr>
            </w:pP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16,927</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62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56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50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80" w:type="dxa"/>
            <w:vAlign w:val="bottom"/>
            <w:shd w:val="clear" w:color="auto" w:fill="EEEEEE"/>
          </w:tcPr>
          <w:p>
            <w:pPr>
              <w:ind w:left="280"/>
              <w:spacing w:after="0" w:line="137" w:lineRule="exact"/>
              <w:rPr>
                <w:sz w:val="20"/>
                <w:szCs w:val="20"/>
                <w:color w:val="auto"/>
              </w:rPr>
            </w:pPr>
            <w:r>
              <w:rPr>
                <w:rFonts w:ascii="Arial" w:cs="Arial" w:eastAsia="Arial" w:hAnsi="Arial"/>
                <w:sz w:val="13"/>
                <w:szCs w:val="13"/>
                <w:color w:val="auto"/>
              </w:rPr>
              <w:t>Comprehensive</w:t>
            </w: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10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82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80" w:type="dxa"/>
            <w:vAlign w:val="bottom"/>
            <w:shd w:val="clear" w:color="auto" w:fill="EEEEEE"/>
          </w:tcPr>
          <w:p>
            <w:pPr>
              <w:ind w:left="400"/>
              <w:spacing w:after="0"/>
              <w:rPr>
                <w:sz w:val="20"/>
                <w:szCs w:val="20"/>
                <w:color w:val="auto"/>
              </w:rPr>
            </w:pPr>
            <w:r>
              <w:rPr>
                <w:rFonts w:ascii="Arial" w:cs="Arial" w:eastAsia="Arial" w:hAnsi="Arial"/>
                <w:sz w:val="13"/>
                <w:szCs w:val="13"/>
                <w:color w:val="auto"/>
              </w:rPr>
              <w:t>income</w:t>
            </w: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3"/>
                <w:szCs w:val="13"/>
                <w:color w:val="auto"/>
                <w:w w:val="90"/>
              </w:rPr>
              <w:t>16,585</w:t>
            </w:r>
          </w:p>
        </w:tc>
        <w:tc>
          <w:tcPr>
            <w:tcW w:w="620" w:type="dxa"/>
            <w:vAlign w:val="bottom"/>
            <w:shd w:val="clear" w:color="auto" w:fill="EEEEEE"/>
          </w:tcPr>
          <w:p>
            <w:pPr>
              <w:spacing w:after="0"/>
              <w:rPr>
                <w:sz w:val="13"/>
                <w:szCs w:val="13"/>
                <w:color w:val="auto"/>
              </w:rPr>
            </w:pPr>
          </w:p>
        </w:tc>
        <w:tc>
          <w:tcPr>
            <w:tcW w:w="102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56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740" w:type="dxa"/>
            <w:vAlign w:val="bottom"/>
            <w:shd w:val="clear" w:color="auto" w:fill="EEEEEE"/>
          </w:tcPr>
          <w:p>
            <w:pPr>
              <w:spacing w:after="0"/>
              <w:rPr>
                <w:sz w:val="13"/>
                <w:szCs w:val="13"/>
                <w:color w:val="auto"/>
              </w:rPr>
            </w:pPr>
          </w:p>
        </w:tc>
        <w:tc>
          <w:tcPr>
            <w:tcW w:w="56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500" w:type="dxa"/>
            <w:vAlign w:val="bottom"/>
            <w:shd w:val="clear" w:color="auto" w:fill="EEEEEE"/>
          </w:tcPr>
          <w:p>
            <w:pPr>
              <w:spacing w:after="0"/>
              <w:rPr>
                <w:sz w:val="13"/>
                <w:szCs w:val="13"/>
                <w:color w:val="auto"/>
              </w:rPr>
            </w:pPr>
          </w:p>
        </w:tc>
        <w:tc>
          <w:tcPr>
            <w:tcW w:w="820" w:type="dxa"/>
            <w:vAlign w:val="bottom"/>
            <w:shd w:val="clear" w:color="auto" w:fill="EEEEEE"/>
          </w:tcPr>
          <w:p>
            <w:pPr>
              <w:spacing w:after="0"/>
              <w:rPr>
                <w:sz w:val="13"/>
                <w:szCs w:val="13"/>
                <w:color w:val="auto"/>
              </w:rPr>
            </w:pPr>
          </w:p>
        </w:tc>
        <w:tc>
          <w:tcPr>
            <w:tcW w:w="1160" w:type="dxa"/>
            <w:vAlign w:val="bottom"/>
            <w:shd w:val="clear" w:color="auto" w:fill="EEEEEE"/>
          </w:tcPr>
          <w:p>
            <w:pPr>
              <w:spacing w:after="0"/>
              <w:rPr>
                <w:sz w:val="13"/>
                <w:szCs w:val="13"/>
                <w:color w:val="auto"/>
              </w:rPr>
            </w:pPr>
          </w:p>
        </w:tc>
        <w:tc>
          <w:tcPr>
            <w:tcW w:w="6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Balance, September 30,</w:t>
            </w:r>
          </w:p>
        </w:tc>
        <w:tc>
          <w:tcPr>
            <w:tcW w:w="4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160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Arial" w:cs="Arial" w:eastAsia="Arial" w:hAnsi="Arial"/>
                <w:sz w:val="13"/>
                <w:szCs w:val="13"/>
                <w:b w:val="1"/>
                <w:bCs w:val="1"/>
                <w:color w:val="auto"/>
              </w:rPr>
              <w:t xml:space="preserve">2004 </w:t>
            </w:r>
            <w:r>
              <w:rPr>
                <w:rFonts w:ascii="Arial" w:cs="Arial" w:eastAsia="Arial" w:hAnsi="Arial"/>
                <w:sz w:val="13"/>
                <w:szCs w:val="13"/>
                <w:color w:val="auto"/>
              </w:rPr>
              <w:t>(unaudited)</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20" w:type="dxa"/>
            <w:vAlign w:val="bottom"/>
          </w:tcPr>
          <w:p>
            <w:pPr>
              <w:jc w:val="right"/>
              <w:ind w:right="154"/>
              <w:spacing w:after="0"/>
              <w:rPr>
                <w:sz w:val="20"/>
                <w:szCs w:val="20"/>
                <w:color w:val="auto"/>
              </w:rPr>
            </w:pPr>
            <w:r>
              <w:rPr>
                <w:rFonts w:ascii="Arial" w:cs="Arial" w:eastAsia="Arial" w:hAnsi="Arial"/>
                <w:sz w:val="13"/>
                <w:szCs w:val="13"/>
                <w:color w:val="auto"/>
              </w:rPr>
              <w:t>42,542,700</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4"/>
              <w:spacing w:after="0"/>
              <w:rPr>
                <w:sz w:val="20"/>
                <w:szCs w:val="20"/>
                <w:color w:val="auto"/>
              </w:rPr>
            </w:pPr>
            <w:r>
              <w:rPr>
                <w:rFonts w:ascii="Arial" w:cs="Arial" w:eastAsia="Arial" w:hAnsi="Arial"/>
                <w:sz w:val="13"/>
                <w:szCs w:val="13"/>
                <w:color w:val="auto"/>
              </w:rPr>
              <w:t>43</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294"/>
              <w:spacing w:after="0"/>
              <w:rPr>
                <w:sz w:val="20"/>
                <w:szCs w:val="20"/>
                <w:color w:val="auto"/>
              </w:rPr>
            </w:pPr>
            <w:r>
              <w:rPr>
                <w:rFonts w:ascii="Arial" w:cs="Arial" w:eastAsia="Arial" w:hAnsi="Arial"/>
                <w:sz w:val="13"/>
                <w:szCs w:val="13"/>
                <w:color w:val="auto"/>
                <w:w w:val="90"/>
              </w:rPr>
              <w:t>38,056</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74"/>
              <w:spacing w:after="0"/>
              <w:rPr>
                <w:sz w:val="20"/>
                <w:szCs w:val="20"/>
                <w:color w:val="auto"/>
              </w:rPr>
            </w:pPr>
            <w:r>
              <w:rPr>
                <w:rFonts w:ascii="Arial" w:cs="Arial" w:eastAsia="Arial" w:hAnsi="Arial"/>
                <w:sz w:val="13"/>
                <w:szCs w:val="13"/>
                <w:color w:val="auto"/>
              </w:rPr>
              <w:t>176</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14"/>
              <w:spacing w:after="0"/>
              <w:rPr>
                <w:sz w:val="20"/>
                <w:szCs w:val="20"/>
                <w:color w:val="auto"/>
              </w:rPr>
            </w:pPr>
            <w:r>
              <w:rPr>
                <w:rFonts w:ascii="Arial" w:cs="Arial" w:eastAsia="Arial" w:hAnsi="Arial"/>
                <w:sz w:val="13"/>
                <w:szCs w:val="13"/>
                <w:color w:val="auto"/>
              </w:rPr>
              <w:t>(1,405)</w:t>
            </w:r>
          </w:p>
        </w:tc>
        <w:tc>
          <w:tcPr>
            <w:tcW w:w="1160" w:type="dxa"/>
            <w:vAlign w:val="bottom"/>
          </w:tcPr>
          <w:p>
            <w:pPr>
              <w:jc w:val="right"/>
              <w:ind w:right="314"/>
              <w:spacing w:after="0"/>
              <w:rPr>
                <w:sz w:val="20"/>
                <w:szCs w:val="20"/>
                <w:color w:val="auto"/>
              </w:rPr>
            </w:pPr>
            <w:r>
              <w:rPr>
                <w:rFonts w:ascii="Arial" w:cs="Arial" w:eastAsia="Arial" w:hAnsi="Arial"/>
                <w:sz w:val="13"/>
                <w:szCs w:val="13"/>
                <w:color w:val="auto"/>
              </w:rPr>
              <w:t>$39,449</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14"/>
              <w:spacing w:after="0"/>
              <w:rPr>
                <w:sz w:val="20"/>
                <w:szCs w:val="20"/>
                <w:color w:val="auto"/>
              </w:rPr>
            </w:pPr>
            <w:r>
              <w:rPr>
                <w:rFonts w:ascii="Arial" w:cs="Arial" w:eastAsia="Arial" w:hAnsi="Arial"/>
                <w:sz w:val="13"/>
                <w:szCs w:val="13"/>
                <w:color w:val="auto"/>
                <w:w w:val="85"/>
              </w:rPr>
              <w:t>76,319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271" w:gutter="0" w:footer="0" w:header="0"/>
        </w:sectPr>
      </w:pPr>
    </w:p>
    <w:bookmarkStart w:id="101" w:name="page102"/>
    <w:bookmarkEnd w:id="101"/>
    <w:p>
      <w:pPr>
        <w:jc w:val="center"/>
        <w:ind w:right="-39"/>
        <w:spacing w:after="0"/>
        <w:rPr>
          <w:sz w:val="20"/>
          <w:szCs w:val="20"/>
          <w:color w:val="auto"/>
        </w:rPr>
      </w:pPr>
      <w:r>
        <w:rPr>
          <w:rFonts w:ascii="Arial" w:cs="Arial" w:eastAsia="Arial" w:hAnsi="Arial"/>
          <w:sz w:val="24"/>
          <w:szCs w:val="24"/>
          <w:b w:val="1"/>
          <w:bCs w:val="1"/>
          <w:color w:val="auto"/>
        </w:rPr>
        <w:t>Blackbaud, Inc.</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Notes to consolidated financial statements</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 as of September 30, 2004 and for the nine months ended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September 30, 2003 and 2004 is unaudited)</w:t>
      </w:r>
    </w:p>
    <w:p>
      <w:pPr>
        <w:spacing w:after="0" w:line="203" w:lineRule="exact"/>
        <w:rPr>
          <w:sz w:val="20"/>
          <w:szCs w:val="20"/>
          <w:color w:val="auto"/>
        </w:rPr>
      </w:pPr>
    </w:p>
    <w:p>
      <w:pPr>
        <w:ind w:left="480" w:hanging="474"/>
        <w:spacing w:after="0"/>
        <w:tabs>
          <w:tab w:leader="none" w:pos="48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color w:val="auto"/>
        </w:rPr>
        <w:t>Organization and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23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Blackbaud, Inc. (the “Company”) is the leading global provider of software and related services designed specifically for nonprofit organizations and provides products and services that enable nonprofit organizations to increase donations, reduce fundraising costs, improve communications with constituents, manage their finances and optimize internal operations. In 2003, the Company had over 12,500 active customers distributed across multiple verticals within the nonprofit market including religion; education; foundations; health and human services; arts and cultural; public and societal benefits; environment and animal welfare; and international and foreign affairs.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 Reincorporation; Initial Public Offering (unaudited)</w:t>
      </w:r>
    </w:p>
    <w:p>
      <w:pPr>
        <w:spacing w:after="0" w:line="2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16, 2004, the Company was reincorporated under the laws of the State of Delaware and, accordingly, under its certificate of incorporation effective that date, its authorized stock consists of 180,000,000 shares of common stock, par value $0.001 per share and 20,000,000 shares of preferred stock, par value $0.001 per share.</w:t>
      </w:r>
    </w:p>
    <w:p>
      <w:pPr>
        <w:spacing w:after="0" w:line="180"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SEC declared the Company’s registration statement effective on July 22, 2004, which the Company filed on Form S-1 (Registration No. 333-112978) under the Securities Act of 1933 in connection with the initial public offering of its common stock. The Company sold, for the benefit of selling shareholders, an aggregate of 9,313,596 shares under this registration statement, including 1,214,817 shares subject to the underwriters’ over-allotment option. On July 27, 2004 the Company completed its initial public offering in which it sold, for the benefit of selling stockholders, a total of 8,098,779 shares of common stock for $8.00 per share (before underwriter discounts and commissions), for an aggregate public offering price of $64,790,232. On August 2, 2004, the underwriters exercised their over-allotment option for the purchase of 1,214,817 shares of common stock at $8.00 per share for an additional aggregate public offering price of $9,718,536. All of the shares sold in this offering were sold by selling stockholders and, accordingly, the Company has not received any proceeds from the sale of shares in this offering. Accordingly, the Company has expensed the costs of its initial public offering in its statement of operations, which were $2,455,000 for the nine months ended September 30, 2004, respectively. These costs were primarily comprised of printing, legal and accounting fees.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Recapitalization</w:t>
      </w:r>
    </w:p>
    <w:p>
      <w:pPr>
        <w:spacing w:after="0" w:line="23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Prior to October 13, 1999, the Company was 100% owned by management shareholders. On October 13, 1999, the Company completed a transaction in which it used cash on hand and proceeds from a new term loan to repurchase a portion of its then outstanding common stock from management shareholders. On the same date, an entity controlled by certain investment partnerships, Pobeda Partners Ltd., also purchased shares of the Company’s common stock from management shareholders.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7" w:right="279" w:bottom="1440" w:gutter="0" w:footer="0" w:header="0"/>
        </w:sectPr>
      </w:pPr>
    </w:p>
    <w:bookmarkStart w:id="102" w:name="page103"/>
    <w:bookmarkEnd w:id="102"/>
    <w:p>
      <w:pPr>
        <w:spacing w:after="0" w:line="286" w:lineRule="auto"/>
        <w:rPr>
          <w:sz w:val="20"/>
          <w:szCs w:val="20"/>
          <w:color w:val="auto"/>
        </w:rPr>
      </w:pPr>
      <w:r>
        <w:rPr>
          <w:rFonts w:ascii="Arial" w:cs="Arial" w:eastAsia="Arial" w:hAnsi="Arial"/>
          <w:sz w:val="16"/>
          <w:szCs w:val="16"/>
          <w:color w:val="auto"/>
        </w:rPr>
        <w:t>The Company accounted for the above transactions as a recapitalization. The stock repurchased by the Company was accounted for as a treasury stock transaction and the carrying values of the assets and liabilities did not change for financial reporting purposes. For income tax purposes, Pobeda and the management shareholders elected to treat the transaction under Section 338(h)(10) of the Internal Revenue Code; consequently, the tax basis of the assets and liabilities of the Company were restated to their fair values at the date of the transaction. The deferred tax asset resulting from differences in bases of the assets and liabilities between financial and income tax reporting has been accounted for as an increase in shareholders’ equity.</w:t>
      </w:r>
    </w:p>
    <w:p>
      <w:pPr>
        <w:spacing w:after="0" w:line="174" w:lineRule="exact"/>
        <w:rPr>
          <w:sz w:val="20"/>
          <w:szCs w:val="20"/>
          <w:color w:val="auto"/>
        </w:rPr>
      </w:pPr>
    </w:p>
    <w:p>
      <w:pPr>
        <w:ind w:right="380"/>
        <w:spacing w:after="0" w:line="356" w:lineRule="auto"/>
        <w:rPr>
          <w:sz w:val="20"/>
          <w:szCs w:val="20"/>
          <w:color w:val="auto"/>
        </w:rPr>
      </w:pPr>
      <w:r>
        <w:rPr>
          <w:rFonts w:ascii="Arial" w:cs="Arial" w:eastAsia="Arial" w:hAnsi="Arial"/>
          <w:sz w:val="15"/>
          <w:szCs w:val="15"/>
          <w:color w:val="auto"/>
        </w:rPr>
        <w:t>As part of the recapitalization transaction, the Company agreed to pay certain management shareholders and employees a total of $9,975,000 for past and future services. This amount was to be paid 25% at consummation of the recapitalization and the remainder ratably every six months over a three-year period.</w:t>
      </w:r>
    </w:p>
    <w:p>
      <w:pPr>
        <w:spacing w:after="0" w:line="12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Compensation expense for past services of $7,198,500 was recognized and expensed at the time of the recapitalization in 1999, because this amount was not contingent upon future service. The remainder was contingent upon future service and, accordingly, was recognized as expense ratably over the following three years. An employee who left the Company during the three year period forfeited $50,000 of this amount. Expense of $962,500, $950,000 and $814,000 was recognized for the years ended December 31, 2000, 2001 and 2002, respectively. Cash payments of $2,493,750 were made in each of the years ended December 31, 1999, 2000, and 2001 and $2,443,750 in the year ended December 31, 2002. The Company had no future obligation for these payments under the recapitalization agreement after December 31, 2002.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Interim Financial Statements</w:t>
      </w:r>
    </w:p>
    <w:p>
      <w:pPr>
        <w:spacing w:after="0" w:line="234" w:lineRule="exact"/>
        <w:rPr>
          <w:sz w:val="20"/>
          <w:szCs w:val="20"/>
          <w:color w:val="auto"/>
        </w:rPr>
      </w:pPr>
    </w:p>
    <w:p>
      <w:pPr>
        <w:ind w:right="20"/>
        <w:spacing w:after="0" w:line="325" w:lineRule="auto"/>
        <w:rPr>
          <w:sz w:val="20"/>
          <w:szCs w:val="20"/>
          <w:color w:val="auto"/>
        </w:rPr>
      </w:pPr>
      <w:r>
        <w:rPr>
          <w:rFonts w:ascii="Arial" w:cs="Arial" w:eastAsia="Arial" w:hAnsi="Arial"/>
          <w:sz w:val="15"/>
          <w:szCs w:val="15"/>
          <w:color w:val="auto"/>
        </w:rPr>
        <w:t>The consolidated financial statements as of September 30, 2004 and for the nine-month periods ended September 30, 2003 and 2004 are unaudited and reflect all adjustments (consisting of normal recurring adjustments) which are, in the opinion of the Company’s management, necessary for a fair presentation of financial position, results of operations and cash flows. All financial statement disclosures related to the nine month period ended September 30, 2003 and 2004 are unaudited.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234" w:lineRule="exact"/>
        <w:rPr>
          <w:sz w:val="20"/>
          <w:szCs w:val="20"/>
          <w:color w:val="auto"/>
        </w:rPr>
      </w:pPr>
    </w:p>
    <w:p>
      <w:pPr>
        <w:ind w:right="820"/>
        <w:spacing w:after="0" w:line="286" w:lineRule="auto"/>
        <w:rPr>
          <w:sz w:val="20"/>
          <w:szCs w:val="20"/>
          <w:color w:val="auto"/>
        </w:rPr>
      </w:pPr>
      <w:r>
        <w:rPr>
          <w:rFonts w:ascii="Arial" w:cs="Arial" w:eastAsia="Arial" w:hAnsi="Arial"/>
          <w:sz w:val="17"/>
          <w:szCs w:val="17"/>
          <w:color w:val="auto"/>
        </w:rPr>
        <w:t>The consolidated financial statements include the accounts of the Company and its wholly-owned subsidiaries. All significant intercompany balances and transactions have been eliminated in consolidation.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3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requires management to make estimates and assumptions. These estimates and assumptions affect the reported amounts of assets and liabilities and disclosure of contingent assets and liabilities at the date of the financial statements, as well as the reported amounts of revenues and expenses during the reporting periods. Areas of the financial statements where estimates may have the most significant effect include the allowance for doubtful accounts receivable, lives of tangible and intangible assets, impairment of long-lived assets, realization of the deferred tax asset, stock option compensation, revenue recognition and provisions for income taxes. Changes in the facts or circumstances underlying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auto"/>
        </w:rPr>
        <w:t>these estimates could result in material changes and actual results could differ from these estimates.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23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revenue is generated primarily by licensing its software products and providing support, training, consulting, technical, hosted software applications and other professional services for those products. The Company recognizes revenue in accordance with SOP 97-2, “Software Revenue Recognition”, as modified by SOPs 98-4 and 98-9, as well as Technical Practice Aids issued from time to time by American Institute of Certified Public Accountants, and in accordance with the SEC Staff Accounting Bulletin No. (“SAB”) 104, “Revenue Recognition in Financial Statements”.</w:t>
      </w:r>
    </w:p>
    <w:p>
      <w:pPr>
        <w:spacing w:after="0" w:line="18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Under these pronouncements, the Company recognizes revenue from the license of software when persuasive evidence of an arrangement exists, the product has been delivered, the fee is fixed and determinable and collection of the resulting receivable is probable. The Company uses a signed agreement as evidence of an arrangement. Delivery occurs when the product is delivered. The Company’s typical license agreement does not include customer acceptance provisions; if acceptance provisions are provided, delivery is deemed to occur upon acceptance. The Company considers the fee to be fixed or determinable unless the fee is subject to refund or adjustment or is not payable within the Company’s standard payment terms. The Company considers payment terms greater than 90 days to be beyond its customary payment terms. The Company deems collection probable if the Company expects that the customer will be able to pay amounts under the arrangement as they become due. If the Company determines that collection is not probable, the Company postpones recognition of the revenue until cash collection. The Company sells software licenses with maintenance and, often times, professional services. The Company allocates revenue to delivered components, normally the license component of the arrangement, using the residual value method based on objective evidence of the fair value of the undelivered elements, which is specific to the Company. Fair value for the maintenance services associated with the Company’s software licenses is based upon renewal rates stated in the Company’s agreements which vary according to the level of the maintenance program. Fair value of professional services and other products and services is based on sales of these products and services to other customers when sold on a stand alone basis.</w:t>
      </w:r>
    </w:p>
    <w:p>
      <w:pPr>
        <w:spacing w:after="0" w:line="17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Company recognizes revenue from maintenance services ratably over the contract term, which is one year. Maintenance revenue also includes the right to unspecified product upgrades on an if-and-when available basis. Subscription revenue includes fees for hosted solutions, data enrichment services and hosted online training programs. Subscription-based revenue and any related set-up fees are recognized ratably over the twelve-month service period of the contracts as there is no discernible pattern of usage.</w:t>
      </w:r>
    </w:p>
    <w:p>
      <w:pPr>
        <w:spacing w:after="0" w:line="18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Company’s services, which include consulting, installation and implementation services, are generally billed based on hourly rates plus reimbursable travel and lodging related expenses. For small service engagements, less than $10,000, the Company frequently contracts for and bills based on a fixed fee plus reimbursable travel and lodging related expenses. The Company recognizes this revenue upon completion of the work performed. When the Company’s services include software customization, these services are provided to support customer requests for assistance in creating special reports and other minor enhancements that will assist with efforts to improve operational efficiency and/or to support business process improvements. These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04" w:name="page105"/>
    <w:bookmarkEnd w:id="104"/>
    <w:p>
      <w:pPr>
        <w:ind w:right="460"/>
        <w:spacing w:after="0" w:line="286" w:lineRule="auto"/>
        <w:rPr>
          <w:sz w:val="20"/>
          <w:szCs w:val="20"/>
          <w:color w:val="auto"/>
        </w:rPr>
      </w:pPr>
      <w:r>
        <w:rPr>
          <w:rFonts w:ascii="Arial" w:cs="Arial" w:eastAsia="Arial" w:hAnsi="Arial"/>
          <w:sz w:val="17"/>
          <w:szCs w:val="17"/>
          <w:color w:val="auto"/>
        </w:rPr>
        <w:t>services are not essential to the functionality of the Company’s software and rarely exceed three months in duration. The Company recognizes revenue as these services are performed.</w:t>
      </w:r>
    </w:p>
    <w:p>
      <w:pPr>
        <w:spacing w:after="0" w:line="169"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The Company sells training at a fixed rate for each specific class, at a per attendee price, or at a packaged price for several attendees, and revenue is recognized only upon the customer attending and completing training. The Company recognizes revenue from donor prospect research and data modeling services engagements upon delivery.</w:t>
      </w:r>
    </w:p>
    <w:p>
      <w:pPr>
        <w:spacing w:after="0" w:line="180"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To the extent that the Company’s customers are billed and/or pay for the above described services in advance of delivery, the amounts are recorded in deferred revenue.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 liquid investments purchased with a maturity of three months or less to be cash equivalents.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Property and equipment are recorded at cost and depreciated over their estimated useful lives using the straight-line method. Property and equipment subject to capital leases are depreciated over the term of the lease. Upon retirement or sale, the cost of assets disposed of and the related accumulated depreciation are removed from the accounts and any resulting gain or loss is credited or charged to income. Repair and maintenance costs are expensed as incurred.</w:t>
      </w:r>
    </w:p>
    <w:p>
      <w:pPr>
        <w:spacing w:after="0" w:line="164" w:lineRule="exact"/>
        <w:rPr>
          <w:sz w:val="20"/>
          <w:szCs w:val="20"/>
          <w:color w:val="auto"/>
        </w:rPr>
      </w:pPr>
    </w:p>
    <w:p>
      <w:pPr>
        <w:ind w:right="100"/>
        <w:spacing w:after="0" w:line="325" w:lineRule="auto"/>
        <w:rPr>
          <w:sz w:val="20"/>
          <w:szCs w:val="20"/>
          <w:color w:val="auto"/>
        </w:rPr>
      </w:pPr>
      <w:r>
        <w:rPr>
          <w:rFonts w:ascii="Arial" w:cs="Arial" w:eastAsia="Arial" w:hAnsi="Arial"/>
          <w:sz w:val="15"/>
          <w:szCs w:val="15"/>
          <w:color w:val="auto"/>
        </w:rPr>
        <w:t>Construction-in-progress represents purchases of computer software and hardware associated with new internal system implementation projects, which had not been placed in service at the respective balance sheet dates. These assets are transferred to the applicable property category on the date they are placed in service. There was no capitalized interest applicable to construction-in-process for the years ended December 31, 2002 and 2003 or the nine months ended September 30, 2004.</w:t>
      </w:r>
    </w:p>
    <w:p>
      <w:pPr>
        <w:spacing w:after="0" w:line="14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Computer software costs represent software purchased from external sources for use in the Company’s internal operations. These amounts have been accounted for in accordance with the American Institute of Certified Public Accountants Statement of Position (“SOP”) 98-1, “Accounting For The Cost of Computer Software Developed or Obtained for Internal Use”.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234"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In 2002, Statement of Financial Accounting Standards (“SFAS”) No. 142, “Goodwill and Other Intangible Assets”, became effective. Under this new standard, the Financial Accounting Standards Board (“FASB”) eliminated amortization of goodwill. In accordance with SFAS No. 142, goodwill is no longer amortized, but instead is tested for impairment at least annually in the fourth quarter of each year using a discounted cash flow valuation methodology. Other intangible assets with finite lives continue to be amortized over their useful lives of three years in accordance with the adoption of SFAS No. 142, “Accounting for the Impairment or Disposal of Long-Lived Assets”.</w:t>
      </w:r>
    </w:p>
    <w:p>
      <w:pPr>
        <w:spacing w:after="0" w:line="18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Identifiable intangible assets, namely technology and customer lists, that arose in connection with acquisitions have been amortized over their estimated useful lives ranging from three to five years.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23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fair value of a financial instrument is the amount at which the instrument could be exchanged in a current transaction between willing parties other than in a forced sale or liquidation. The financial instruments of the Company consist primarily of cash and cash equivalents, accounts receivable, accounts payable, long-term debt and capital leases at December 31, 2002 and 2003. The Company believes that the carrying amounts of these financial instruments, with the exception of long-term debt, approximate their fair values due to the immediate or short-term term maturity of these financial instruments at December 31, 2002 and 2003. Since the variable interest rate on the Company’s long-term debt is set for a maximum of 30 days, the Company believes that the carrying value of long-term debt approximates fair value at December 31, 2002 and 2003. The Company paid off its term loan in the first calendar quarter of 2004 and there is no debt outstanding at September 30, 2004.</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financing fees</w:t>
      </w:r>
    </w:p>
    <w:p>
      <w:pPr>
        <w:spacing w:after="0" w:line="234" w:lineRule="exact"/>
        <w:rPr>
          <w:sz w:val="20"/>
          <w:szCs w:val="20"/>
          <w:color w:val="auto"/>
        </w:rPr>
      </w:pPr>
    </w:p>
    <w:p>
      <w:pPr>
        <w:ind w:right="360"/>
        <w:spacing w:after="0" w:line="290" w:lineRule="auto"/>
        <w:rPr>
          <w:sz w:val="20"/>
          <w:szCs w:val="20"/>
          <w:color w:val="auto"/>
        </w:rPr>
      </w:pPr>
      <w:r>
        <w:rPr>
          <w:rFonts w:ascii="Arial" w:cs="Arial" w:eastAsia="Arial" w:hAnsi="Arial"/>
          <w:sz w:val="16"/>
          <w:szCs w:val="16"/>
          <w:color w:val="auto"/>
        </w:rPr>
        <w:t>Deferred financing fees represent the direct costs of entering into the Company’s credit agreement in October 1999 and its revolving credit facility in September 2004. These costs are amortized as interest expense using the effective interest method. The principal balance of the term loan was paid off in the first calendar quarter of 2004, accordingly the remaining deferred financing fees related to the term loan, were fully recognized as expense in the three month period ended March 31, 2004. The deferred financing fees related to the revolving credit facility will be amortized over the term of the credit facility.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and stock-based compensation plans</w:t>
      </w:r>
    </w:p>
    <w:p>
      <w:pPr>
        <w:spacing w:after="0" w:line="23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Company accounts for stock option compensation based on the provisions of Accounting Principles Board Opinion (“APB”) No. 25, “Accounting for Stock Issued to Employees”, which states that no compensation expense is recorded for stock options or other stock-based awards to employees that are granted with an exercise price equal to or above the estimated fair value per share of the Company’s common stock on the grant date. Certain of the Company’s option grants are accounted for as variable awards under the provisions of APB No. 25. The provision requires the Company to account for these variable awards and record deferred compensation for the difference between the exercise price and the fair market value of the stock at each reporting date.</w:t>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Deferred compensation is amortized using the accelerated method over the vesting period of the related stock option in accordance with FASB Interpretation No. (“FIN”) 28. The Company recognized $27,538,000 of stock option compensation expense related to amortization of deferred compensation during the year ended December 31, 2003. The Company has adopted the disclosure requirements of SFAS No. 123, “Accounting for Stock-Based Compensation”, as amended by SFAS No. 148, “Accounting for Stock Based Compensation Transition and Disclosure”, which requires compensation expense to be disclosed based on the fair value of the options granted at the date of the grant.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106" w:name="page107"/>
    <w:bookmarkEnd w:id="106"/>
    <w:p>
      <w:pPr>
        <w:ind w:right="380"/>
        <w:spacing w:after="0" w:line="286" w:lineRule="auto"/>
        <w:rPr>
          <w:sz w:val="20"/>
          <w:szCs w:val="20"/>
          <w:color w:val="auto"/>
        </w:rPr>
      </w:pPr>
      <w:r>
        <w:rPr>
          <w:rFonts w:ascii="Arial" w:cs="Arial" w:eastAsia="Arial" w:hAnsi="Arial"/>
          <w:sz w:val="17"/>
          <w:szCs w:val="17"/>
          <w:color w:val="auto"/>
        </w:rPr>
        <w:t>Had compensation cost been determined under the market value method using Black-Scholes valuation principles, net income (loss) would have been decreased (increased) to the following pro forma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314325</wp:posOffset>
            </wp:positionV>
            <wp:extent cx="65182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60" w:type="dxa"/>
            <w:vAlign w:val="bottom"/>
            <w:gridSpan w:val="3"/>
          </w:tcPr>
          <w:p>
            <w:pPr>
              <w:jc w:val="center"/>
              <w:ind w:right="276"/>
              <w:spacing w:after="0"/>
              <w:rPr>
                <w:sz w:val="20"/>
                <w:szCs w:val="20"/>
                <w:color w:val="auto"/>
              </w:rPr>
            </w:pPr>
            <w:r>
              <w:rPr>
                <w:rFonts w:ascii="Arial" w:cs="Arial" w:eastAsia="Arial" w:hAnsi="Arial"/>
                <w:sz w:val="13"/>
                <w:szCs w:val="13"/>
                <w:b w:val="1"/>
                <w:bCs w:val="1"/>
                <w:color w:val="auto"/>
                <w:w w:val="89"/>
              </w:rPr>
              <w:t>Nine months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Year ended December 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jc w:val="center"/>
              <w:ind w:left="359"/>
              <w:spacing w:after="0"/>
              <w:rPr>
                <w:sz w:val="20"/>
                <w:szCs w:val="20"/>
                <w:color w:val="auto"/>
              </w:rPr>
            </w:pPr>
            <w:r>
              <w:rPr>
                <w:rFonts w:ascii="Arial" w:cs="Arial" w:eastAsia="Arial" w:hAnsi="Arial"/>
                <w:sz w:val="13"/>
                <w:szCs w:val="13"/>
                <w:b w:val="1"/>
                <w:bCs w:val="1"/>
                <w:color w:val="auto"/>
                <w:w w:val="89"/>
              </w:rPr>
              <w:t>September 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20" w:type="dxa"/>
            <w:vAlign w:val="bottom"/>
          </w:tcPr>
          <w:p>
            <w:pPr>
              <w:ind w:left="880"/>
              <w:spacing w:after="0"/>
              <w:rPr>
                <w:sz w:val="20"/>
                <w:szCs w:val="20"/>
                <w:color w:val="auto"/>
              </w:rPr>
            </w:pPr>
            <w:r>
              <w:rPr>
                <w:rFonts w:ascii="Arial" w:cs="Arial" w:eastAsia="Arial" w:hAnsi="Arial"/>
                <w:sz w:val="13"/>
                <w:szCs w:val="13"/>
                <w:b w:val="1"/>
                <w:bCs w:val="1"/>
                <w:color w:val="auto"/>
              </w:rPr>
              <w:t>(in thousands, except share amounts)</w:t>
            </w:r>
          </w:p>
        </w:tc>
        <w:tc>
          <w:tcPr>
            <w:tcW w:w="240" w:type="dxa"/>
            <w:vAlign w:val="bottom"/>
          </w:tcPr>
          <w:p>
            <w:pPr>
              <w:spacing w:after="0"/>
              <w:rPr>
                <w:sz w:val="22"/>
                <w:szCs w:val="22"/>
                <w:color w:val="auto"/>
              </w:rPr>
            </w:pPr>
          </w:p>
        </w:tc>
        <w:tc>
          <w:tcPr>
            <w:tcW w:w="620" w:type="dxa"/>
            <w:vAlign w:val="bottom"/>
          </w:tcPr>
          <w:p>
            <w:pPr>
              <w:jc w:val="right"/>
              <w:ind w:right="176"/>
              <w:spacing w:after="0"/>
              <w:rPr>
                <w:sz w:val="20"/>
                <w:szCs w:val="20"/>
                <w:color w:val="auto"/>
              </w:rPr>
            </w:pPr>
            <w:r>
              <w:rPr>
                <w:rFonts w:ascii="Arial" w:cs="Arial" w:eastAsia="Arial" w:hAnsi="Arial"/>
                <w:sz w:val="13"/>
                <w:szCs w:val="13"/>
                <w:b w:val="1"/>
                <w:bCs w:val="1"/>
                <w:color w:val="auto"/>
              </w:rPr>
              <w:t>2001</w:t>
            </w:r>
          </w:p>
        </w:tc>
        <w:tc>
          <w:tcPr>
            <w:tcW w:w="560" w:type="dxa"/>
            <w:vAlign w:val="bottom"/>
          </w:tcPr>
          <w:p>
            <w:pPr>
              <w:spacing w:after="0"/>
              <w:rPr>
                <w:sz w:val="22"/>
                <w:szCs w:val="22"/>
                <w:color w:val="auto"/>
              </w:rPr>
            </w:pPr>
          </w:p>
        </w:tc>
        <w:tc>
          <w:tcPr>
            <w:tcW w:w="1060" w:type="dxa"/>
            <w:vAlign w:val="bottom"/>
          </w:tcPr>
          <w:p>
            <w:pPr>
              <w:jc w:val="right"/>
              <w:ind w:right="616"/>
              <w:spacing w:after="0"/>
              <w:rPr>
                <w:sz w:val="20"/>
                <w:szCs w:val="20"/>
                <w:color w:val="auto"/>
              </w:rPr>
            </w:pPr>
            <w:r>
              <w:rPr>
                <w:rFonts w:ascii="Arial" w:cs="Arial" w:eastAsia="Arial" w:hAnsi="Arial"/>
                <w:sz w:val="13"/>
                <w:szCs w:val="13"/>
                <w:b w:val="1"/>
                <w:bCs w:val="1"/>
                <w:color w:val="auto"/>
              </w:rPr>
              <w:t>2002</w:t>
            </w:r>
          </w:p>
        </w:tc>
        <w:tc>
          <w:tcPr>
            <w:tcW w:w="140" w:type="dxa"/>
            <w:vAlign w:val="bottom"/>
          </w:tcPr>
          <w:p>
            <w:pPr>
              <w:spacing w:after="0"/>
              <w:rPr>
                <w:sz w:val="22"/>
                <w:szCs w:val="22"/>
                <w:color w:val="auto"/>
              </w:rPr>
            </w:pPr>
          </w:p>
        </w:tc>
        <w:tc>
          <w:tcPr>
            <w:tcW w:w="780" w:type="dxa"/>
            <w:vAlign w:val="bottom"/>
          </w:tcPr>
          <w:p>
            <w:pPr>
              <w:jc w:val="right"/>
              <w:ind w:right="296"/>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jc w:val="right"/>
              <w:ind w:right="99"/>
              <w:spacing w:after="0"/>
              <w:rPr>
                <w:sz w:val="20"/>
                <w:szCs w:val="20"/>
                <w:color w:val="auto"/>
              </w:rPr>
            </w:pPr>
            <w:r>
              <w:rPr>
                <w:rFonts w:ascii="Arial" w:cs="Arial" w:eastAsia="Arial" w:hAnsi="Arial"/>
                <w:sz w:val="13"/>
                <w:szCs w:val="13"/>
                <w:b w:val="1"/>
                <w:bCs w:val="1"/>
                <w:color w:val="auto"/>
              </w:rPr>
              <w:t>2003</w:t>
            </w:r>
          </w:p>
        </w:tc>
        <w:tc>
          <w:tcPr>
            <w:tcW w:w="820" w:type="dxa"/>
            <w:vAlign w:val="bottom"/>
          </w:tcPr>
          <w:p>
            <w:pPr>
              <w:spacing w:after="0"/>
              <w:rPr>
                <w:sz w:val="22"/>
                <w:szCs w:val="22"/>
                <w:color w:val="auto"/>
              </w:rPr>
            </w:pPr>
          </w:p>
        </w:tc>
        <w:tc>
          <w:tcPr>
            <w:tcW w:w="800" w:type="dxa"/>
            <w:vAlign w:val="bottom"/>
          </w:tcPr>
          <w:p>
            <w:pPr>
              <w:jc w:val="right"/>
              <w:ind w:right="356"/>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1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Net income (loss), as reported</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w w:val="98"/>
              </w:rPr>
              <w:t>8,906</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496"/>
              <w:spacing w:after="0"/>
              <w:rPr>
                <w:sz w:val="20"/>
                <w:szCs w:val="20"/>
                <w:color w:val="auto"/>
              </w:rPr>
            </w:pPr>
            <w:r>
              <w:rPr>
                <w:rFonts w:ascii="Arial" w:cs="Arial" w:eastAsia="Arial" w:hAnsi="Arial"/>
                <w:sz w:val="17"/>
                <w:szCs w:val="17"/>
                <w:color w:val="auto"/>
                <w:w w:val="88"/>
              </w:rPr>
              <w:t>15,640</w:t>
            </w:r>
          </w:p>
        </w:tc>
        <w:tc>
          <w:tcPr>
            <w:tcW w:w="1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(478)</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(349)</w:t>
            </w:r>
          </w:p>
        </w:tc>
        <w:tc>
          <w:tcPr>
            <w:tcW w:w="8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4"/>
              </w:rPr>
              <w:t>16,927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20"/>
                <w:szCs w:val="20"/>
                <w:color w:val="auto"/>
              </w:rPr>
            </w:pPr>
            <w:r>
              <w:rPr>
                <w:rFonts w:ascii="Arial" w:cs="Arial" w:eastAsia="Arial" w:hAnsi="Arial"/>
                <w:sz w:val="17"/>
                <w:szCs w:val="17"/>
                <w:color w:val="auto"/>
                <w:w w:val="98"/>
              </w:rPr>
              <w:t>Total stock option compensation expense (income), net</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7"/>
                <w:szCs w:val="17"/>
                <w:color w:val="auto"/>
              </w:rPr>
              <w:t>of related tax effects included in the determination of</w:t>
            </w: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7"/>
                <w:szCs w:val="17"/>
                <w:color w:val="auto"/>
              </w:rPr>
              <w:t>net income (loss) as reported</w:t>
            </w:r>
          </w:p>
        </w:tc>
        <w:tc>
          <w:tcPr>
            <w:tcW w:w="2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1060" w:type="dxa"/>
            <w:vAlign w:val="bottom"/>
          </w:tcPr>
          <w:p>
            <w:pPr>
              <w:jc w:val="right"/>
              <w:ind w:right="49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80" w:type="dxa"/>
            <w:vAlign w:val="bottom"/>
          </w:tcPr>
          <w:p>
            <w:pPr>
              <w:jc w:val="right"/>
              <w:ind w:right="156"/>
              <w:spacing w:after="0"/>
              <w:rPr>
                <w:sz w:val="20"/>
                <w:szCs w:val="20"/>
                <w:color w:val="auto"/>
              </w:rPr>
            </w:pPr>
            <w:r>
              <w:rPr>
                <w:rFonts w:ascii="Arial" w:cs="Arial" w:eastAsia="Arial" w:hAnsi="Arial"/>
                <w:sz w:val="17"/>
                <w:szCs w:val="17"/>
                <w:color w:val="auto"/>
                <w:w w:val="99"/>
              </w:rPr>
              <w:t>19,855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14,760</w:t>
            </w:r>
          </w:p>
        </w:tc>
        <w:tc>
          <w:tcPr>
            <w:tcW w:w="820" w:type="dxa"/>
            <w:vAlign w:val="bottom"/>
          </w:tcPr>
          <w:p>
            <w:pPr>
              <w:spacing w:after="0"/>
              <w:rPr>
                <w:sz w:val="18"/>
                <w:szCs w:val="18"/>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w w:val="97"/>
              </w:rPr>
              <w:t>Total stock option compensation expense, net of related</w:t>
            </w:r>
          </w:p>
        </w:tc>
        <w:tc>
          <w:tcPr>
            <w:tcW w:w="2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tax effects that would have been included in the</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determination of net income (loss) if the fair value</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20" w:type="dxa"/>
            <w:vAlign w:val="bottom"/>
            <w:shd w:val="clear" w:color="auto" w:fill="EEEEEE"/>
          </w:tcPr>
          <w:p>
            <w:pPr>
              <w:ind w:left="120"/>
              <w:spacing w:after="0"/>
              <w:rPr>
                <w:sz w:val="20"/>
                <w:szCs w:val="20"/>
                <w:color w:val="auto"/>
              </w:rPr>
            </w:pPr>
            <w:r>
              <w:rPr>
                <w:rFonts w:ascii="Arial" w:cs="Arial" w:eastAsia="Arial" w:hAnsi="Arial"/>
                <w:sz w:val="17"/>
                <w:szCs w:val="17"/>
                <w:color w:val="auto"/>
              </w:rPr>
              <w:t>method had been applied to all awards</w:t>
            </w:r>
          </w:p>
        </w:tc>
        <w:tc>
          <w:tcPr>
            <w:tcW w:w="240" w:type="dxa"/>
            <w:vAlign w:val="bottom"/>
            <w:shd w:val="clear" w:color="auto" w:fill="EEEEEE"/>
          </w:tcPr>
          <w:p>
            <w:pPr>
              <w:spacing w:after="0"/>
              <w:rPr>
                <w:sz w:val="19"/>
                <w:szCs w:val="19"/>
                <w:color w:val="auto"/>
              </w:rPr>
            </w:pPr>
          </w:p>
        </w:tc>
        <w:tc>
          <w:tcPr>
            <w:tcW w:w="620" w:type="dxa"/>
            <w:vAlign w:val="bottom"/>
            <w:shd w:val="clear" w:color="auto" w:fill="EEEEEE"/>
          </w:tcPr>
          <w:p>
            <w:pPr>
              <w:jc w:val="right"/>
              <w:ind w:right="36"/>
              <w:spacing w:after="0"/>
              <w:rPr>
                <w:sz w:val="20"/>
                <w:szCs w:val="20"/>
                <w:color w:val="auto"/>
              </w:rPr>
            </w:pPr>
            <w:r>
              <w:rPr>
                <w:rFonts w:ascii="Arial" w:cs="Arial" w:eastAsia="Arial" w:hAnsi="Arial"/>
                <w:sz w:val="17"/>
                <w:szCs w:val="17"/>
                <w:color w:val="auto"/>
                <w:w w:val="89"/>
              </w:rPr>
              <w:t>(2,462)</w:t>
            </w:r>
          </w:p>
        </w:tc>
        <w:tc>
          <w:tcPr>
            <w:tcW w:w="560" w:type="dxa"/>
            <w:vAlign w:val="bottom"/>
            <w:shd w:val="clear" w:color="auto" w:fill="EEEEEE"/>
          </w:tcPr>
          <w:p>
            <w:pPr>
              <w:spacing w:after="0"/>
              <w:rPr>
                <w:sz w:val="19"/>
                <w:szCs w:val="19"/>
                <w:color w:val="auto"/>
              </w:rPr>
            </w:pPr>
          </w:p>
        </w:tc>
        <w:tc>
          <w:tcPr>
            <w:tcW w:w="1060" w:type="dxa"/>
            <w:vAlign w:val="bottom"/>
            <w:shd w:val="clear" w:color="auto" w:fill="EEEEEE"/>
          </w:tcPr>
          <w:p>
            <w:pPr>
              <w:jc w:val="right"/>
              <w:ind w:right="436"/>
              <w:spacing w:after="0"/>
              <w:rPr>
                <w:sz w:val="20"/>
                <w:szCs w:val="20"/>
                <w:color w:val="auto"/>
              </w:rPr>
            </w:pPr>
            <w:r>
              <w:rPr>
                <w:rFonts w:ascii="Arial" w:cs="Arial" w:eastAsia="Arial" w:hAnsi="Arial"/>
                <w:sz w:val="17"/>
                <w:szCs w:val="17"/>
                <w:color w:val="auto"/>
                <w:w w:val="96"/>
              </w:rPr>
              <w:t>(1,636)</w:t>
            </w:r>
          </w:p>
        </w:tc>
        <w:tc>
          <w:tcPr>
            <w:tcW w:w="140" w:type="dxa"/>
            <w:vAlign w:val="bottom"/>
            <w:shd w:val="clear" w:color="auto" w:fill="EEEEEE"/>
          </w:tcPr>
          <w:p>
            <w:pPr>
              <w:spacing w:after="0"/>
              <w:rPr>
                <w:sz w:val="19"/>
                <w:szCs w:val="19"/>
                <w:color w:val="auto"/>
              </w:rPr>
            </w:pPr>
          </w:p>
        </w:tc>
        <w:tc>
          <w:tcPr>
            <w:tcW w:w="7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w w:val="91"/>
              </w:rPr>
              <w:t>(13,525)</w:t>
            </w: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w w:val="92"/>
              </w:rPr>
              <w:t>(9,796)</w:t>
            </w:r>
          </w:p>
        </w:tc>
        <w:tc>
          <w:tcPr>
            <w:tcW w:w="820" w:type="dxa"/>
            <w:vAlign w:val="bottom"/>
            <w:shd w:val="clear" w:color="auto" w:fill="EEEEEE"/>
          </w:tcPr>
          <w:p>
            <w:pPr>
              <w:spacing w:after="0"/>
              <w:rPr>
                <w:sz w:val="19"/>
                <w:szCs w:val="19"/>
                <w:color w:val="auto"/>
              </w:rPr>
            </w:pPr>
          </w:p>
        </w:tc>
        <w:tc>
          <w:tcPr>
            <w:tcW w:w="800" w:type="dxa"/>
            <w:vAlign w:val="bottom"/>
            <w:shd w:val="clear" w:color="auto" w:fill="EEEEEE"/>
          </w:tcPr>
          <w:p>
            <w:pPr>
              <w:jc w:val="right"/>
              <w:ind w:right="196"/>
              <w:spacing w:after="0"/>
              <w:rPr>
                <w:sz w:val="20"/>
                <w:szCs w:val="20"/>
                <w:color w:val="auto"/>
              </w:rPr>
            </w:pPr>
            <w:r>
              <w:rPr>
                <w:rFonts w:ascii="Arial" w:cs="Arial" w:eastAsia="Arial" w:hAnsi="Arial"/>
                <w:sz w:val="17"/>
                <w:szCs w:val="17"/>
                <w:color w:val="auto"/>
                <w:w w:val="92"/>
              </w:rPr>
              <w:t>(3,063)</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Pro forma 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w w:val="98"/>
              </w:rPr>
              <w:t>6,444</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496"/>
              <w:spacing w:after="0"/>
              <w:rPr>
                <w:sz w:val="20"/>
                <w:szCs w:val="20"/>
                <w:color w:val="auto"/>
              </w:rPr>
            </w:pPr>
            <w:r>
              <w:rPr>
                <w:rFonts w:ascii="Arial" w:cs="Arial" w:eastAsia="Arial" w:hAnsi="Arial"/>
                <w:sz w:val="17"/>
                <w:szCs w:val="17"/>
                <w:color w:val="auto"/>
                <w:w w:val="88"/>
              </w:rPr>
              <w:t>14,004</w:t>
            </w:r>
          </w:p>
        </w:tc>
        <w:tc>
          <w:tcPr>
            <w:tcW w:w="1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5,852</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4,615</w:t>
            </w:r>
          </w:p>
        </w:tc>
        <w:tc>
          <w:tcPr>
            <w:tcW w:w="8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4"/>
              </w:rPr>
              <w:t>13,350</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20" w:type="dxa"/>
            <w:vAlign w:val="bottom"/>
            <w:shd w:val="clear" w:color="auto" w:fill="EEEEEE"/>
          </w:tcPr>
          <w:p>
            <w:pPr>
              <w:spacing w:after="0"/>
              <w:rPr>
                <w:sz w:val="20"/>
                <w:szCs w:val="20"/>
                <w:color w:val="auto"/>
              </w:rPr>
            </w:pPr>
            <w:r>
              <w:rPr>
                <w:rFonts w:ascii="Arial" w:cs="Arial" w:eastAsia="Arial" w:hAnsi="Arial"/>
                <w:sz w:val="17"/>
                <w:szCs w:val="17"/>
                <w:color w:val="auto"/>
              </w:rPr>
              <w:t>Earnings (loss) per share:</w:t>
            </w:r>
          </w:p>
        </w:tc>
        <w:tc>
          <w:tcPr>
            <w:tcW w:w="2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7"/>
                <w:szCs w:val="17"/>
                <w:color w:val="auto"/>
              </w:rPr>
              <w:t>Basic, as reported</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6"/>
              <w:spacing w:after="0"/>
              <w:rPr>
                <w:sz w:val="20"/>
                <w:szCs w:val="20"/>
                <w:color w:val="auto"/>
              </w:rPr>
            </w:pPr>
            <w:r>
              <w:rPr>
                <w:rFonts w:ascii="Arial" w:cs="Arial" w:eastAsia="Arial" w:hAnsi="Arial"/>
                <w:sz w:val="17"/>
                <w:szCs w:val="17"/>
                <w:color w:val="auto"/>
              </w:rPr>
              <w:t>0.21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96"/>
              <w:spacing w:after="0"/>
              <w:rPr>
                <w:sz w:val="20"/>
                <w:szCs w:val="20"/>
                <w:color w:val="auto"/>
              </w:rPr>
            </w:pPr>
            <w:r>
              <w:rPr>
                <w:rFonts w:ascii="Arial" w:cs="Arial" w:eastAsia="Arial" w:hAnsi="Arial"/>
                <w:sz w:val="17"/>
                <w:szCs w:val="17"/>
                <w:color w:val="auto"/>
              </w:rPr>
              <w:t>0.37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96"/>
              <w:spacing w:after="0"/>
              <w:rPr>
                <w:sz w:val="20"/>
                <w:szCs w:val="20"/>
                <w:color w:val="auto"/>
              </w:rPr>
            </w:pPr>
            <w:r>
              <w:rPr>
                <w:rFonts w:ascii="Arial" w:cs="Arial" w:eastAsia="Arial" w:hAnsi="Arial"/>
                <w:sz w:val="17"/>
                <w:szCs w:val="17"/>
                <w:color w:val="auto"/>
              </w:rPr>
              <w:t>(0.01)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(0.01)</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EEEEEE"/>
          </w:tcPr>
          <w:p>
            <w:pPr>
              <w:ind w:left="220"/>
              <w:spacing w:after="0"/>
              <w:rPr>
                <w:sz w:val="20"/>
                <w:szCs w:val="20"/>
                <w:color w:val="auto"/>
              </w:rPr>
            </w:pPr>
            <w:r>
              <w:rPr>
                <w:rFonts w:ascii="Arial" w:cs="Arial" w:eastAsia="Arial" w:hAnsi="Arial"/>
                <w:sz w:val="17"/>
                <w:szCs w:val="17"/>
                <w:color w:val="auto"/>
              </w:rPr>
              <w:t>Basic, pro forma</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0.16</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496"/>
              <w:spacing w:after="0"/>
              <w:rPr>
                <w:sz w:val="20"/>
                <w:szCs w:val="20"/>
                <w:color w:val="auto"/>
              </w:rPr>
            </w:pPr>
            <w:r>
              <w:rPr>
                <w:rFonts w:ascii="Arial" w:cs="Arial" w:eastAsia="Arial" w:hAnsi="Arial"/>
                <w:sz w:val="17"/>
                <w:szCs w:val="17"/>
                <w:color w:val="auto"/>
              </w:rPr>
              <w:t>0.33</w:t>
            </w:r>
          </w:p>
        </w:tc>
        <w:tc>
          <w:tcPr>
            <w:tcW w:w="1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0.14</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0.11</w:t>
            </w:r>
          </w:p>
        </w:tc>
        <w:tc>
          <w:tcPr>
            <w:tcW w:w="8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0.31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tcPr>
          <w:p>
            <w:pPr>
              <w:ind w:left="220"/>
              <w:spacing w:after="0"/>
              <w:rPr>
                <w:sz w:val="20"/>
                <w:szCs w:val="20"/>
                <w:color w:val="auto"/>
              </w:rPr>
            </w:pPr>
            <w:r>
              <w:rPr>
                <w:rFonts w:ascii="Arial" w:cs="Arial" w:eastAsia="Arial" w:hAnsi="Arial"/>
                <w:sz w:val="17"/>
                <w:szCs w:val="17"/>
                <w:color w:val="auto"/>
              </w:rPr>
              <w:t>Diluted, as reported</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96"/>
              <w:spacing w:after="0"/>
              <w:rPr>
                <w:sz w:val="20"/>
                <w:szCs w:val="20"/>
                <w:color w:val="auto"/>
              </w:rPr>
            </w:pPr>
            <w:r>
              <w:rPr>
                <w:rFonts w:ascii="Arial" w:cs="Arial" w:eastAsia="Arial" w:hAnsi="Arial"/>
                <w:sz w:val="17"/>
                <w:szCs w:val="17"/>
                <w:color w:val="auto"/>
              </w:rPr>
              <w:t>0.21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496"/>
              <w:spacing w:after="0"/>
              <w:rPr>
                <w:sz w:val="20"/>
                <w:szCs w:val="20"/>
                <w:color w:val="auto"/>
              </w:rPr>
            </w:pPr>
            <w:r>
              <w:rPr>
                <w:rFonts w:ascii="Arial" w:cs="Arial" w:eastAsia="Arial" w:hAnsi="Arial"/>
                <w:sz w:val="17"/>
                <w:szCs w:val="17"/>
                <w:color w:val="auto"/>
              </w:rPr>
              <w:t>0.37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96"/>
              <w:spacing w:after="0"/>
              <w:rPr>
                <w:sz w:val="20"/>
                <w:szCs w:val="20"/>
                <w:color w:val="auto"/>
              </w:rPr>
            </w:pPr>
            <w:r>
              <w:rPr>
                <w:rFonts w:ascii="Arial" w:cs="Arial" w:eastAsia="Arial" w:hAnsi="Arial"/>
                <w:sz w:val="17"/>
                <w:szCs w:val="17"/>
                <w:color w:val="auto"/>
              </w:rPr>
              <w:t>(0.01)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(0.01)</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56"/>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20" w:type="dxa"/>
            <w:vAlign w:val="bottom"/>
            <w:shd w:val="clear" w:color="auto" w:fill="EEEEEE"/>
          </w:tcPr>
          <w:p>
            <w:pPr>
              <w:ind w:left="220"/>
              <w:spacing w:after="0"/>
              <w:rPr>
                <w:sz w:val="20"/>
                <w:szCs w:val="20"/>
                <w:color w:val="auto"/>
              </w:rPr>
            </w:pPr>
            <w:r>
              <w:rPr>
                <w:rFonts w:ascii="Arial" w:cs="Arial" w:eastAsia="Arial" w:hAnsi="Arial"/>
                <w:sz w:val="17"/>
                <w:szCs w:val="17"/>
                <w:color w:val="auto"/>
              </w:rPr>
              <w:t>Diluted, pro forma</w:t>
            </w:r>
          </w:p>
        </w:tc>
        <w:tc>
          <w:tcPr>
            <w:tcW w:w="2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2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0.16</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496"/>
              <w:spacing w:after="0"/>
              <w:rPr>
                <w:sz w:val="20"/>
                <w:szCs w:val="20"/>
                <w:color w:val="auto"/>
              </w:rPr>
            </w:pPr>
            <w:r>
              <w:rPr>
                <w:rFonts w:ascii="Arial" w:cs="Arial" w:eastAsia="Arial" w:hAnsi="Arial"/>
                <w:sz w:val="17"/>
                <w:szCs w:val="17"/>
                <w:color w:val="auto"/>
              </w:rPr>
              <w:t>0.33</w:t>
            </w:r>
          </w:p>
        </w:tc>
        <w:tc>
          <w:tcPr>
            <w:tcW w:w="1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EEEEEE"/>
          </w:tcPr>
          <w:p>
            <w:pPr>
              <w:jc w:val="right"/>
              <w:ind w:right="156"/>
              <w:spacing w:after="0"/>
              <w:rPr>
                <w:sz w:val="20"/>
                <w:szCs w:val="20"/>
                <w:color w:val="auto"/>
              </w:rPr>
            </w:pPr>
            <w:r>
              <w:rPr>
                <w:rFonts w:ascii="Arial" w:cs="Arial" w:eastAsia="Arial" w:hAnsi="Arial"/>
                <w:sz w:val="17"/>
                <w:szCs w:val="17"/>
                <w:color w:val="auto"/>
              </w:rPr>
              <w:t>0.14</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0.10</w:t>
            </w:r>
          </w:p>
        </w:tc>
        <w:tc>
          <w:tcPr>
            <w:tcW w:w="8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0.29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pro forma amount reflects all options granted. Pro forma compensation cost may not be representative of that expected in future years.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Significant assumptions used in the Black-Scholes option pricing model computations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jc w:val="right"/>
              <w:ind w:right="174"/>
              <w:spacing w:after="0"/>
              <w:rPr>
                <w:sz w:val="20"/>
                <w:szCs w:val="20"/>
                <w:color w:val="auto"/>
              </w:rPr>
            </w:pPr>
            <w:r>
              <w:rPr>
                <w:rFonts w:ascii="Arial" w:cs="Arial" w:eastAsia="Arial" w:hAnsi="Arial"/>
                <w:sz w:val="13"/>
                <w:szCs w:val="13"/>
                <w:b w:val="1"/>
                <w:bCs w:val="1"/>
                <w:color w:val="auto"/>
              </w:rPr>
              <w:t>Nine months</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0"/>
        </w:trPr>
        <w:tc>
          <w:tcPr>
            <w:tcW w:w="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80" w:type="dxa"/>
            <w:vAlign w:val="bottom"/>
          </w:tcPr>
          <w:p>
            <w:pPr>
              <w:jc w:val="right"/>
              <w:ind w:right="300"/>
              <w:spacing w:after="0"/>
              <w:rPr>
                <w:sz w:val="20"/>
                <w:szCs w:val="20"/>
                <w:color w:val="auto"/>
              </w:rPr>
            </w:pPr>
            <w:r>
              <w:rPr>
                <w:rFonts w:ascii="Arial" w:cs="Arial" w:eastAsia="Arial" w:hAnsi="Arial"/>
                <w:sz w:val="13"/>
                <w:szCs w:val="13"/>
                <w:b w:val="1"/>
                <w:bCs w:val="1"/>
                <w:color w:val="auto"/>
              </w:rPr>
              <w:t>Year ended December 31,</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b w:val="1"/>
                <w:bCs w:val="1"/>
                <w:color w:val="auto"/>
              </w:rPr>
              <w:t>ended September 30,</w:t>
            </w: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94"/>
        </w:trPr>
        <w:tc>
          <w:tcPr>
            <w:tcW w:w="5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6"/>
        </w:trPr>
        <w:tc>
          <w:tcPr>
            <w:tcW w:w="5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960" w:type="dxa"/>
            <w:vAlign w:val="bottom"/>
          </w:tcPr>
          <w:p>
            <w:pPr>
              <w:jc w:val="right"/>
              <w:ind w:right="358"/>
              <w:spacing w:after="0"/>
              <w:rPr>
                <w:sz w:val="20"/>
                <w:szCs w:val="20"/>
                <w:color w:val="auto"/>
              </w:rPr>
            </w:pPr>
            <w:r>
              <w:rPr>
                <w:rFonts w:ascii="Arial" w:cs="Arial" w:eastAsia="Arial" w:hAnsi="Arial"/>
                <w:sz w:val="13"/>
                <w:szCs w:val="13"/>
                <w:b w:val="1"/>
                <w:bCs w:val="1"/>
                <w:color w:val="auto"/>
              </w:rPr>
              <w:t>2001</w:t>
            </w:r>
          </w:p>
        </w:tc>
        <w:tc>
          <w:tcPr>
            <w:tcW w:w="2180" w:type="dxa"/>
            <w:vAlign w:val="bottom"/>
          </w:tcPr>
          <w:p>
            <w:pPr>
              <w:jc w:val="right"/>
              <w:ind w:right="920"/>
              <w:spacing w:after="0"/>
              <w:rPr>
                <w:sz w:val="20"/>
                <w:szCs w:val="20"/>
                <w:color w:val="auto"/>
              </w:rPr>
            </w:pPr>
            <w:r>
              <w:rPr>
                <w:rFonts w:ascii="Arial" w:cs="Arial" w:eastAsia="Arial" w:hAnsi="Arial"/>
                <w:sz w:val="13"/>
                <w:szCs w:val="13"/>
                <w:b w:val="1"/>
                <w:bCs w:val="1"/>
                <w:color w:val="auto"/>
              </w:rPr>
              <w:t>2002</w:t>
            </w:r>
          </w:p>
        </w:tc>
        <w:tc>
          <w:tcPr>
            <w:tcW w:w="960" w:type="dxa"/>
            <w:vAlign w:val="bottom"/>
          </w:tcPr>
          <w:p>
            <w:pPr>
              <w:jc w:val="right"/>
              <w:ind w:right="218"/>
              <w:spacing w:after="0"/>
              <w:rPr>
                <w:sz w:val="20"/>
                <w:szCs w:val="20"/>
                <w:color w:val="auto"/>
              </w:rPr>
            </w:pPr>
            <w:r>
              <w:rPr>
                <w:rFonts w:ascii="Arial" w:cs="Arial" w:eastAsia="Arial" w:hAnsi="Arial"/>
                <w:sz w:val="13"/>
                <w:szCs w:val="13"/>
                <w:b w:val="1"/>
                <w:bCs w:val="1"/>
                <w:color w:val="auto"/>
              </w:rPr>
              <w:t>2003</w:t>
            </w:r>
          </w:p>
        </w:tc>
        <w:tc>
          <w:tcPr>
            <w:tcW w:w="2380" w:type="dxa"/>
            <w:vAlign w:val="bottom"/>
            <w:gridSpan w:val="2"/>
          </w:tcPr>
          <w:p>
            <w:pPr>
              <w:jc w:val="right"/>
              <w:ind w:right="1214"/>
              <w:spacing w:after="0"/>
              <w:rPr>
                <w:sz w:val="20"/>
                <w:szCs w:val="20"/>
                <w:color w:val="auto"/>
              </w:rPr>
            </w:pPr>
            <w:r>
              <w:rPr>
                <w:rFonts w:ascii="Arial" w:cs="Arial" w:eastAsia="Arial" w:hAnsi="Arial"/>
                <w:sz w:val="13"/>
                <w:szCs w:val="13"/>
                <w:b w:val="1"/>
                <w:bCs w:val="1"/>
                <w:color w:val="auto"/>
              </w:rPr>
              <w:t>2003</w:t>
            </w:r>
          </w:p>
        </w:tc>
        <w:tc>
          <w:tcPr>
            <w:tcW w:w="940" w:type="dxa"/>
            <w:vAlign w:val="bottom"/>
          </w:tcPr>
          <w:p>
            <w:pPr>
              <w:jc w:val="right"/>
              <w:ind w:right="498"/>
              <w:spacing w:after="0"/>
              <w:rPr>
                <w:sz w:val="20"/>
                <w:szCs w:val="20"/>
                <w:color w:val="auto"/>
              </w:rPr>
            </w:pPr>
            <w:r>
              <w:rPr>
                <w:rFonts w:ascii="Arial" w:cs="Arial" w:eastAsia="Arial" w:hAnsi="Arial"/>
                <w:sz w:val="13"/>
                <w:szCs w:val="13"/>
                <w:b w:val="1"/>
                <w:bCs w:val="1"/>
                <w:color w:val="auto"/>
              </w:rPr>
              <w:t>2004</w:t>
            </w:r>
          </w:p>
        </w:tc>
        <w:tc>
          <w:tcPr>
            <w:tcW w:w="560" w:type="dxa"/>
            <w:vAlign w:val="bottom"/>
          </w:tcPr>
          <w:p>
            <w:pPr>
              <w:spacing w:after="0"/>
              <w:rPr>
                <w:sz w:val="22"/>
                <w:szCs w:val="22"/>
                <w:color w:val="auto"/>
              </w:rPr>
            </w:pPr>
          </w:p>
        </w:tc>
      </w:tr>
      <w:tr>
        <w:trPr>
          <w:trHeight w:val="94"/>
        </w:trPr>
        <w:tc>
          <w:tcPr>
            <w:tcW w:w="58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322"/>
        </w:trPr>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jc w:val="right"/>
              <w:ind w:right="194"/>
              <w:spacing w:after="0"/>
              <w:rPr>
                <w:sz w:val="20"/>
                <w:szCs w:val="20"/>
                <w:color w:val="auto"/>
              </w:rPr>
            </w:pPr>
            <w:r>
              <w:rPr>
                <w:rFonts w:ascii="Arial" w:cs="Arial" w:eastAsia="Arial" w:hAnsi="Arial"/>
                <w:sz w:val="13"/>
                <w:szCs w:val="13"/>
                <w:b w:val="1"/>
                <w:bCs w:val="1"/>
                <w:color w:val="auto"/>
              </w:rPr>
              <w:t>(unaudited)</w:t>
            </w: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7"/>
        </w:trPr>
        <w:tc>
          <w:tcPr>
            <w:tcW w:w="580" w:type="dxa"/>
            <w:vAlign w:val="bottom"/>
          </w:tcPr>
          <w:p>
            <w:pPr>
              <w:spacing w:after="0"/>
              <w:rPr>
                <w:sz w:val="19"/>
                <w:szCs w:val="19"/>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7"/>
                <w:szCs w:val="17"/>
                <w:color w:val="auto"/>
              </w:rPr>
              <w:t>Volatility</w:t>
            </w:r>
          </w:p>
        </w:tc>
        <w:tc>
          <w:tcPr>
            <w:tcW w:w="9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rPr>
              <w:t>0.00%</w:t>
            </w:r>
          </w:p>
        </w:tc>
        <w:tc>
          <w:tcPr>
            <w:tcW w:w="2180" w:type="dxa"/>
            <w:vAlign w:val="bottom"/>
            <w:shd w:val="clear" w:color="auto" w:fill="EEEEEE"/>
          </w:tcPr>
          <w:p>
            <w:pPr>
              <w:jc w:val="right"/>
              <w:ind w:right="580"/>
              <w:spacing w:after="0"/>
              <w:rPr>
                <w:sz w:val="20"/>
                <w:szCs w:val="20"/>
                <w:color w:val="auto"/>
              </w:rPr>
            </w:pPr>
            <w:r>
              <w:rPr>
                <w:rFonts w:ascii="Arial" w:cs="Arial" w:eastAsia="Arial" w:hAnsi="Arial"/>
                <w:sz w:val="17"/>
                <w:szCs w:val="17"/>
                <w:color w:val="auto"/>
              </w:rPr>
              <w:t>0.00%</w:t>
            </w:r>
          </w:p>
        </w:tc>
        <w:tc>
          <w:tcPr>
            <w:tcW w:w="960" w:type="dxa"/>
            <w:vAlign w:val="bottom"/>
            <w:shd w:val="clear" w:color="auto" w:fill="EEEEEE"/>
          </w:tcPr>
          <w:p>
            <w:pPr>
              <w:jc w:val="right"/>
              <w:ind w:right="78"/>
              <w:spacing w:after="0"/>
              <w:rPr>
                <w:sz w:val="20"/>
                <w:szCs w:val="20"/>
                <w:color w:val="auto"/>
              </w:rPr>
            </w:pPr>
            <w:r>
              <w:rPr>
                <w:rFonts w:ascii="Arial" w:cs="Arial" w:eastAsia="Arial" w:hAnsi="Arial"/>
                <w:sz w:val="17"/>
                <w:szCs w:val="17"/>
                <w:color w:val="auto"/>
              </w:rPr>
              <w:t>0.00%</w:t>
            </w:r>
          </w:p>
        </w:tc>
        <w:tc>
          <w:tcPr>
            <w:tcW w:w="2380" w:type="dxa"/>
            <w:vAlign w:val="bottom"/>
            <w:gridSpan w:val="2"/>
            <w:shd w:val="clear" w:color="auto" w:fill="EEEEEE"/>
          </w:tcPr>
          <w:p>
            <w:pPr>
              <w:jc w:val="right"/>
              <w:ind w:right="1094"/>
              <w:spacing w:after="0"/>
              <w:rPr>
                <w:sz w:val="20"/>
                <w:szCs w:val="20"/>
                <w:color w:val="auto"/>
              </w:rPr>
            </w:pPr>
            <w:r>
              <w:rPr>
                <w:rFonts w:ascii="Arial" w:cs="Arial" w:eastAsia="Arial" w:hAnsi="Arial"/>
                <w:sz w:val="17"/>
                <w:szCs w:val="17"/>
                <w:color w:val="auto"/>
              </w:rPr>
              <w:t>0.00%</w:t>
            </w:r>
          </w:p>
        </w:tc>
        <w:tc>
          <w:tcPr>
            <w:tcW w:w="940" w:type="dxa"/>
            <w:vAlign w:val="bottom"/>
            <w:shd w:val="clear" w:color="auto" w:fill="EEEEEE"/>
          </w:tcPr>
          <w:p>
            <w:pPr>
              <w:jc w:val="right"/>
              <w:ind w:right="318"/>
              <w:spacing w:after="0"/>
              <w:rPr>
                <w:sz w:val="20"/>
                <w:szCs w:val="20"/>
                <w:color w:val="auto"/>
              </w:rPr>
            </w:pPr>
            <w:r>
              <w:rPr>
                <w:rFonts w:ascii="Arial" w:cs="Arial" w:eastAsia="Arial" w:hAnsi="Arial"/>
                <w:sz w:val="17"/>
                <w:szCs w:val="17"/>
                <w:color w:val="auto"/>
                <w:w w:val="90"/>
              </w:rPr>
              <w:t>78.02%</w:t>
            </w:r>
          </w:p>
        </w:tc>
        <w:tc>
          <w:tcPr>
            <w:tcW w:w="560" w:type="dxa"/>
            <w:vAlign w:val="bottom"/>
          </w:tcPr>
          <w:p>
            <w:pPr>
              <w:spacing w:after="0"/>
              <w:rPr>
                <w:sz w:val="19"/>
                <w:szCs w:val="19"/>
                <w:color w:val="auto"/>
              </w:rPr>
            </w:pPr>
          </w:p>
        </w:tc>
      </w:tr>
      <w:tr>
        <w:trPr>
          <w:trHeight w:val="212"/>
        </w:trPr>
        <w:tc>
          <w:tcPr>
            <w:tcW w:w="5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Dividend yield</w:t>
            </w:r>
          </w:p>
        </w:tc>
        <w:tc>
          <w:tcPr>
            <w:tcW w:w="960" w:type="dxa"/>
            <w:vAlign w:val="bottom"/>
          </w:tcPr>
          <w:p>
            <w:pPr>
              <w:jc w:val="right"/>
              <w:ind w:right="278"/>
              <w:spacing w:after="0"/>
              <w:rPr>
                <w:sz w:val="20"/>
                <w:szCs w:val="20"/>
                <w:color w:val="auto"/>
              </w:rPr>
            </w:pPr>
            <w:r>
              <w:rPr>
                <w:rFonts w:ascii="Arial" w:cs="Arial" w:eastAsia="Arial" w:hAnsi="Arial"/>
                <w:sz w:val="17"/>
                <w:szCs w:val="17"/>
                <w:color w:val="auto"/>
              </w:rPr>
              <w:t>0.00%</w:t>
            </w:r>
          </w:p>
        </w:tc>
        <w:tc>
          <w:tcPr>
            <w:tcW w:w="2180" w:type="dxa"/>
            <w:vAlign w:val="bottom"/>
          </w:tcPr>
          <w:p>
            <w:pPr>
              <w:jc w:val="right"/>
              <w:ind w:right="580"/>
              <w:spacing w:after="0"/>
              <w:rPr>
                <w:sz w:val="20"/>
                <w:szCs w:val="20"/>
                <w:color w:val="auto"/>
              </w:rPr>
            </w:pPr>
            <w:r>
              <w:rPr>
                <w:rFonts w:ascii="Arial" w:cs="Arial" w:eastAsia="Arial" w:hAnsi="Arial"/>
                <w:sz w:val="17"/>
                <w:szCs w:val="17"/>
                <w:color w:val="auto"/>
              </w:rPr>
              <w:t>0.00%</w:t>
            </w: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0.00%</w:t>
            </w:r>
          </w:p>
        </w:tc>
        <w:tc>
          <w:tcPr>
            <w:tcW w:w="2380" w:type="dxa"/>
            <w:vAlign w:val="bottom"/>
            <w:gridSpan w:val="2"/>
          </w:tcPr>
          <w:p>
            <w:pPr>
              <w:jc w:val="right"/>
              <w:ind w:right="1094"/>
              <w:spacing w:after="0"/>
              <w:rPr>
                <w:sz w:val="20"/>
                <w:szCs w:val="20"/>
                <w:color w:val="auto"/>
              </w:rPr>
            </w:pPr>
            <w:r>
              <w:rPr>
                <w:rFonts w:ascii="Arial" w:cs="Arial" w:eastAsia="Arial" w:hAnsi="Arial"/>
                <w:sz w:val="17"/>
                <w:szCs w:val="17"/>
                <w:color w:val="auto"/>
              </w:rPr>
              <w:t>0.00%</w:t>
            </w:r>
          </w:p>
        </w:tc>
        <w:tc>
          <w:tcPr>
            <w:tcW w:w="940" w:type="dxa"/>
            <w:vAlign w:val="bottom"/>
          </w:tcPr>
          <w:p>
            <w:pPr>
              <w:jc w:val="right"/>
              <w:ind w:right="318"/>
              <w:spacing w:after="0"/>
              <w:rPr>
                <w:sz w:val="20"/>
                <w:szCs w:val="20"/>
                <w:color w:val="auto"/>
              </w:rPr>
            </w:pPr>
            <w:r>
              <w:rPr>
                <w:rFonts w:ascii="Arial" w:cs="Arial" w:eastAsia="Arial" w:hAnsi="Arial"/>
                <w:sz w:val="17"/>
                <w:szCs w:val="17"/>
                <w:color w:val="auto"/>
              </w:rPr>
              <w:t>0.00%</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2860" w:type="dxa"/>
            <w:vAlign w:val="bottom"/>
            <w:shd w:val="clear" w:color="auto" w:fill="EEEEEE"/>
          </w:tcPr>
          <w:p>
            <w:pPr>
              <w:spacing w:after="0"/>
              <w:rPr>
                <w:sz w:val="20"/>
                <w:szCs w:val="20"/>
                <w:color w:val="auto"/>
              </w:rPr>
            </w:pPr>
            <w:r>
              <w:rPr>
                <w:rFonts w:ascii="Arial" w:cs="Arial" w:eastAsia="Arial" w:hAnsi="Arial"/>
                <w:sz w:val="17"/>
                <w:szCs w:val="17"/>
                <w:color w:val="auto"/>
              </w:rPr>
              <w:t>Risk-free interest rate</w:t>
            </w:r>
          </w:p>
        </w:tc>
        <w:tc>
          <w:tcPr>
            <w:tcW w:w="960" w:type="dxa"/>
            <w:vAlign w:val="bottom"/>
            <w:shd w:val="clear" w:color="auto" w:fill="EEEEEE"/>
          </w:tcPr>
          <w:p>
            <w:pPr>
              <w:jc w:val="right"/>
              <w:ind w:right="278"/>
              <w:spacing w:after="0"/>
              <w:rPr>
                <w:sz w:val="20"/>
                <w:szCs w:val="20"/>
                <w:color w:val="auto"/>
              </w:rPr>
            </w:pPr>
            <w:r>
              <w:rPr>
                <w:rFonts w:ascii="Arial" w:cs="Arial" w:eastAsia="Arial" w:hAnsi="Arial"/>
                <w:sz w:val="17"/>
                <w:szCs w:val="17"/>
                <w:color w:val="auto"/>
              </w:rPr>
              <w:t>6.04%</w:t>
            </w:r>
          </w:p>
        </w:tc>
        <w:tc>
          <w:tcPr>
            <w:tcW w:w="2180" w:type="dxa"/>
            <w:vAlign w:val="bottom"/>
            <w:shd w:val="clear" w:color="auto" w:fill="EEEEEE"/>
          </w:tcPr>
          <w:p>
            <w:pPr>
              <w:jc w:val="right"/>
              <w:ind w:right="580"/>
              <w:spacing w:after="0"/>
              <w:rPr>
                <w:sz w:val="20"/>
                <w:szCs w:val="20"/>
                <w:color w:val="auto"/>
              </w:rPr>
            </w:pPr>
            <w:r>
              <w:rPr>
                <w:rFonts w:ascii="Arial" w:cs="Arial" w:eastAsia="Arial" w:hAnsi="Arial"/>
                <w:sz w:val="17"/>
                <w:szCs w:val="17"/>
                <w:color w:val="auto"/>
              </w:rPr>
              <w:t>3.54%-6.69%</w:t>
            </w:r>
          </w:p>
        </w:tc>
        <w:tc>
          <w:tcPr>
            <w:tcW w:w="960" w:type="dxa"/>
            <w:vAlign w:val="bottom"/>
            <w:shd w:val="clear" w:color="auto" w:fill="EEEEEE"/>
          </w:tcPr>
          <w:p>
            <w:pPr>
              <w:jc w:val="right"/>
              <w:ind w:right="78"/>
              <w:spacing w:after="0"/>
              <w:rPr>
                <w:sz w:val="20"/>
                <w:szCs w:val="20"/>
                <w:color w:val="auto"/>
              </w:rPr>
            </w:pPr>
            <w:r>
              <w:rPr>
                <w:rFonts w:ascii="Arial" w:cs="Arial" w:eastAsia="Arial" w:hAnsi="Arial"/>
                <w:sz w:val="17"/>
                <w:szCs w:val="17"/>
                <w:color w:val="auto"/>
              </w:rPr>
              <w:t>3.68%</w:t>
            </w:r>
          </w:p>
        </w:tc>
        <w:tc>
          <w:tcPr>
            <w:tcW w:w="2380" w:type="dxa"/>
            <w:vAlign w:val="bottom"/>
            <w:gridSpan w:val="2"/>
            <w:shd w:val="clear" w:color="auto" w:fill="EEEEEE"/>
          </w:tcPr>
          <w:p>
            <w:pPr>
              <w:jc w:val="right"/>
              <w:ind w:right="1094"/>
              <w:spacing w:after="0"/>
              <w:rPr>
                <w:sz w:val="20"/>
                <w:szCs w:val="20"/>
                <w:color w:val="auto"/>
              </w:rPr>
            </w:pPr>
            <w:r>
              <w:rPr>
                <w:rFonts w:ascii="Arial" w:cs="Arial" w:eastAsia="Arial" w:hAnsi="Arial"/>
                <w:sz w:val="17"/>
                <w:szCs w:val="17"/>
                <w:color w:val="auto"/>
              </w:rPr>
              <w:t>3.62%</w:t>
            </w:r>
          </w:p>
        </w:tc>
        <w:tc>
          <w:tcPr>
            <w:tcW w:w="940" w:type="dxa"/>
            <w:vAlign w:val="bottom"/>
            <w:shd w:val="clear" w:color="auto" w:fill="EEEEEE"/>
          </w:tcPr>
          <w:p>
            <w:pPr>
              <w:jc w:val="right"/>
              <w:ind w:right="318"/>
              <w:spacing w:after="0"/>
              <w:rPr>
                <w:sz w:val="20"/>
                <w:szCs w:val="20"/>
                <w:color w:val="auto"/>
              </w:rPr>
            </w:pPr>
            <w:r>
              <w:rPr>
                <w:rFonts w:ascii="Arial" w:cs="Arial" w:eastAsia="Arial" w:hAnsi="Arial"/>
                <w:sz w:val="17"/>
                <w:szCs w:val="17"/>
                <w:color w:val="auto"/>
              </w:rPr>
              <w:t>3.68%</w:t>
            </w:r>
          </w:p>
        </w:tc>
        <w:tc>
          <w:tcPr>
            <w:tcW w:w="56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Expected option life in years</w:t>
            </w:r>
          </w:p>
        </w:tc>
        <w:tc>
          <w:tcPr>
            <w:tcW w:w="960" w:type="dxa"/>
            <w:vAlign w:val="bottom"/>
          </w:tcPr>
          <w:p>
            <w:pPr>
              <w:jc w:val="right"/>
              <w:ind w:right="278"/>
              <w:spacing w:after="0"/>
              <w:rPr>
                <w:sz w:val="20"/>
                <w:szCs w:val="20"/>
                <w:color w:val="auto"/>
              </w:rPr>
            </w:pPr>
            <w:r>
              <w:rPr>
                <w:rFonts w:ascii="Arial" w:cs="Arial" w:eastAsia="Arial" w:hAnsi="Arial"/>
                <w:sz w:val="17"/>
                <w:szCs w:val="17"/>
                <w:color w:val="auto"/>
              </w:rPr>
              <w:t>6.81</w:t>
            </w:r>
          </w:p>
        </w:tc>
        <w:tc>
          <w:tcPr>
            <w:tcW w:w="2180" w:type="dxa"/>
            <w:vAlign w:val="bottom"/>
          </w:tcPr>
          <w:p>
            <w:pPr>
              <w:jc w:val="right"/>
              <w:ind w:right="580"/>
              <w:spacing w:after="0"/>
              <w:rPr>
                <w:sz w:val="20"/>
                <w:szCs w:val="20"/>
                <w:color w:val="auto"/>
              </w:rPr>
            </w:pPr>
            <w:r>
              <w:rPr>
                <w:rFonts w:ascii="Arial" w:cs="Arial" w:eastAsia="Arial" w:hAnsi="Arial"/>
                <w:sz w:val="17"/>
                <w:szCs w:val="17"/>
                <w:color w:val="auto"/>
              </w:rPr>
              <w:t>7.27</w:t>
            </w:r>
          </w:p>
        </w:tc>
        <w:tc>
          <w:tcPr>
            <w:tcW w:w="960" w:type="dxa"/>
            <w:vAlign w:val="bottom"/>
          </w:tcPr>
          <w:p>
            <w:pPr>
              <w:jc w:val="right"/>
              <w:ind w:right="78"/>
              <w:spacing w:after="0"/>
              <w:rPr>
                <w:sz w:val="20"/>
                <w:szCs w:val="20"/>
                <w:color w:val="auto"/>
              </w:rPr>
            </w:pPr>
            <w:r>
              <w:rPr>
                <w:rFonts w:ascii="Arial" w:cs="Arial" w:eastAsia="Arial" w:hAnsi="Arial"/>
                <w:sz w:val="17"/>
                <w:szCs w:val="17"/>
                <w:color w:val="auto"/>
              </w:rPr>
              <w:t>7.47</w:t>
            </w:r>
          </w:p>
        </w:tc>
        <w:tc>
          <w:tcPr>
            <w:tcW w:w="2380" w:type="dxa"/>
            <w:vAlign w:val="bottom"/>
            <w:gridSpan w:val="2"/>
          </w:tcPr>
          <w:p>
            <w:pPr>
              <w:jc w:val="right"/>
              <w:ind w:right="1094"/>
              <w:spacing w:after="0"/>
              <w:rPr>
                <w:sz w:val="20"/>
                <w:szCs w:val="20"/>
                <w:color w:val="auto"/>
              </w:rPr>
            </w:pPr>
            <w:r>
              <w:rPr>
                <w:rFonts w:ascii="Arial" w:cs="Arial" w:eastAsia="Arial" w:hAnsi="Arial"/>
                <w:sz w:val="17"/>
                <w:szCs w:val="17"/>
                <w:color w:val="auto"/>
              </w:rPr>
              <w:t>7.35</w:t>
            </w:r>
          </w:p>
        </w:tc>
        <w:tc>
          <w:tcPr>
            <w:tcW w:w="940" w:type="dxa"/>
            <w:vAlign w:val="bottom"/>
          </w:tcPr>
          <w:p>
            <w:pPr>
              <w:jc w:val="right"/>
              <w:ind w:right="318"/>
              <w:spacing w:after="0"/>
              <w:rPr>
                <w:sz w:val="20"/>
                <w:szCs w:val="20"/>
                <w:color w:val="auto"/>
              </w:rPr>
            </w:pPr>
            <w:r>
              <w:rPr>
                <w:rFonts w:ascii="Arial" w:cs="Arial" w:eastAsia="Arial" w:hAnsi="Arial"/>
                <w:sz w:val="17"/>
                <w:szCs w:val="17"/>
                <w:color w:val="auto"/>
              </w:rPr>
              <w:t>7.90</w:t>
            </w:r>
          </w:p>
        </w:tc>
        <w:tc>
          <w:tcPr>
            <w:tcW w:w="560" w:type="dxa"/>
            <w:vAlign w:val="bottom"/>
          </w:tcPr>
          <w:p>
            <w:pPr>
              <w:spacing w:after="0"/>
              <w:rPr>
                <w:sz w:val="18"/>
                <w:szCs w:val="18"/>
                <w:color w:val="auto"/>
              </w:rPr>
            </w:pPr>
          </w:p>
        </w:tc>
      </w:tr>
      <w:tr>
        <w:trPr>
          <w:trHeight w:val="100"/>
        </w:trPr>
        <w:tc>
          <w:tcPr>
            <w:tcW w:w="580" w:type="dxa"/>
            <w:vAlign w:val="bottom"/>
          </w:tcPr>
          <w:p>
            <w:pPr>
              <w:spacing w:after="0"/>
              <w:rPr>
                <w:sz w:val="8"/>
                <w:szCs w:val="8"/>
                <w:color w:val="auto"/>
              </w:rPr>
            </w:pPr>
          </w:p>
        </w:tc>
        <w:tc>
          <w:tcPr>
            <w:tcW w:w="286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1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519"/>
        </w:trPr>
        <w:tc>
          <w:tcPr>
            <w:tcW w:w="5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80" w:type="dxa"/>
            <w:vAlign w:val="bottom"/>
          </w:tcPr>
          <w:p>
            <w:pPr>
              <w:jc w:val="right"/>
              <w:ind w:right="620"/>
              <w:spacing w:after="0"/>
              <w:rPr>
                <w:sz w:val="20"/>
                <w:szCs w:val="20"/>
                <w:color w:val="auto"/>
              </w:rPr>
            </w:pPr>
            <w:r>
              <w:rPr>
                <w:rFonts w:ascii="Arial" w:cs="Arial" w:eastAsia="Arial" w:hAnsi="Arial"/>
                <w:sz w:val="17"/>
                <w:szCs w:val="17"/>
                <w:color w:val="auto"/>
              </w:rPr>
              <w:t>F-12</w:t>
            </w: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Accumulated other comprehensive income (loss)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80" w:type="dxa"/>
            <w:vAlign w:val="bottom"/>
          </w:tcPr>
          <w:p>
            <w:pPr>
              <w:spacing w:after="0"/>
              <w:rPr>
                <w:sz w:val="13"/>
                <w:szCs w:val="13"/>
                <w:color w:val="auto"/>
              </w:rPr>
            </w:pPr>
          </w:p>
        </w:tc>
        <w:tc>
          <w:tcPr>
            <w:tcW w:w="1440" w:type="dxa"/>
            <w:vAlign w:val="bottom"/>
            <w:gridSpan w:val="2"/>
          </w:tcPr>
          <w:p>
            <w:pPr>
              <w:jc w:val="center"/>
              <w:ind w:right="74"/>
              <w:spacing w:after="0"/>
              <w:rPr>
                <w:sz w:val="20"/>
                <w:szCs w:val="20"/>
                <w:color w:val="auto"/>
              </w:rPr>
            </w:pPr>
            <w:r>
              <w:rPr>
                <w:rFonts w:ascii="Arial" w:cs="Arial" w:eastAsia="Arial" w:hAnsi="Arial"/>
                <w:sz w:val="13"/>
                <w:szCs w:val="13"/>
                <w:b w:val="1"/>
                <w:bCs w:val="1"/>
                <w:color w:val="auto"/>
                <w:w w:val="92"/>
              </w:rPr>
              <w:t>Foreign</w:t>
            </w: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40" w:type="dxa"/>
            <w:vAlign w:val="bottom"/>
            <w:gridSpan w:val="2"/>
          </w:tcPr>
          <w:p>
            <w:pPr>
              <w:jc w:val="center"/>
              <w:ind w:right="94"/>
              <w:spacing w:after="0" w:line="146" w:lineRule="exact"/>
              <w:rPr>
                <w:sz w:val="20"/>
                <w:szCs w:val="20"/>
                <w:color w:val="auto"/>
              </w:rPr>
            </w:pPr>
            <w:r>
              <w:rPr>
                <w:rFonts w:ascii="Arial" w:cs="Arial" w:eastAsia="Arial" w:hAnsi="Arial"/>
                <w:sz w:val="13"/>
                <w:szCs w:val="13"/>
                <w:b w:val="1"/>
                <w:bCs w:val="1"/>
                <w:color w:val="auto"/>
                <w:w w:val="90"/>
              </w:rPr>
              <w:t>currency</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440" w:type="dxa"/>
            <w:vAlign w:val="bottom"/>
            <w:gridSpan w:val="2"/>
          </w:tcPr>
          <w:p>
            <w:pPr>
              <w:jc w:val="center"/>
              <w:ind w:right="94"/>
              <w:spacing w:after="0" w:line="146" w:lineRule="exact"/>
              <w:rPr>
                <w:sz w:val="20"/>
                <w:szCs w:val="20"/>
                <w:color w:val="auto"/>
              </w:rPr>
            </w:pPr>
            <w:r>
              <w:rPr>
                <w:rFonts w:ascii="Arial" w:cs="Arial" w:eastAsia="Arial" w:hAnsi="Arial"/>
                <w:sz w:val="13"/>
                <w:szCs w:val="13"/>
                <w:b w:val="1"/>
                <w:bCs w:val="1"/>
                <w:color w:val="auto"/>
                <w:w w:val="93"/>
              </w:rPr>
              <w:t>translation</w:t>
            </w:r>
          </w:p>
        </w:tc>
        <w:tc>
          <w:tcPr>
            <w:tcW w:w="1520" w:type="dxa"/>
            <w:vAlign w:val="bottom"/>
            <w:gridSpan w:val="2"/>
          </w:tcPr>
          <w:p>
            <w:pPr>
              <w:jc w:val="right"/>
              <w:ind w:right="354"/>
              <w:spacing w:after="0" w:line="146" w:lineRule="exact"/>
              <w:rPr>
                <w:sz w:val="20"/>
                <w:szCs w:val="20"/>
                <w:color w:val="auto"/>
              </w:rPr>
            </w:pPr>
            <w:r>
              <w:rPr>
                <w:rFonts w:ascii="Arial" w:cs="Arial" w:eastAsia="Arial" w:hAnsi="Arial"/>
                <w:sz w:val="13"/>
                <w:szCs w:val="13"/>
                <w:b w:val="1"/>
                <w:bCs w:val="1"/>
                <w:color w:val="auto"/>
              </w:rPr>
              <w:t>Derivative</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280" w:type="dxa"/>
            <w:vAlign w:val="bottom"/>
          </w:tcPr>
          <w:p>
            <w:pPr>
              <w:ind w:left="2580"/>
              <w:spacing w:after="0"/>
              <w:rPr>
                <w:sz w:val="20"/>
                <w:szCs w:val="20"/>
                <w:color w:val="auto"/>
              </w:rPr>
            </w:pPr>
            <w:r>
              <w:rPr>
                <w:rFonts w:ascii="Arial" w:cs="Arial" w:eastAsia="Arial" w:hAnsi="Arial"/>
                <w:sz w:val="13"/>
                <w:szCs w:val="13"/>
                <w:b w:val="1"/>
                <w:bCs w:val="1"/>
                <w:color w:val="auto"/>
              </w:rPr>
              <w:t>(in thousands)</w:t>
            </w:r>
          </w:p>
        </w:tc>
        <w:tc>
          <w:tcPr>
            <w:tcW w:w="1440" w:type="dxa"/>
            <w:vAlign w:val="bottom"/>
            <w:gridSpan w:val="2"/>
          </w:tcPr>
          <w:p>
            <w:pPr>
              <w:jc w:val="center"/>
              <w:ind w:right="94"/>
              <w:spacing w:after="0"/>
              <w:rPr>
                <w:sz w:val="20"/>
                <w:szCs w:val="20"/>
                <w:color w:val="auto"/>
              </w:rPr>
            </w:pPr>
            <w:r>
              <w:rPr>
                <w:rFonts w:ascii="Arial" w:cs="Arial" w:eastAsia="Arial" w:hAnsi="Arial"/>
                <w:sz w:val="13"/>
                <w:szCs w:val="13"/>
                <w:b w:val="1"/>
                <w:bCs w:val="1"/>
                <w:color w:val="auto"/>
                <w:w w:val="91"/>
              </w:rPr>
              <w:t>adjustments</w:t>
            </w:r>
          </w:p>
        </w:tc>
        <w:tc>
          <w:tcPr>
            <w:tcW w:w="1520" w:type="dxa"/>
            <w:vAlign w:val="bottom"/>
            <w:gridSpan w:val="2"/>
          </w:tcPr>
          <w:p>
            <w:pPr>
              <w:jc w:val="right"/>
              <w:ind w:right="314"/>
              <w:spacing w:after="0"/>
              <w:rPr>
                <w:sz w:val="20"/>
                <w:szCs w:val="20"/>
                <w:color w:val="auto"/>
              </w:rPr>
            </w:pPr>
            <w:r>
              <w:rPr>
                <w:rFonts w:ascii="Arial" w:cs="Arial" w:eastAsia="Arial" w:hAnsi="Arial"/>
                <w:sz w:val="13"/>
                <w:szCs w:val="13"/>
                <w:b w:val="1"/>
                <w:bCs w:val="1"/>
                <w:color w:val="auto"/>
              </w:rPr>
              <w:t>instruments</w:t>
            </w:r>
          </w:p>
        </w:tc>
        <w:tc>
          <w:tcPr>
            <w:tcW w:w="102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2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2000</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EEEEE"/>
          </w:tcPr>
          <w:p>
            <w:pPr>
              <w:jc w:val="right"/>
              <w:ind w:right="514"/>
              <w:spacing w:after="0"/>
              <w:rPr>
                <w:sz w:val="20"/>
                <w:szCs w:val="20"/>
                <w:color w:val="auto"/>
              </w:rPr>
            </w:pPr>
            <w:r>
              <w:rPr>
                <w:rFonts w:ascii="Arial" w:cs="Arial" w:eastAsia="Arial" w:hAnsi="Arial"/>
                <w:sz w:val="17"/>
                <w:szCs w:val="17"/>
                <w:color w:val="auto"/>
              </w:rPr>
              <w:t>(14)</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494"/>
              <w:spacing w:after="0"/>
              <w:rPr>
                <w:sz w:val="20"/>
                <w:szCs w:val="20"/>
                <w:color w:val="auto"/>
              </w:rPr>
            </w:pPr>
            <w:r>
              <w:rPr>
                <w:rFonts w:ascii="Arial" w:cs="Arial" w:eastAsia="Arial" w:hAnsi="Arial"/>
                <w:sz w:val="17"/>
                <w:szCs w:val="17"/>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Current period change</w:t>
            </w:r>
          </w:p>
        </w:tc>
        <w:tc>
          <w:tcPr>
            <w:tcW w:w="480" w:type="dxa"/>
            <w:vAlign w:val="bottom"/>
          </w:tcPr>
          <w:p>
            <w:pPr>
              <w:spacing w:after="0"/>
              <w:rPr>
                <w:sz w:val="18"/>
                <w:szCs w:val="18"/>
                <w:color w:val="auto"/>
              </w:rPr>
            </w:pPr>
          </w:p>
        </w:tc>
        <w:tc>
          <w:tcPr>
            <w:tcW w:w="960" w:type="dxa"/>
            <w:vAlign w:val="bottom"/>
          </w:tcPr>
          <w:p>
            <w:pPr>
              <w:jc w:val="right"/>
              <w:ind w:right="554"/>
              <w:spacing w:after="0"/>
              <w:rPr>
                <w:sz w:val="20"/>
                <w:szCs w:val="20"/>
                <w:color w:val="auto"/>
              </w:rPr>
            </w:pPr>
            <w:r>
              <w:rPr>
                <w:rFonts w:ascii="Arial" w:cs="Arial" w:eastAsia="Arial" w:hAnsi="Arial"/>
                <w:sz w:val="17"/>
                <w:szCs w:val="17"/>
                <w:color w:val="auto"/>
              </w:rPr>
              <w:t>36</w:t>
            </w:r>
          </w:p>
        </w:tc>
        <w:tc>
          <w:tcPr>
            <w:tcW w:w="620" w:type="dxa"/>
            <w:vAlign w:val="bottom"/>
          </w:tcPr>
          <w:p>
            <w:pPr>
              <w:spacing w:after="0"/>
              <w:rPr>
                <w:sz w:val="18"/>
                <w:szCs w:val="18"/>
                <w:color w:val="auto"/>
              </w:rPr>
            </w:pPr>
          </w:p>
        </w:tc>
        <w:tc>
          <w:tcPr>
            <w:tcW w:w="900" w:type="dxa"/>
            <w:vAlign w:val="bottom"/>
          </w:tcPr>
          <w:p>
            <w:pPr>
              <w:jc w:val="right"/>
              <w:ind w:right="494"/>
              <w:spacing w:after="0"/>
              <w:rPr>
                <w:sz w:val="20"/>
                <w:szCs w:val="20"/>
                <w:color w:val="auto"/>
              </w:rPr>
            </w:pPr>
            <w:r>
              <w:rPr>
                <w:rFonts w:ascii="Arial" w:cs="Arial" w:eastAsia="Arial" w:hAnsi="Arial"/>
                <w:sz w:val="17"/>
                <w:szCs w:val="17"/>
                <w:color w:val="auto"/>
              </w:rPr>
              <w:t>216</w:t>
            </w:r>
          </w:p>
        </w:tc>
        <w:tc>
          <w:tcPr>
            <w:tcW w:w="50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w w:val="98"/>
              </w:rPr>
              <w:t>252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2001</w:t>
            </w: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554"/>
              <w:spacing w:after="0"/>
              <w:rPr>
                <w:sz w:val="20"/>
                <w:szCs w:val="20"/>
                <w:color w:val="auto"/>
              </w:rPr>
            </w:pPr>
            <w:r>
              <w:rPr>
                <w:rFonts w:ascii="Arial" w:cs="Arial" w:eastAsia="Arial" w:hAnsi="Arial"/>
                <w:sz w:val="17"/>
                <w:szCs w:val="17"/>
                <w:color w:val="auto"/>
              </w:rPr>
              <w:t>22</w:t>
            </w: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494"/>
              <w:spacing w:after="0"/>
              <w:rPr>
                <w:sz w:val="20"/>
                <w:szCs w:val="20"/>
                <w:color w:val="auto"/>
              </w:rPr>
            </w:pPr>
            <w:r>
              <w:rPr>
                <w:rFonts w:ascii="Arial" w:cs="Arial" w:eastAsia="Arial" w:hAnsi="Arial"/>
                <w:sz w:val="17"/>
                <w:szCs w:val="17"/>
                <w:color w:val="auto"/>
              </w:rPr>
              <w:t>216</w:t>
            </w:r>
          </w:p>
        </w:tc>
        <w:tc>
          <w:tcPr>
            <w:tcW w:w="50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w w:val="98"/>
              </w:rPr>
              <w:t>238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Current period change</w:t>
            </w:r>
          </w:p>
        </w:tc>
        <w:tc>
          <w:tcPr>
            <w:tcW w:w="480" w:type="dxa"/>
            <w:vAlign w:val="bottom"/>
          </w:tcPr>
          <w:p>
            <w:pPr>
              <w:spacing w:after="0"/>
              <w:rPr>
                <w:sz w:val="18"/>
                <w:szCs w:val="18"/>
                <w:color w:val="auto"/>
              </w:rPr>
            </w:pPr>
          </w:p>
        </w:tc>
        <w:tc>
          <w:tcPr>
            <w:tcW w:w="960" w:type="dxa"/>
            <w:vAlign w:val="bottom"/>
          </w:tcPr>
          <w:p>
            <w:pPr>
              <w:jc w:val="right"/>
              <w:ind w:right="554"/>
              <w:spacing w:after="0"/>
              <w:rPr>
                <w:sz w:val="20"/>
                <w:szCs w:val="20"/>
                <w:color w:val="auto"/>
              </w:rPr>
            </w:pPr>
            <w:r>
              <w:rPr>
                <w:rFonts w:ascii="Arial" w:cs="Arial" w:eastAsia="Arial" w:hAnsi="Arial"/>
                <w:sz w:val="17"/>
                <w:szCs w:val="17"/>
                <w:color w:val="auto"/>
              </w:rPr>
              <w:t>134</w:t>
            </w:r>
          </w:p>
        </w:tc>
        <w:tc>
          <w:tcPr>
            <w:tcW w:w="620" w:type="dxa"/>
            <w:vAlign w:val="bottom"/>
          </w:tcPr>
          <w:p>
            <w:pPr>
              <w:spacing w:after="0"/>
              <w:rPr>
                <w:sz w:val="18"/>
                <w:szCs w:val="18"/>
                <w:color w:val="auto"/>
              </w:rPr>
            </w:pPr>
          </w:p>
        </w:tc>
        <w:tc>
          <w:tcPr>
            <w:tcW w:w="900" w:type="dxa"/>
            <w:vAlign w:val="bottom"/>
          </w:tcPr>
          <w:p>
            <w:pPr>
              <w:jc w:val="right"/>
              <w:ind w:right="434"/>
              <w:spacing w:after="0"/>
              <w:rPr>
                <w:sz w:val="20"/>
                <w:szCs w:val="20"/>
                <w:color w:val="auto"/>
              </w:rPr>
            </w:pPr>
            <w:r>
              <w:rPr>
                <w:rFonts w:ascii="Arial" w:cs="Arial" w:eastAsia="Arial" w:hAnsi="Arial"/>
                <w:sz w:val="17"/>
                <w:szCs w:val="17"/>
                <w:color w:val="auto"/>
                <w:w w:val="90"/>
              </w:rPr>
              <w:t>(605)</w:t>
            </w:r>
          </w:p>
        </w:tc>
        <w:tc>
          <w:tcPr>
            <w:tcW w:w="500" w:type="dxa"/>
            <w:vAlign w:val="bottom"/>
          </w:tcPr>
          <w:p>
            <w:pPr>
              <w:spacing w:after="0"/>
              <w:rPr>
                <w:sz w:val="18"/>
                <w:szCs w:val="18"/>
                <w:color w:val="auto"/>
              </w:rPr>
            </w:pPr>
          </w:p>
        </w:tc>
        <w:tc>
          <w:tcPr>
            <w:tcW w:w="520" w:type="dxa"/>
            <w:vAlign w:val="bottom"/>
          </w:tcPr>
          <w:p>
            <w:pPr>
              <w:jc w:val="right"/>
              <w:ind w:right="74"/>
              <w:spacing w:after="0"/>
              <w:rPr>
                <w:sz w:val="20"/>
                <w:szCs w:val="20"/>
                <w:color w:val="auto"/>
              </w:rPr>
            </w:pPr>
            <w:r>
              <w:rPr>
                <w:rFonts w:ascii="Arial" w:cs="Arial" w:eastAsia="Arial" w:hAnsi="Arial"/>
                <w:sz w:val="17"/>
                <w:szCs w:val="17"/>
                <w:color w:val="auto"/>
                <w:w w:val="85"/>
              </w:rPr>
              <w:t>(471)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2002</w:t>
            </w: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554"/>
              <w:spacing w:after="0"/>
              <w:rPr>
                <w:sz w:val="20"/>
                <w:szCs w:val="20"/>
                <w:color w:val="auto"/>
              </w:rPr>
            </w:pPr>
            <w:r>
              <w:rPr>
                <w:rFonts w:ascii="Arial" w:cs="Arial" w:eastAsia="Arial" w:hAnsi="Arial"/>
                <w:sz w:val="17"/>
                <w:szCs w:val="17"/>
                <w:color w:val="auto"/>
              </w:rPr>
              <w:t>156</w:t>
            </w: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434"/>
              <w:spacing w:after="0"/>
              <w:rPr>
                <w:sz w:val="20"/>
                <w:szCs w:val="20"/>
                <w:color w:val="auto"/>
              </w:rPr>
            </w:pPr>
            <w:r>
              <w:rPr>
                <w:rFonts w:ascii="Arial" w:cs="Arial" w:eastAsia="Arial" w:hAnsi="Arial"/>
                <w:sz w:val="17"/>
                <w:szCs w:val="17"/>
                <w:color w:val="auto"/>
                <w:w w:val="90"/>
              </w:rPr>
              <w:t>(389)</w:t>
            </w:r>
          </w:p>
        </w:tc>
        <w:tc>
          <w:tcPr>
            <w:tcW w:w="50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74"/>
              <w:spacing w:after="0"/>
              <w:rPr>
                <w:sz w:val="20"/>
                <w:szCs w:val="20"/>
                <w:color w:val="auto"/>
              </w:rPr>
            </w:pPr>
            <w:r>
              <w:rPr>
                <w:rFonts w:ascii="Arial" w:cs="Arial" w:eastAsia="Arial" w:hAnsi="Arial"/>
                <w:sz w:val="17"/>
                <w:szCs w:val="17"/>
                <w:color w:val="auto"/>
                <w:w w:val="85"/>
              </w:rPr>
              <w:t>(233)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Current period change</w:t>
            </w:r>
          </w:p>
        </w:tc>
        <w:tc>
          <w:tcPr>
            <w:tcW w:w="480" w:type="dxa"/>
            <w:vAlign w:val="bottom"/>
          </w:tcPr>
          <w:p>
            <w:pPr>
              <w:spacing w:after="0"/>
              <w:rPr>
                <w:sz w:val="18"/>
                <w:szCs w:val="18"/>
                <w:color w:val="auto"/>
              </w:rPr>
            </w:pPr>
          </w:p>
        </w:tc>
        <w:tc>
          <w:tcPr>
            <w:tcW w:w="960" w:type="dxa"/>
            <w:vAlign w:val="bottom"/>
          </w:tcPr>
          <w:p>
            <w:pPr>
              <w:jc w:val="right"/>
              <w:ind w:right="554"/>
              <w:spacing w:after="0"/>
              <w:rPr>
                <w:sz w:val="20"/>
                <w:szCs w:val="20"/>
                <w:color w:val="auto"/>
              </w:rPr>
            </w:pPr>
            <w:r>
              <w:rPr>
                <w:rFonts w:ascii="Arial" w:cs="Arial" w:eastAsia="Arial" w:hAnsi="Arial"/>
                <w:sz w:val="17"/>
                <w:szCs w:val="17"/>
                <w:color w:val="auto"/>
              </w:rPr>
              <w:t>362</w:t>
            </w:r>
          </w:p>
        </w:tc>
        <w:tc>
          <w:tcPr>
            <w:tcW w:w="620" w:type="dxa"/>
            <w:vAlign w:val="bottom"/>
          </w:tcPr>
          <w:p>
            <w:pPr>
              <w:spacing w:after="0"/>
              <w:rPr>
                <w:sz w:val="18"/>
                <w:szCs w:val="18"/>
                <w:color w:val="auto"/>
              </w:rPr>
            </w:pPr>
          </w:p>
        </w:tc>
        <w:tc>
          <w:tcPr>
            <w:tcW w:w="900" w:type="dxa"/>
            <w:vAlign w:val="bottom"/>
          </w:tcPr>
          <w:p>
            <w:pPr>
              <w:jc w:val="right"/>
              <w:ind w:right="494"/>
              <w:spacing w:after="0"/>
              <w:rPr>
                <w:sz w:val="20"/>
                <w:szCs w:val="20"/>
                <w:color w:val="auto"/>
              </w:rPr>
            </w:pPr>
            <w:r>
              <w:rPr>
                <w:rFonts w:ascii="Arial" w:cs="Arial" w:eastAsia="Arial" w:hAnsi="Arial"/>
                <w:sz w:val="17"/>
                <w:szCs w:val="17"/>
                <w:color w:val="auto"/>
              </w:rPr>
              <w:t>389</w:t>
            </w:r>
          </w:p>
        </w:tc>
        <w:tc>
          <w:tcPr>
            <w:tcW w:w="50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w w:val="98"/>
              </w:rPr>
              <w:t>751</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2003</w:t>
            </w:r>
          </w:p>
        </w:tc>
        <w:tc>
          <w:tcPr>
            <w:tcW w:w="48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554"/>
              <w:spacing w:after="0"/>
              <w:rPr>
                <w:sz w:val="20"/>
                <w:szCs w:val="20"/>
                <w:color w:val="auto"/>
              </w:rPr>
            </w:pPr>
            <w:r>
              <w:rPr>
                <w:rFonts w:ascii="Arial" w:cs="Arial" w:eastAsia="Arial" w:hAnsi="Arial"/>
                <w:sz w:val="17"/>
                <w:szCs w:val="17"/>
                <w:color w:val="auto"/>
              </w:rPr>
              <w:t>518</w:t>
            </w:r>
          </w:p>
        </w:tc>
        <w:tc>
          <w:tcPr>
            <w:tcW w:w="62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494"/>
              <w:spacing w:after="0"/>
              <w:rPr>
                <w:sz w:val="20"/>
                <w:szCs w:val="20"/>
                <w:color w:val="auto"/>
              </w:rPr>
            </w:pPr>
            <w:r>
              <w:rPr>
                <w:rFonts w:ascii="Arial" w:cs="Arial" w:eastAsia="Arial" w:hAnsi="Arial"/>
                <w:sz w:val="17"/>
                <w:szCs w:val="17"/>
                <w:color w:val="auto"/>
              </w:rPr>
              <w:t>—</w:t>
            </w:r>
          </w:p>
        </w:tc>
        <w:tc>
          <w:tcPr>
            <w:tcW w:w="50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w w:val="98"/>
              </w:rPr>
              <w:t>518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7"/>
                <w:szCs w:val="17"/>
                <w:color w:val="auto"/>
              </w:rPr>
              <w:t>Current period change (unaudited)</w:t>
            </w:r>
          </w:p>
        </w:tc>
        <w:tc>
          <w:tcPr>
            <w:tcW w:w="480" w:type="dxa"/>
            <w:vAlign w:val="bottom"/>
          </w:tcPr>
          <w:p>
            <w:pPr>
              <w:spacing w:after="0"/>
              <w:rPr>
                <w:sz w:val="18"/>
                <w:szCs w:val="18"/>
                <w:color w:val="auto"/>
              </w:rPr>
            </w:pPr>
          </w:p>
        </w:tc>
        <w:tc>
          <w:tcPr>
            <w:tcW w:w="960" w:type="dxa"/>
            <w:vAlign w:val="bottom"/>
          </w:tcPr>
          <w:p>
            <w:pPr>
              <w:jc w:val="right"/>
              <w:ind w:right="514"/>
              <w:spacing w:after="0"/>
              <w:rPr>
                <w:sz w:val="20"/>
                <w:szCs w:val="20"/>
                <w:color w:val="auto"/>
              </w:rPr>
            </w:pPr>
            <w:r>
              <w:rPr>
                <w:rFonts w:ascii="Arial" w:cs="Arial" w:eastAsia="Arial" w:hAnsi="Arial"/>
                <w:sz w:val="17"/>
                <w:szCs w:val="17"/>
                <w:color w:val="auto"/>
                <w:w w:val="85"/>
              </w:rPr>
              <w:t>(342)</w:t>
            </w:r>
          </w:p>
        </w:tc>
        <w:tc>
          <w:tcPr>
            <w:tcW w:w="620" w:type="dxa"/>
            <w:vAlign w:val="bottom"/>
          </w:tcPr>
          <w:p>
            <w:pPr>
              <w:spacing w:after="0"/>
              <w:rPr>
                <w:sz w:val="18"/>
                <w:szCs w:val="18"/>
                <w:color w:val="auto"/>
              </w:rPr>
            </w:pPr>
          </w:p>
        </w:tc>
        <w:tc>
          <w:tcPr>
            <w:tcW w:w="900" w:type="dxa"/>
            <w:vAlign w:val="bottom"/>
          </w:tcPr>
          <w:p>
            <w:pPr>
              <w:jc w:val="right"/>
              <w:ind w:right="494"/>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520" w:type="dxa"/>
            <w:vAlign w:val="bottom"/>
          </w:tcPr>
          <w:p>
            <w:pPr>
              <w:jc w:val="right"/>
              <w:ind w:right="74"/>
              <w:spacing w:after="0"/>
              <w:rPr>
                <w:sz w:val="20"/>
                <w:szCs w:val="20"/>
                <w:color w:val="auto"/>
              </w:rPr>
            </w:pPr>
            <w:r>
              <w:rPr>
                <w:rFonts w:ascii="Arial" w:cs="Arial" w:eastAsia="Arial" w:hAnsi="Arial"/>
                <w:sz w:val="17"/>
                <w:szCs w:val="17"/>
                <w:color w:val="auto"/>
                <w:w w:val="85"/>
              </w:rPr>
              <w:t>(342)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80" w:type="dxa"/>
            <w:vAlign w:val="bottom"/>
            <w:shd w:val="clear" w:color="auto" w:fill="EEEEEE"/>
          </w:tcPr>
          <w:p>
            <w:pPr>
              <w:spacing w:after="0"/>
              <w:rPr>
                <w:sz w:val="20"/>
                <w:szCs w:val="20"/>
                <w:color w:val="auto"/>
              </w:rPr>
            </w:pPr>
            <w:r>
              <w:rPr>
                <w:rFonts w:ascii="Arial" w:cs="Arial" w:eastAsia="Arial" w:hAnsi="Arial"/>
                <w:sz w:val="17"/>
                <w:szCs w:val="17"/>
                <w:color w:val="auto"/>
              </w:rPr>
              <w:t>Balance at September 30, 2004 (unaudited)</w:t>
            </w:r>
          </w:p>
        </w:tc>
        <w:tc>
          <w:tcPr>
            <w:tcW w:w="4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EEEEEE"/>
          </w:tcPr>
          <w:p>
            <w:pPr>
              <w:jc w:val="right"/>
              <w:ind w:right="554"/>
              <w:spacing w:after="0"/>
              <w:rPr>
                <w:sz w:val="20"/>
                <w:szCs w:val="20"/>
                <w:color w:val="auto"/>
              </w:rPr>
            </w:pPr>
            <w:r>
              <w:rPr>
                <w:rFonts w:ascii="Arial" w:cs="Arial" w:eastAsia="Arial" w:hAnsi="Arial"/>
                <w:sz w:val="17"/>
                <w:szCs w:val="17"/>
                <w:color w:val="auto"/>
              </w:rPr>
              <w:t>176</w:t>
            </w:r>
          </w:p>
        </w:tc>
        <w:tc>
          <w:tcPr>
            <w:tcW w:w="6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494"/>
              <w:spacing w:after="0"/>
              <w:rPr>
                <w:sz w:val="20"/>
                <w:szCs w:val="20"/>
                <w:color w:val="auto"/>
              </w:rPr>
            </w:pPr>
            <w:r>
              <w:rPr>
                <w:rFonts w:ascii="Arial" w:cs="Arial" w:eastAsia="Arial" w:hAnsi="Arial"/>
                <w:sz w:val="17"/>
                <w:szCs w:val="17"/>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w w:val="98"/>
              </w:rPr>
              <w:t>176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Total comprehensive income for the nine months ended September 30, 2003 was $106,000.</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Prior to October 13, 1999, the Company was organized as an S corporation under the Internal Revenue Code and, therefore, was not subject to federal income taxes. The Company historically made distributions to its shareholders to cover the shareholders’ anticipated tax liability. In connection with the recapitalization agreement, the Company converted its U.S. taxable status from an S corporation to a C corporation and, accordingly, since October 14, 1999 has been subject to federal and state income taxes. Upon the conversion and in connection with the recapitalization, the Company recorded a one-time benefit of $107,000,000 to establish a deferred tax asset as a result of the recapitalization agreement. This amount was recorded as a direct increase to equity in the statements of shareholders’ equity. The income tax expense has been computed by applying the Company’s statutory tax rate to pretax income, adjusted for permanent tax differences. The Company has not recorded a valuation allowance as of December 31, 2003 and September 30, 2004, as the Company believes it will be able to utilize all of its deferred tax asset. The ability to utilize the deferred tax asset is dependent upon the Company’s ability to generate taxable income.</w:t>
      </w:r>
    </w:p>
    <w:p>
      <w:pPr>
        <w:spacing w:after="0" w:line="17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Significant judgment is required in determining the provision for income taxes. During the ordinary course of business, there are many transactions and calculations for which the ultimate tax determination is uncertain. We record our tax provision at the anticipated tax rates based on estimates of annual pretax income. To the extent that the final results differ from these estimated amounts that were initially recorded, such differences will impact the income tax provision in the period in which such determination is made and could have an impact on the deferred tax asset. Our deferred tax assets and liabilities are recorded at an amount based upon a U.S. Federal income tax rate of 34%. This rate is based on our expectation that our deductible and taxable temporary differences will reverse over a period of years during which we will have average annual taxable income not exceeding $10.0 million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9" w:right="259" w:bottom="1440" w:gutter="0" w:footer="0" w:header="0"/>
        </w:sectPr>
      </w:pPr>
    </w:p>
    <w:bookmarkStart w:id="108" w:name="page109"/>
    <w:bookmarkEnd w:id="108"/>
    <w:p>
      <w:pPr>
        <w:ind w:right="120"/>
        <w:spacing w:after="0" w:line="268" w:lineRule="auto"/>
        <w:rPr>
          <w:sz w:val="20"/>
          <w:szCs w:val="20"/>
          <w:color w:val="auto"/>
        </w:rPr>
      </w:pPr>
      <w:r>
        <w:rPr>
          <w:rFonts w:ascii="Arial" w:cs="Arial" w:eastAsia="Arial" w:hAnsi="Arial"/>
          <w:sz w:val="17"/>
          <w:szCs w:val="17"/>
          <w:color w:val="auto"/>
        </w:rPr>
        <w:t>per year. If our results of operations improve in the future, such that our average annual taxable income will be expected to exceed $10.0 million, we will record our deferred tax assets and liabilities at an amount reflecting an average expected U.S. Federal income tax rate of up to 35%, consistent with the corresponding expectation of higher taxable income. If such change is determined to be appropriate, it will affect the provision for income taxes during the period that the determination is made.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234" w:lineRule="exact"/>
        <w:rPr>
          <w:sz w:val="20"/>
          <w:szCs w:val="20"/>
          <w:color w:val="auto"/>
        </w:rPr>
      </w:pPr>
    </w:p>
    <w:p>
      <w:pPr>
        <w:jc w:val="both"/>
        <w:ind w:right="80"/>
        <w:spacing w:after="0" w:line="325" w:lineRule="auto"/>
        <w:rPr>
          <w:sz w:val="20"/>
          <w:szCs w:val="20"/>
          <w:color w:val="auto"/>
        </w:rPr>
      </w:pPr>
      <w:r>
        <w:rPr>
          <w:rFonts w:ascii="Arial" w:cs="Arial" w:eastAsia="Arial" w:hAnsi="Arial"/>
          <w:sz w:val="15"/>
          <w:szCs w:val="15"/>
          <w:color w:val="auto"/>
        </w:rPr>
        <w:t>The Company’s financial statements are translated into U.S. dollars in accordance with SFAS No. 52, “Foreign Currency Translation”. For all operations outside the United States net assets are translated at the current rates of exchange. Income and expense items are translated at the average exchange rate for the year and balance sheet accounts are translated at the period ending rate. The resulting translation adjustments are recorded in accumulated other comprehensive income.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development costs</w:t>
      </w:r>
    </w:p>
    <w:p>
      <w:pPr>
        <w:spacing w:after="0" w:line="23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Software development costs have been accounted for in accordance with SFAS No. 86, “Accounting for the Costs of Computer Software to be Sold, Leased or Otherwise Marketed”. Under the standard, capitalization of software development costs begins upon the establishment of technological feasibility, subject to net realizable value considerations. To date, the period between achieving technological feasibility and the general availability of such software has substantially coincided; therefore, software development costs qualifying for capitalization have been immaterial. Accordingly, the Company has not capitalized any software development costs and has charged all such costs to product development expense.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returns and allowance for doubtful accounts</w:t>
      </w:r>
    </w:p>
    <w:p>
      <w:pPr>
        <w:spacing w:after="0" w:line="2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Company provides customers a 30-day right of return and maintains a reserve for returns which is estimated based on historical experience. Provisions for sales returns are charged against the related revenue items.</w:t>
      </w:r>
    </w:p>
    <w:p>
      <w:pPr>
        <w:spacing w:after="0" w:line="169" w:lineRule="exact"/>
        <w:rPr>
          <w:sz w:val="20"/>
          <w:szCs w:val="20"/>
          <w:color w:val="auto"/>
        </w:rPr>
      </w:pPr>
    </w:p>
    <w:p>
      <w:pPr>
        <w:ind w:right="200"/>
        <w:spacing w:after="0" w:line="356" w:lineRule="auto"/>
        <w:rPr>
          <w:sz w:val="20"/>
          <w:szCs w:val="20"/>
          <w:color w:val="auto"/>
        </w:rPr>
      </w:pPr>
      <w:r>
        <w:rPr>
          <w:rFonts w:ascii="Arial" w:cs="Arial" w:eastAsia="Arial" w:hAnsi="Arial"/>
          <w:sz w:val="15"/>
          <w:szCs w:val="15"/>
          <w:color w:val="auto"/>
        </w:rPr>
        <w:t>In addition, the Company records an allowance for doubtful accounts that reflects estimates of probable credit losses. Accounts are charged against the allowance after all means of collection are exhausted and recovery is considered remote. Provisions for doubtful accounts are recorded in general and administrative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the changes in the Company’s 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249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3500" w:type="dxa"/>
            <w:vAlign w:val="bottom"/>
          </w:tcPr>
          <w:p>
            <w:pPr>
              <w:jc w:val="center"/>
              <w:ind w:left="1874"/>
              <w:spacing w:after="0"/>
              <w:rPr>
                <w:sz w:val="20"/>
                <w:szCs w:val="20"/>
                <w:color w:val="auto"/>
              </w:rPr>
            </w:pPr>
            <w:r>
              <w:rPr>
                <w:rFonts w:ascii="Arial" w:cs="Arial" w:eastAsia="Arial" w:hAnsi="Arial"/>
                <w:sz w:val="13"/>
                <w:szCs w:val="13"/>
                <w:b w:val="1"/>
                <w:bCs w:val="1"/>
                <w:color w:val="auto"/>
                <w:w w:val="88"/>
              </w:rPr>
              <w:t>Balance</w:t>
            </w: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92"/>
              </w:rPr>
              <w:t>Balance</w:t>
            </w:r>
          </w:p>
        </w:tc>
      </w:tr>
      <w:tr>
        <w:trPr>
          <w:trHeight w:val="146"/>
        </w:trPr>
        <w:tc>
          <w:tcPr>
            <w:tcW w:w="3820" w:type="dxa"/>
            <w:vAlign w:val="bottom"/>
          </w:tcPr>
          <w:p>
            <w:pPr>
              <w:spacing w:after="0" w:line="146" w:lineRule="exact"/>
              <w:rPr>
                <w:sz w:val="20"/>
                <w:szCs w:val="20"/>
                <w:color w:val="auto"/>
              </w:rPr>
            </w:pPr>
            <w:r>
              <w:rPr>
                <w:rFonts w:ascii="Arial" w:cs="Arial" w:eastAsia="Arial" w:hAnsi="Arial"/>
                <w:sz w:val="13"/>
                <w:szCs w:val="13"/>
                <w:b w:val="1"/>
                <w:bCs w:val="1"/>
                <w:color w:val="auto"/>
              </w:rPr>
              <w:t>Year ended December 31,</w:t>
            </w:r>
          </w:p>
        </w:tc>
        <w:tc>
          <w:tcPr>
            <w:tcW w:w="3500" w:type="dxa"/>
            <w:vAlign w:val="bottom"/>
          </w:tcPr>
          <w:p>
            <w:pPr>
              <w:jc w:val="center"/>
              <w:ind w:left="1854"/>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ind w:left="394"/>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38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3500" w:type="dxa"/>
            <w:vAlign w:val="bottom"/>
          </w:tcPr>
          <w:p>
            <w:pPr>
              <w:jc w:val="center"/>
              <w:ind w:left="1854"/>
              <w:spacing w:after="0"/>
              <w:rPr>
                <w:sz w:val="20"/>
                <w:szCs w:val="20"/>
                <w:color w:val="auto"/>
              </w:rPr>
            </w:pPr>
            <w:r>
              <w:rPr>
                <w:rFonts w:ascii="Arial" w:cs="Arial" w:eastAsia="Arial" w:hAnsi="Arial"/>
                <w:sz w:val="13"/>
                <w:szCs w:val="13"/>
                <w:b w:val="1"/>
                <w:bCs w:val="1"/>
                <w:color w:val="auto"/>
                <w:w w:val="89"/>
              </w:rPr>
              <w:t>of period</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rPr>
              <w:t>Provision</w:t>
            </w:r>
          </w:p>
        </w:tc>
        <w:tc>
          <w:tcPr>
            <w:tcW w:w="1460" w:type="dxa"/>
            <w:vAlign w:val="bottom"/>
          </w:tcPr>
          <w:p>
            <w:pPr>
              <w:ind w:left="480"/>
              <w:spacing w:after="0"/>
              <w:rPr>
                <w:sz w:val="20"/>
                <w:szCs w:val="20"/>
                <w:color w:val="auto"/>
              </w:rPr>
            </w:pPr>
            <w:r>
              <w:rPr>
                <w:rFonts w:ascii="Arial" w:cs="Arial" w:eastAsia="Arial" w:hAnsi="Arial"/>
                <w:sz w:val="13"/>
                <w:szCs w:val="13"/>
                <w:b w:val="1"/>
                <w:bCs w:val="1"/>
                <w:color w:val="auto"/>
              </w:rPr>
              <w:t>Write-off</w:t>
            </w: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89"/>
              </w:rPr>
              <w:t>of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80" w:type="dxa"/>
            <w:vAlign w:val="bottom"/>
            <w:shd w:val="clear" w:color="auto" w:fill="EEEEEE"/>
          </w:tcPr>
          <w:p>
            <w:pPr>
              <w:spacing w:after="0"/>
              <w:rPr>
                <w:sz w:val="20"/>
                <w:szCs w:val="20"/>
                <w:color w:val="auto"/>
              </w:rPr>
            </w:pPr>
            <w:r>
              <w:rPr>
                <w:rFonts w:ascii="Arial" w:cs="Arial" w:eastAsia="Arial" w:hAnsi="Arial"/>
                <w:sz w:val="17"/>
                <w:szCs w:val="17"/>
                <w:color w:val="auto"/>
              </w:rPr>
              <w:t>2001</w:t>
            </w:r>
          </w:p>
        </w:tc>
        <w:tc>
          <w:tcPr>
            <w:tcW w:w="3340" w:type="dxa"/>
            <w:vAlign w:val="bottom"/>
            <w:shd w:val="clear" w:color="auto" w:fill="EEEEEE"/>
          </w:tcPr>
          <w:p>
            <w:pPr>
              <w:jc w:val="right"/>
              <w:ind w:right="621"/>
              <w:spacing w:after="0"/>
              <w:rPr>
                <w:sz w:val="20"/>
                <w:szCs w:val="20"/>
                <w:color w:val="auto"/>
              </w:rPr>
            </w:pPr>
            <w:r>
              <w:rPr>
                <w:rFonts w:ascii="Arial" w:cs="Arial" w:eastAsia="Arial" w:hAnsi="Arial"/>
                <w:sz w:val="17"/>
                <w:szCs w:val="17"/>
                <w:color w:val="auto"/>
              </w:rPr>
              <w:t>$740</w:t>
            </w:r>
          </w:p>
        </w:tc>
        <w:tc>
          <w:tcPr>
            <w:tcW w:w="140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rPr>
              <w:t>$1,612</w:t>
            </w:r>
          </w:p>
        </w:tc>
        <w:tc>
          <w:tcPr>
            <w:tcW w:w="1400" w:type="dxa"/>
            <w:vAlign w:val="bottom"/>
            <w:shd w:val="clear" w:color="auto" w:fill="EEEEEE"/>
          </w:tcPr>
          <w:p>
            <w:pPr>
              <w:jc w:val="right"/>
              <w:ind w:right="337"/>
              <w:spacing w:after="0"/>
              <w:rPr>
                <w:sz w:val="20"/>
                <w:szCs w:val="20"/>
                <w:color w:val="auto"/>
              </w:rPr>
            </w:pPr>
            <w:r>
              <w:rPr>
                <w:rFonts w:ascii="Arial" w:cs="Arial" w:eastAsia="Arial" w:hAnsi="Arial"/>
                <w:sz w:val="17"/>
                <w:szCs w:val="17"/>
                <w:color w:val="auto"/>
              </w:rPr>
              <w:t>$(1,818)</w:t>
            </w:r>
          </w:p>
        </w:tc>
        <w:tc>
          <w:tcPr>
            <w:tcW w:w="1200" w:type="dxa"/>
            <w:vAlign w:val="bottom"/>
            <w:shd w:val="clear" w:color="auto" w:fill="EEEEEE"/>
          </w:tcPr>
          <w:p>
            <w:pPr>
              <w:jc w:val="right"/>
              <w:ind w:right="241"/>
              <w:spacing w:after="0"/>
              <w:rPr>
                <w:sz w:val="20"/>
                <w:szCs w:val="20"/>
                <w:color w:val="auto"/>
              </w:rPr>
            </w:pPr>
            <w:r>
              <w:rPr>
                <w:rFonts w:ascii="Arial" w:cs="Arial" w:eastAsia="Arial" w:hAnsi="Arial"/>
                <w:sz w:val="17"/>
                <w:szCs w:val="17"/>
                <w:color w:val="auto"/>
              </w:rPr>
              <w:t>$534</w:t>
            </w:r>
          </w:p>
        </w:tc>
      </w:tr>
      <w:tr>
        <w:trPr>
          <w:trHeight w:val="212"/>
        </w:trPr>
        <w:tc>
          <w:tcPr>
            <w:tcW w:w="4080" w:type="dxa"/>
            <w:vAlign w:val="bottom"/>
          </w:tcPr>
          <w:p>
            <w:pPr>
              <w:spacing w:after="0"/>
              <w:rPr>
                <w:sz w:val="20"/>
                <w:szCs w:val="20"/>
                <w:color w:val="auto"/>
              </w:rPr>
            </w:pPr>
            <w:r>
              <w:rPr>
                <w:rFonts w:ascii="Arial" w:cs="Arial" w:eastAsia="Arial" w:hAnsi="Arial"/>
                <w:sz w:val="17"/>
                <w:szCs w:val="17"/>
                <w:color w:val="auto"/>
              </w:rPr>
              <w:t>2002</w:t>
            </w:r>
          </w:p>
        </w:tc>
        <w:tc>
          <w:tcPr>
            <w:tcW w:w="3340" w:type="dxa"/>
            <w:vAlign w:val="bottom"/>
          </w:tcPr>
          <w:p>
            <w:pPr>
              <w:jc w:val="right"/>
              <w:ind w:right="621"/>
              <w:spacing w:after="0"/>
              <w:rPr>
                <w:sz w:val="20"/>
                <w:szCs w:val="20"/>
                <w:color w:val="auto"/>
              </w:rPr>
            </w:pPr>
            <w:r>
              <w:rPr>
                <w:rFonts w:ascii="Arial" w:cs="Arial" w:eastAsia="Arial" w:hAnsi="Arial"/>
                <w:sz w:val="17"/>
                <w:szCs w:val="17"/>
                <w:color w:val="auto"/>
              </w:rPr>
              <w:t>534</w:t>
            </w:r>
          </w:p>
        </w:tc>
        <w:tc>
          <w:tcPr>
            <w:tcW w:w="1400" w:type="dxa"/>
            <w:vAlign w:val="bottom"/>
          </w:tcPr>
          <w:p>
            <w:pPr>
              <w:jc w:val="right"/>
              <w:ind w:right="477"/>
              <w:spacing w:after="0"/>
              <w:rPr>
                <w:sz w:val="20"/>
                <w:szCs w:val="20"/>
                <w:color w:val="auto"/>
              </w:rPr>
            </w:pPr>
            <w:r>
              <w:rPr>
                <w:rFonts w:ascii="Arial" w:cs="Arial" w:eastAsia="Arial" w:hAnsi="Arial"/>
                <w:sz w:val="17"/>
                <w:szCs w:val="17"/>
                <w:color w:val="auto"/>
              </w:rPr>
              <w:t>1,155</w:t>
            </w:r>
          </w:p>
        </w:tc>
        <w:tc>
          <w:tcPr>
            <w:tcW w:w="1400" w:type="dxa"/>
            <w:vAlign w:val="bottom"/>
          </w:tcPr>
          <w:p>
            <w:pPr>
              <w:jc w:val="right"/>
              <w:ind w:right="337"/>
              <w:spacing w:after="0"/>
              <w:rPr>
                <w:sz w:val="20"/>
                <w:szCs w:val="20"/>
                <w:color w:val="auto"/>
              </w:rPr>
            </w:pPr>
            <w:r>
              <w:rPr>
                <w:rFonts w:ascii="Arial" w:cs="Arial" w:eastAsia="Arial" w:hAnsi="Arial"/>
                <w:sz w:val="17"/>
                <w:szCs w:val="17"/>
                <w:color w:val="auto"/>
              </w:rPr>
              <w:t>(1,046)</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643</w:t>
            </w:r>
          </w:p>
        </w:tc>
      </w:tr>
      <w:tr>
        <w:trPr>
          <w:trHeight w:val="212"/>
        </w:trPr>
        <w:tc>
          <w:tcPr>
            <w:tcW w:w="4080" w:type="dxa"/>
            <w:vAlign w:val="bottom"/>
            <w:shd w:val="clear" w:color="auto" w:fill="EEEEEE"/>
          </w:tcPr>
          <w:p>
            <w:pPr>
              <w:spacing w:after="0"/>
              <w:rPr>
                <w:sz w:val="20"/>
                <w:szCs w:val="20"/>
                <w:color w:val="auto"/>
              </w:rPr>
            </w:pPr>
            <w:r>
              <w:rPr>
                <w:rFonts w:ascii="Arial" w:cs="Arial" w:eastAsia="Arial" w:hAnsi="Arial"/>
                <w:sz w:val="17"/>
                <w:szCs w:val="17"/>
                <w:color w:val="auto"/>
              </w:rPr>
              <w:t>2003</w:t>
            </w:r>
          </w:p>
        </w:tc>
        <w:tc>
          <w:tcPr>
            <w:tcW w:w="3340" w:type="dxa"/>
            <w:vAlign w:val="bottom"/>
            <w:shd w:val="clear" w:color="auto" w:fill="EEEEEE"/>
          </w:tcPr>
          <w:p>
            <w:pPr>
              <w:jc w:val="right"/>
              <w:ind w:right="621"/>
              <w:spacing w:after="0"/>
              <w:rPr>
                <w:sz w:val="20"/>
                <w:szCs w:val="20"/>
                <w:color w:val="auto"/>
              </w:rPr>
            </w:pPr>
            <w:r>
              <w:rPr>
                <w:rFonts w:ascii="Arial" w:cs="Arial" w:eastAsia="Arial" w:hAnsi="Arial"/>
                <w:sz w:val="17"/>
                <w:szCs w:val="17"/>
                <w:color w:val="auto"/>
              </w:rPr>
              <w:t>643</w:t>
            </w:r>
          </w:p>
        </w:tc>
        <w:tc>
          <w:tcPr>
            <w:tcW w:w="140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rPr>
              <w:t>664</w:t>
            </w:r>
          </w:p>
        </w:tc>
        <w:tc>
          <w:tcPr>
            <w:tcW w:w="1400" w:type="dxa"/>
            <w:vAlign w:val="bottom"/>
            <w:shd w:val="clear" w:color="auto" w:fill="EEEEEE"/>
          </w:tcPr>
          <w:p>
            <w:pPr>
              <w:jc w:val="right"/>
              <w:ind w:right="337"/>
              <w:spacing w:after="0"/>
              <w:rPr>
                <w:sz w:val="20"/>
                <w:szCs w:val="20"/>
                <w:color w:val="auto"/>
              </w:rPr>
            </w:pPr>
            <w:r>
              <w:rPr>
                <w:rFonts w:ascii="Arial" w:cs="Arial" w:eastAsia="Arial" w:hAnsi="Arial"/>
                <w:sz w:val="17"/>
                <w:szCs w:val="17"/>
                <w:color w:val="auto"/>
              </w:rPr>
              <w:t>(955)</w:t>
            </w:r>
          </w:p>
        </w:tc>
        <w:tc>
          <w:tcPr>
            <w:tcW w:w="1200" w:type="dxa"/>
            <w:vAlign w:val="bottom"/>
            <w:shd w:val="clear" w:color="auto" w:fill="EEEEEE"/>
          </w:tcPr>
          <w:p>
            <w:pPr>
              <w:jc w:val="right"/>
              <w:ind w:right="241"/>
              <w:spacing w:after="0"/>
              <w:rPr>
                <w:sz w:val="20"/>
                <w:szCs w:val="20"/>
                <w:color w:val="auto"/>
              </w:rPr>
            </w:pPr>
            <w:r>
              <w:rPr>
                <w:rFonts w:ascii="Arial" w:cs="Arial" w:eastAsia="Arial" w:hAnsi="Arial"/>
                <w:sz w:val="17"/>
                <w:szCs w:val="17"/>
                <w:color w:val="auto"/>
              </w:rPr>
              <w:t>352</w:t>
            </w:r>
          </w:p>
        </w:tc>
      </w:tr>
      <w:tr>
        <w:trPr>
          <w:trHeight w:val="106"/>
        </w:trPr>
        <w:tc>
          <w:tcPr>
            <w:tcW w:w="408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17"/>
        </w:trPr>
        <w:tc>
          <w:tcPr>
            <w:tcW w:w="408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r>
        <w:trPr>
          <w:trHeight w:val="232"/>
        </w:trPr>
        <w:tc>
          <w:tcPr>
            <w:tcW w:w="4080" w:type="dxa"/>
            <w:vAlign w:val="bottom"/>
          </w:tcPr>
          <w:p>
            <w:pPr>
              <w:spacing w:after="0"/>
              <w:rPr>
                <w:sz w:val="20"/>
                <w:szCs w:val="20"/>
                <w:color w:val="auto"/>
              </w:rPr>
            </w:pPr>
          </w:p>
        </w:tc>
        <w:tc>
          <w:tcPr>
            <w:tcW w:w="3340" w:type="dxa"/>
            <w:vAlign w:val="bottom"/>
          </w:tcPr>
          <w:p>
            <w:pPr>
              <w:jc w:val="center"/>
              <w:ind w:left="1841"/>
              <w:spacing w:after="0"/>
              <w:rPr>
                <w:sz w:val="20"/>
                <w:szCs w:val="20"/>
                <w:color w:val="auto"/>
              </w:rPr>
            </w:pPr>
            <w:r>
              <w:rPr>
                <w:rFonts w:ascii="Arial" w:cs="Arial" w:eastAsia="Arial" w:hAnsi="Arial"/>
                <w:sz w:val="13"/>
                <w:szCs w:val="13"/>
                <w:b w:val="1"/>
                <w:bCs w:val="1"/>
                <w:color w:val="auto"/>
                <w:w w:val="92"/>
              </w:rPr>
              <w:t>Balance</w:t>
            </w: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jc w:val="center"/>
              <w:ind w:left="101"/>
              <w:spacing w:after="0"/>
              <w:rPr>
                <w:sz w:val="20"/>
                <w:szCs w:val="20"/>
                <w:color w:val="auto"/>
              </w:rPr>
            </w:pPr>
            <w:r>
              <w:rPr>
                <w:rFonts w:ascii="Arial" w:cs="Arial" w:eastAsia="Arial" w:hAnsi="Arial"/>
                <w:sz w:val="13"/>
                <w:szCs w:val="13"/>
                <w:b w:val="1"/>
                <w:bCs w:val="1"/>
                <w:color w:val="auto"/>
                <w:w w:val="92"/>
              </w:rPr>
              <w:t>Balance</w:t>
            </w:r>
          </w:p>
        </w:tc>
      </w:tr>
      <w:tr>
        <w:trPr>
          <w:trHeight w:val="146"/>
        </w:trPr>
        <w:tc>
          <w:tcPr>
            <w:tcW w:w="4080" w:type="dxa"/>
            <w:vAlign w:val="bottom"/>
          </w:tcPr>
          <w:p>
            <w:pPr>
              <w:spacing w:after="0" w:line="146" w:lineRule="exact"/>
              <w:rPr>
                <w:sz w:val="20"/>
                <w:szCs w:val="20"/>
                <w:color w:val="auto"/>
              </w:rPr>
            </w:pPr>
            <w:r>
              <w:rPr>
                <w:rFonts w:ascii="Arial" w:cs="Arial" w:eastAsia="Arial" w:hAnsi="Arial"/>
                <w:sz w:val="13"/>
                <w:szCs w:val="13"/>
                <w:b w:val="1"/>
                <w:bCs w:val="1"/>
                <w:color w:val="auto"/>
              </w:rPr>
              <w:t>Nine months ended September 30, (unaudited)</w:t>
            </w:r>
          </w:p>
        </w:tc>
        <w:tc>
          <w:tcPr>
            <w:tcW w:w="3340" w:type="dxa"/>
            <w:vAlign w:val="bottom"/>
          </w:tcPr>
          <w:p>
            <w:pPr>
              <w:jc w:val="center"/>
              <w:ind w:left="1841"/>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jc w:val="center"/>
              <w:ind w:left="101"/>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40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3340" w:type="dxa"/>
            <w:vAlign w:val="bottom"/>
          </w:tcPr>
          <w:p>
            <w:pPr>
              <w:jc w:val="center"/>
              <w:ind w:left="1841"/>
              <w:spacing w:after="0"/>
              <w:rPr>
                <w:sz w:val="20"/>
                <w:szCs w:val="20"/>
                <w:color w:val="auto"/>
              </w:rPr>
            </w:pPr>
            <w:r>
              <w:rPr>
                <w:rFonts w:ascii="Arial" w:cs="Arial" w:eastAsia="Arial" w:hAnsi="Arial"/>
                <w:sz w:val="13"/>
                <w:szCs w:val="13"/>
                <w:b w:val="1"/>
                <w:bCs w:val="1"/>
                <w:color w:val="auto"/>
                <w:w w:val="89"/>
              </w:rPr>
              <w:t>of period</w:t>
            </w:r>
          </w:p>
        </w:tc>
        <w:tc>
          <w:tcPr>
            <w:tcW w:w="1400" w:type="dxa"/>
            <w:vAlign w:val="bottom"/>
          </w:tcPr>
          <w:p>
            <w:pPr>
              <w:jc w:val="right"/>
              <w:ind w:right="317"/>
              <w:spacing w:after="0"/>
              <w:rPr>
                <w:sz w:val="20"/>
                <w:szCs w:val="20"/>
                <w:color w:val="auto"/>
              </w:rPr>
            </w:pPr>
            <w:r>
              <w:rPr>
                <w:rFonts w:ascii="Arial" w:cs="Arial" w:eastAsia="Arial" w:hAnsi="Arial"/>
                <w:sz w:val="13"/>
                <w:szCs w:val="13"/>
                <w:b w:val="1"/>
                <w:bCs w:val="1"/>
                <w:color w:val="auto"/>
              </w:rPr>
              <w:t>Provision</w:t>
            </w:r>
          </w:p>
        </w:tc>
        <w:tc>
          <w:tcPr>
            <w:tcW w:w="1400" w:type="dxa"/>
            <w:vAlign w:val="bottom"/>
          </w:tcPr>
          <w:p>
            <w:pPr>
              <w:jc w:val="right"/>
              <w:ind w:right="337"/>
              <w:spacing w:after="0"/>
              <w:rPr>
                <w:sz w:val="20"/>
                <w:szCs w:val="20"/>
                <w:color w:val="auto"/>
              </w:rPr>
            </w:pPr>
            <w:r>
              <w:rPr>
                <w:rFonts w:ascii="Arial" w:cs="Arial" w:eastAsia="Arial" w:hAnsi="Arial"/>
                <w:sz w:val="13"/>
                <w:szCs w:val="13"/>
                <w:b w:val="1"/>
                <w:bCs w:val="1"/>
                <w:color w:val="auto"/>
              </w:rPr>
              <w:t>Write-off</w:t>
            </w:r>
          </w:p>
        </w:tc>
        <w:tc>
          <w:tcPr>
            <w:tcW w:w="1200" w:type="dxa"/>
            <w:vAlign w:val="bottom"/>
          </w:tcPr>
          <w:p>
            <w:pPr>
              <w:jc w:val="center"/>
              <w:ind w:left="101"/>
              <w:spacing w:after="0"/>
              <w:rPr>
                <w:sz w:val="20"/>
                <w:szCs w:val="20"/>
                <w:color w:val="auto"/>
              </w:rPr>
            </w:pPr>
            <w:r>
              <w:rPr>
                <w:rFonts w:ascii="Arial" w:cs="Arial" w:eastAsia="Arial" w:hAnsi="Arial"/>
                <w:sz w:val="13"/>
                <w:szCs w:val="13"/>
                <w:b w:val="1"/>
                <w:bCs w:val="1"/>
                <w:color w:val="auto"/>
                <w:w w:val="89"/>
              </w:rPr>
              <w:t>of period</w:t>
            </w:r>
          </w:p>
        </w:tc>
      </w:tr>
      <w:tr>
        <w:trPr>
          <w:trHeight w:val="94"/>
        </w:trPr>
        <w:tc>
          <w:tcPr>
            <w:tcW w:w="4080" w:type="dxa"/>
            <w:vAlign w:val="bottom"/>
            <w:tcBorders>
              <w:bottom w:val="single" w:sz="8" w:color="808080"/>
            </w:tcBorders>
          </w:tcPr>
          <w:p>
            <w:pPr>
              <w:spacing w:after="0"/>
              <w:rPr>
                <w:sz w:val="8"/>
                <w:szCs w:val="8"/>
                <w:color w:val="auto"/>
              </w:rPr>
            </w:pPr>
          </w:p>
        </w:tc>
        <w:tc>
          <w:tcPr>
            <w:tcW w:w="334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302"/>
        </w:trPr>
        <w:tc>
          <w:tcPr>
            <w:tcW w:w="4080" w:type="dxa"/>
            <w:vAlign w:val="bottom"/>
          </w:tcPr>
          <w:p>
            <w:pPr>
              <w:spacing w:after="0"/>
              <w:rPr>
                <w:sz w:val="20"/>
                <w:szCs w:val="20"/>
                <w:color w:val="auto"/>
              </w:rPr>
            </w:pPr>
            <w:r>
              <w:rPr>
                <w:rFonts w:ascii="Arial" w:cs="Arial" w:eastAsia="Arial" w:hAnsi="Arial"/>
                <w:sz w:val="17"/>
                <w:szCs w:val="17"/>
                <w:color w:val="auto"/>
              </w:rPr>
              <w:t>2003</w:t>
            </w:r>
          </w:p>
        </w:tc>
        <w:tc>
          <w:tcPr>
            <w:tcW w:w="3340" w:type="dxa"/>
            <w:vAlign w:val="bottom"/>
          </w:tcPr>
          <w:p>
            <w:pPr>
              <w:jc w:val="right"/>
              <w:ind w:right="441"/>
              <w:spacing w:after="0"/>
              <w:rPr>
                <w:sz w:val="20"/>
                <w:szCs w:val="20"/>
                <w:color w:val="auto"/>
              </w:rPr>
            </w:pPr>
            <w:r>
              <w:rPr>
                <w:rFonts w:ascii="Arial" w:cs="Arial" w:eastAsia="Arial" w:hAnsi="Arial"/>
                <w:sz w:val="17"/>
                <w:szCs w:val="17"/>
                <w:color w:val="auto"/>
              </w:rPr>
              <w:t>$643</w:t>
            </w:r>
          </w:p>
        </w:tc>
        <w:tc>
          <w:tcPr>
            <w:tcW w:w="1400" w:type="dxa"/>
            <w:vAlign w:val="bottom"/>
          </w:tcPr>
          <w:p>
            <w:pPr>
              <w:jc w:val="right"/>
              <w:ind w:right="397"/>
              <w:spacing w:after="0"/>
              <w:rPr>
                <w:sz w:val="20"/>
                <w:szCs w:val="20"/>
                <w:color w:val="auto"/>
              </w:rPr>
            </w:pPr>
            <w:r>
              <w:rPr>
                <w:rFonts w:ascii="Arial" w:cs="Arial" w:eastAsia="Arial" w:hAnsi="Arial"/>
                <w:sz w:val="17"/>
                <w:szCs w:val="17"/>
                <w:color w:val="auto"/>
              </w:rPr>
              <w:t>$498</w:t>
            </w:r>
          </w:p>
        </w:tc>
        <w:tc>
          <w:tcPr>
            <w:tcW w:w="1400" w:type="dxa"/>
            <w:vAlign w:val="bottom"/>
          </w:tcPr>
          <w:p>
            <w:pPr>
              <w:jc w:val="right"/>
              <w:ind w:right="357"/>
              <w:spacing w:after="0"/>
              <w:rPr>
                <w:sz w:val="20"/>
                <w:szCs w:val="20"/>
                <w:color w:val="auto"/>
              </w:rPr>
            </w:pPr>
            <w:r>
              <w:rPr>
                <w:rFonts w:ascii="Arial" w:cs="Arial" w:eastAsia="Arial" w:hAnsi="Arial"/>
                <w:sz w:val="17"/>
                <w:szCs w:val="17"/>
                <w:color w:val="auto"/>
              </w:rPr>
              <w:t>$(716)</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$425</w:t>
            </w:r>
          </w:p>
        </w:tc>
      </w:tr>
      <w:tr>
        <w:trPr>
          <w:trHeight w:val="217"/>
        </w:trPr>
        <w:tc>
          <w:tcPr>
            <w:tcW w:w="4080" w:type="dxa"/>
            <w:vAlign w:val="bottom"/>
          </w:tcPr>
          <w:p>
            <w:pPr>
              <w:spacing w:after="0"/>
              <w:rPr>
                <w:sz w:val="20"/>
                <w:szCs w:val="20"/>
                <w:color w:val="auto"/>
              </w:rPr>
            </w:pPr>
            <w:r>
              <w:rPr>
                <w:rFonts w:ascii="Arial" w:cs="Arial" w:eastAsia="Arial" w:hAnsi="Arial"/>
                <w:sz w:val="17"/>
                <w:szCs w:val="17"/>
                <w:color w:val="auto"/>
              </w:rPr>
              <w:t>2004</w:t>
            </w:r>
          </w:p>
        </w:tc>
        <w:tc>
          <w:tcPr>
            <w:tcW w:w="3340" w:type="dxa"/>
            <w:vAlign w:val="bottom"/>
          </w:tcPr>
          <w:p>
            <w:pPr>
              <w:jc w:val="right"/>
              <w:ind w:right="441"/>
              <w:spacing w:after="0"/>
              <w:rPr>
                <w:sz w:val="20"/>
                <w:szCs w:val="20"/>
                <w:color w:val="auto"/>
              </w:rPr>
            </w:pPr>
            <w:r>
              <w:rPr>
                <w:rFonts w:ascii="Arial" w:cs="Arial" w:eastAsia="Arial" w:hAnsi="Arial"/>
                <w:sz w:val="17"/>
                <w:szCs w:val="17"/>
                <w:color w:val="auto"/>
              </w:rPr>
              <w:t>352</w:t>
            </w:r>
          </w:p>
        </w:tc>
        <w:tc>
          <w:tcPr>
            <w:tcW w:w="1400" w:type="dxa"/>
            <w:vAlign w:val="bottom"/>
          </w:tcPr>
          <w:p>
            <w:pPr>
              <w:jc w:val="right"/>
              <w:ind w:right="397"/>
              <w:spacing w:after="0"/>
              <w:rPr>
                <w:sz w:val="20"/>
                <w:szCs w:val="20"/>
                <w:color w:val="auto"/>
              </w:rPr>
            </w:pPr>
            <w:r>
              <w:rPr>
                <w:rFonts w:ascii="Arial" w:cs="Arial" w:eastAsia="Arial" w:hAnsi="Arial"/>
                <w:sz w:val="17"/>
                <w:szCs w:val="17"/>
                <w:color w:val="auto"/>
              </w:rPr>
              <w:t>535</w:t>
            </w:r>
          </w:p>
        </w:tc>
        <w:tc>
          <w:tcPr>
            <w:tcW w:w="1400" w:type="dxa"/>
            <w:vAlign w:val="bottom"/>
          </w:tcPr>
          <w:p>
            <w:pPr>
              <w:jc w:val="right"/>
              <w:ind w:right="357"/>
              <w:spacing w:after="0"/>
              <w:rPr>
                <w:sz w:val="20"/>
                <w:szCs w:val="20"/>
                <w:color w:val="auto"/>
              </w:rPr>
            </w:pPr>
            <w:r>
              <w:rPr>
                <w:rFonts w:ascii="Arial" w:cs="Arial" w:eastAsia="Arial" w:hAnsi="Arial"/>
                <w:sz w:val="17"/>
                <w:szCs w:val="17"/>
                <w:color w:val="auto"/>
              </w:rPr>
              <w:t>(217)</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670</w:t>
            </w:r>
          </w:p>
        </w:tc>
      </w:tr>
      <w:tr>
        <w:trPr>
          <w:trHeight w:val="109"/>
        </w:trPr>
        <w:tc>
          <w:tcPr>
            <w:tcW w:w="4080" w:type="dxa"/>
            <w:vAlign w:val="bottom"/>
            <w:tcBorders>
              <w:bottom w:val="single" w:sz="8" w:color="808080"/>
            </w:tcBorders>
          </w:tcPr>
          <w:p>
            <w:pPr>
              <w:spacing w:after="0"/>
              <w:rPr>
                <w:sz w:val="9"/>
                <w:szCs w:val="9"/>
                <w:color w:val="auto"/>
              </w:rPr>
            </w:pPr>
          </w:p>
        </w:tc>
        <w:tc>
          <w:tcPr>
            <w:tcW w:w="334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519"/>
        </w:trPr>
        <w:tc>
          <w:tcPr>
            <w:tcW w:w="4080" w:type="dxa"/>
            <w:vAlign w:val="bottom"/>
          </w:tcPr>
          <w:p>
            <w:pPr>
              <w:spacing w:after="0"/>
              <w:rPr>
                <w:sz w:val="24"/>
                <w:szCs w:val="24"/>
                <w:color w:val="auto"/>
              </w:rPr>
            </w:pPr>
          </w:p>
        </w:tc>
        <w:tc>
          <w:tcPr>
            <w:tcW w:w="3340" w:type="dxa"/>
            <w:vAlign w:val="bottom"/>
          </w:tcPr>
          <w:p>
            <w:pPr>
              <w:jc w:val="right"/>
              <w:ind w:right="1461"/>
              <w:spacing w:after="0"/>
              <w:rPr>
                <w:sz w:val="20"/>
                <w:szCs w:val="20"/>
                <w:color w:val="auto"/>
              </w:rPr>
            </w:pPr>
            <w:r>
              <w:rPr>
                <w:rFonts w:ascii="Arial" w:cs="Arial" w:eastAsia="Arial" w:hAnsi="Arial"/>
                <w:sz w:val="17"/>
                <w:szCs w:val="17"/>
                <w:color w:val="auto"/>
              </w:rPr>
              <w:t>F-14</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4"/>
        </w:trPr>
        <w:tc>
          <w:tcPr>
            <w:tcW w:w="40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auto"/>
        </w:rPr>
        <w:t>Below is a summary of the changes in the Company’s allowance for sales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249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3500" w:type="dxa"/>
            <w:vAlign w:val="bottom"/>
          </w:tcPr>
          <w:p>
            <w:pPr>
              <w:jc w:val="center"/>
              <w:ind w:left="1874"/>
              <w:spacing w:after="0"/>
              <w:rPr>
                <w:sz w:val="20"/>
                <w:szCs w:val="20"/>
                <w:color w:val="auto"/>
              </w:rPr>
            </w:pPr>
            <w:r>
              <w:rPr>
                <w:rFonts w:ascii="Arial" w:cs="Arial" w:eastAsia="Arial" w:hAnsi="Arial"/>
                <w:sz w:val="13"/>
                <w:szCs w:val="13"/>
                <w:b w:val="1"/>
                <w:bCs w:val="1"/>
                <w:color w:val="auto"/>
                <w:w w:val="88"/>
              </w:rPr>
              <w:t>Balance</w:t>
            </w: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92"/>
              </w:rPr>
              <w:t>Balance</w:t>
            </w:r>
          </w:p>
        </w:tc>
      </w:tr>
      <w:tr>
        <w:trPr>
          <w:trHeight w:val="146"/>
        </w:trPr>
        <w:tc>
          <w:tcPr>
            <w:tcW w:w="3820" w:type="dxa"/>
            <w:vAlign w:val="bottom"/>
          </w:tcPr>
          <w:p>
            <w:pPr>
              <w:spacing w:after="0" w:line="146" w:lineRule="exact"/>
              <w:rPr>
                <w:sz w:val="20"/>
                <w:szCs w:val="20"/>
                <w:color w:val="auto"/>
              </w:rPr>
            </w:pPr>
            <w:r>
              <w:rPr>
                <w:rFonts w:ascii="Arial" w:cs="Arial" w:eastAsia="Arial" w:hAnsi="Arial"/>
                <w:sz w:val="13"/>
                <w:szCs w:val="13"/>
                <w:b w:val="1"/>
                <w:bCs w:val="1"/>
                <w:color w:val="auto"/>
              </w:rPr>
              <w:t>Year ended December 31,</w:t>
            </w:r>
          </w:p>
        </w:tc>
        <w:tc>
          <w:tcPr>
            <w:tcW w:w="3500" w:type="dxa"/>
            <w:vAlign w:val="bottom"/>
          </w:tcPr>
          <w:p>
            <w:pPr>
              <w:jc w:val="center"/>
              <w:ind w:left="1854"/>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tcPr>
          <w:p>
            <w:pPr>
              <w:jc w:val="center"/>
              <w:ind w:left="394"/>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38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3500" w:type="dxa"/>
            <w:vAlign w:val="bottom"/>
          </w:tcPr>
          <w:p>
            <w:pPr>
              <w:jc w:val="center"/>
              <w:ind w:left="1854"/>
              <w:spacing w:after="0"/>
              <w:rPr>
                <w:sz w:val="20"/>
                <w:szCs w:val="20"/>
                <w:color w:val="auto"/>
              </w:rPr>
            </w:pPr>
            <w:r>
              <w:rPr>
                <w:rFonts w:ascii="Arial" w:cs="Arial" w:eastAsia="Arial" w:hAnsi="Arial"/>
                <w:sz w:val="13"/>
                <w:szCs w:val="13"/>
                <w:b w:val="1"/>
                <w:bCs w:val="1"/>
                <w:color w:val="auto"/>
                <w:w w:val="89"/>
              </w:rPr>
              <w:t>of period</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rPr>
              <w:t>Provision</w:t>
            </w:r>
          </w:p>
        </w:tc>
        <w:tc>
          <w:tcPr>
            <w:tcW w:w="1460" w:type="dxa"/>
            <w:vAlign w:val="bottom"/>
          </w:tcPr>
          <w:p>
            <w:pPr>
              <w:ind w:left="480"/>
              <w:spacing w:after="0"/>
              <w:rPr>
                <w:sz w:val="20"/>
                <w:szCs w:val="20"/>
                <w:color w:val="auto"/>
              </w:rPr>
            </w:pPr>
            <w:r>
              <w:rPr>
                <w:rFonts w:ascii="Arial" w:cs="Arial" w:eastAsia="Arial" w:hAnsi="Arial"/>
                <w:sz w:val="13"/>
                <w:szCs w:val="13"/>
                <w:b w:val="1"/>
                <w:bCs w:val="1"/>
                <w:color w:val="auto"/>
              </w:rPr>
              <w:t>Write-off</w:t>
            </w: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89"/>
              </w:rPr>
              <w:t>of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shd w:val="clear" w:color="auto" w:fill="EEEEEE"/>
          </w:tcPr>
          <w:p>
            <w:pPr>
              <w:spacing w:after="0"/>
              <w:rPr>
                <w:sz w:val="20"/>
                <w:szCs w:val="20"/>
                <w:color w:val="auto"/>
              </w:rPr>
            </w:pPr>
            <w:r>
              <w:rPr>
                <w:rFonts w:ascii="Arial" w:cs="Arial" w:eastAsia="Arial" w:hAnsi="Arial"/>
                <w:sz w:val="17"/>
                <w:szCs w:val="17"/>
                <w:color w:val="auto"/>
              </w:rPr>
              <w:t>2001</w:t>
            </w:r>
          </w:p>
        </w:tc>
        <w:tc>
          <w:tcPr>
            <w:tcW w:w="2920" w:type="dxa"/>
            <w:vAlign w:val="bottom"/>
            <w:shd w:val="clear" w:color="auto" w:fill="EEEEEE"/>
          </w:tcPr>
          <w:p>
            <w:pPr>
              <w:jc w:val="right"/>
              <w:ind w:right="621"/>
              <w:spacing w:after="0"/>
              <w:rPr>
                <w:sz w:val="20"/>
                <w:szCs w:val="20"/>
                <w:color w:val="auto"/>
              </w:rPr>
            </w:pPr>
            <w:r>
              <w:rPr>
                <w:rFonts w:ascii="Arial" w:cs="Arial" w:eastAsia="Arial" w:hAnsi="Arial"/>
                <w:sz w:val="17"/>
                <w:szCs w:val="17"/>
                <w:color w:val="auto"/>
              </w:rPr>
              <w:t>$449</w:t>
            </w:r>
          </w:p>
        </w:tc>
        <w:tc>
          <w:tcPr>
            <w:tcW w:w="140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rPr>
              <w:t>$1,596</w:t>
            </w:r>
          </w:p>
        </w:tc>
        <w:tc>
          <w:tcPr>
            <w:tcW w:w="1400" w:type="dxa"/>
            <w:vAlign w:val="bottom"/>
            <w:shd w:val="clear" w:color="auto" w:fill="EEEEEE"/>
          </w:tcPr>
          <w:p>
            <w:pPr>
              <w:jc w:val="right"/>
              <w:ind w:right="337"/>
              <w:spacing w:after="0"/>
              <w:rPr>
                <w:sz w:val="20"/>
                <w:szCs w:val="20"/>
                <w:color w:val="auto"/>
              </w:rPr>
            </w:pPr>
            <w:r>
              <w:rPr>
                <w:rFonts w:ascii="Arial" w:cs="Arial" w:eastAsia="Arial" w:hAnsi="Arial"/>
                <w:sz w:val="17"/>
                <w:szCs w:val="17"/>
                <w:color w:val="auto"/>
              </w:rPr>
              <w:t>$(1,376)</w:t>
            </w:r>
          </w:p>
        </w:tc>
        <w:tc>
          <w:tcPr>
            <w:tcW w:w="1200" w:type="dxa"/>
            <w:vAlign w:val="bottom"/>
            <w:shd w:val="clear" w:color="auto" w:fill="EEEEEE"/>
          </w:tcPr>
          <w:p>
            <w:pPr>
              <w:jc w:val="right"/>
              <w:ind w:right="241"/>
              <w:spacing w:after="0"/>
              <w:rPr>
                <w:sz w:val="20"/>
                <w:szCs w:val="20"/>
                <w:color w:val="auto"/>
              </w:rPr>
            </w:pPr>
            <w:r>
              <w:rPr>
                <w:rFonts w:ascii="Arial" w:cs="Arial" w:eastAsia="Arial" w:hAnsi="Arial"/>
                <w:sz w:val="17"/>
                <w:szCs w:val="17"/>
                <w:color w:val="auto"/>
              </w:rPr>
              <w:t>$669</w:t>
            </w:r>
          </w:p>
        </w:tc>
      </w:tr>
      <w:tr>
        <w:trPr>
          <w:trHeight w:val="212"/>
        </w:trPr>
        <w:tc>
          <w:tcPr>
            <w:tcW w:w="4500" w:type="dxa"/>
            <w:vAlign w:val="bottom"/>
          </w:tcPr>
          <w:p>
            <w:pPr>
              <w:spacing w:after="0"/>
              <w:rPr>
                <w:sz w:val="20"/>
                <w:szCs w:val="20"/>
                <w:color w:val="auto"/>
              </w:rPr>
            </w:pPr>
            <w:r>
              <w:rPr>
                <w:rFonts w:ascii="Arial" w:cs="Arial" w:eastAsia="Arial" w:hAnsi="Arial"/>
                <w:sz w:val="17"/>
                <w:szCs w:val="17"/>
                <w:color w:val="auto"/>
              </w:rPr>
              <w:t>2002</w:t>
            </w:r>
          </w:p>
        </w:tc>
        <w:tc>
          <w:tcPr>
            <w:tcW w:w="2920" w:type="dxa"/>
            <w:vAlign w:val="bottom"/>
          </w:tcPr>
          <w:p>
            <w:pPr>
              <w:jc w:val="right"/>
              <w:ind w:right="621"/>
              <w:spacing w:after="0"/>
              <w:rPr>
                <w:sz w:val="20"/>
                <w:szCs w:val="20"/>
                <w:color w:val="auto"/>
              </w:rPr>
            </w:pPr>
            <w:r>
              <w:rPr>
                <w:rFonts w:ascii="Arial" w:cs="Arial" w:eastAsia="Arial" w:hAnsi="Arial"/>
                <w:sz w:val="17"/>
                <w:szCs w:val="17"/>
                <w:color w:val="auto"/>
              </w:rPr>
              <w:t>669</w:t>
            </w:r>
          </w:p>
        </w:tc>
        <w:tc>
          <w:tcPr>
            <w:tcW w:w="1400" w:type="dxa"/>
            <w:vAlign w:val="bottom"/>
          </w:tcPr>
          <w:p>
            <w:pPr>
              <w:jc w:val="right"/>
              <w:ind w:right="477"/>
              <w:spacing w:after="0"/>
              <w:rPr>
                <w:sz w:val="20"/>
                <w:szCs w:val="20"/>
                <w:color w:val="auto"/>
              </w:rPr>
            </w:pPr>
            <w:r>
              <w:rPr>
                <w:rFonts w:ascii="Arial" w:cs="Arial" w:eastAsia="Arial" w:hAnsi="Arial"/>
                <w:sz w:val="17"/>
                <w:szCs w:val="17"/>
                <w:color w:val="auto"/>
              </w:rPr>
              <w:t>1,365</w:t>
            </w:r>
          </w:p>
        </w:tc>
        <w:tc>
          <w:tcPr>
            <w:tcW w:w="1400" w:type="dxa"/>
            <w:vAlign w:val="bottom"/>
          </w:tcPr>
          <w:p>
            <w:pPr>
              <w:jc w:val="right"/>
              <w:ind w:right="337"/>
              <w:spacing w:after="0"/>
              <w:rPr>
                <w:sz w:val="20"/>
                <w:szCs w:val="20"/>
                <w:color w:val="auto"/>
              </w:rPr>
            </w:pPr>
            <w:r>
              <w:rPr>
                <w:rFonts w:ascii="Arial" w:cs="Arial" w:eastAsia="Arial" w:hAnsi="Arial"/>
                <w:sz w:val="17"/>
                <w:szCs w:val="17"/>
                <w:color w:val="auto"/>
              </w:rPr>
              <w:t>(1,468)</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566</w:t>
            </w:r>
          </w:p>
        </w:tc>
      </w:tr>
      <w:tr>
        <w:trPr>
          <w:trHeight w:val="212"/>
        </w:trPr>
        <w:tc>
          <w:tcPr>
            <w:tcW w:w="4500" w:type="dxa"/>
            <w:vAlign w:val="bottom"/>
            <w:shd w:val="clear" w:color="auto" w:fill="EEEEEE"/>
          </w:tcPr>
          <w:p>
            <w:pPr>
              <w:spacing w:after="0"/>
              <w:rPr>
                <w:sz w:val="20"/>
                <w:szCs w:val="20"/>
                <w:color w:val="auto"/>
              </w:rPr>
            </w:pPr>
            <w:r>
              <w:rPr>
                <w:rFonts w:ascii="Arial" w:cs="Arial" w:eastAsia="Arial" w:hAnsi="Arial"/>
                <w:sz w:val="17"/>
                <w:szCs w:val="17"/>
                <w:color w:val="auto"/>
              </w:rPr>
              <w:t>2003</w:t>
            </w:r>
          </w:p>
        </w:tc>
        <w:tc>
          <w:tcPr>
            <w:tcW w:w="2920" w:type="dxa"/>
            <w:vAlign w:val="bottom"/>
            <w:shd w:val="clear" w:color="auto" w:fill="EEEEEE"/>
          </w:tcPr>
          <w:p>
            <w:pPr>
              <w:jc w:val="right"/>
              <w:ind w:right="621"/>
              <w:spacing w:after="0"/>
              <w:rPr>
                <w:sz w:val="20"/>
                <w:szCs w:val="20"/>
                <w:color w:val="auto"/>
              </w:rPr>
            </w:pPr>
            <w:r>
              <w:rPr>
                <w:rFonts w:ascii="Arial" w:cs="Arial" w:eastAsia="Arial" w:hAnsi="Arial"/>
                <w:sz w:val="17"/>
                <w:szCs w:val="17"/>
                <w:color w:val="auto"/>
              </w:rPr>
              <w:t>566</w:t>
            </w:r>
          </w:p>
        </w:tc>
        <w:tc>
          <w:tcPr>
            <w:tcW w:w="140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rPr>
              <w:t>512</w:t>
            </w:r>
          </w:p>
        </w:tc>
        <w:tc>
          <w:tcPr>
            <w:tcW w:w="1400" w:type="dxa"/>
            <w:vAlign w:val="bottom"/>
            <w:shd w:val="clear" w:color="auto" w:fill="EEEEEE"/>
          </w:tcPr>
          <w:p>
            <w:pPr>
              <w:jc w:val="right"/>
              <w:ind w:right="337"/>
              <w:spacing w:after="0"/>
              <w:rPr>
                <w:sz w:val="20"/>
                <w:szCs w:val="20"/>
                <w:color w:val="auto"/>
              </w:rPr>
            </w:pPr>
            <w:r>
              <w:rPr>
                <w:rFonts w:ascii="Arial" w:cs="Arial" w:eastAsia="Arial" w:hAnsi="Arial"/>
                <w:sz w:val="17"/>
                <w:szCs w:val="17"/>
                <w:color w:val="auto"/>
              </w:rPr>
              <w:t>(208)</w:t>
            </w:r>
          </w:p>
        </w:tc>
        <w:tc>
          <w:tcPr>
            <w:tcW w:w="1200" w:type="dxa"/>
            <w:vAlign w:val="bottom"/>
            <w:shd w:val="clear" w:color="auto" w:fill="EEEEEE"/>
          </w:tcPr>
          <w:p>
            <w:pPr>
              <w:jc w:val="right"/>
              <w:ind w:right="241"/>
              <w:spacing w:after="0"/>
              <w:rPr>
                <w:sz w:val="20"/>
                <w:szCs w:val="20"/>
                <w:color w:val="auto"/>
              </w:rPr>
            </w:pPr>
            <w:r>
              <w:rPr>
                <w:rFonts w:ascii="Arial" w:cs="Arial" w:eastAsia="Arial" w:hAnsi="Arial"/>
                <w:sz w:val="17"/>
                <w:szCs w:val="17"/>
                <w:color w:val="auto"/>
              </w:rPr>
              <w:t>870</w:t>
            </w:r>
          </w:p>
        </w:tc>
      </w:tr>
      <w:tr>
        <w:trPr>
          <w:trHeight w:val="106"/>
        </w:trPr>
        <w:tc>
          <w:tcPr>
            <w:tcW w:w="45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417"/>
        </w:trPr>
        <w:tc>
          <w:tcPr>
            <w:tcW w:w="4500" w:type="dxa"/>
            <w:vAlign w:val="bottom"/>
            <w:tcBorders>
              <w:bottom w:val="single" w:sz="8" w:color="808080"/>
            </w:tcBorders>
          </w:tcPr>
          <w:p>
            <w:pPr>
              <w:spacing w:after="0"/>
              <w:rPr>
                <w:sz w:val="24"/>
                <w:szCs w:val="24"/>
                <w:color w:val="auto"/>
              </w:rPr>
            </w:pPr>
          </w:p>
        </w:tc>
        <w:tc>
          <w:tcPr>
            <w:tcW w:w="292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r>
      <w:tr>
        <w:trPr>
          <w:trHeight w:val="232"/>
        </w:trPr>
        <w:tc>
          <w:tcPr>
            <w:tcW w:w="4500" w:type="dxa"/>
            <w:vAlign w:val="bottom"/>
          </w:tcPr>
          <w:p>
            <w:pPr>
              <w:spacing w:after="0"/>
              <w:rPr>
                <w:sz w:val="20"/>
                <w:szCs w:val="20"/>
                <w:color w:val="auto"/>
              </w:rPr>
            </w:pPr>
          </w:p>
        </w:tc>
        <w:tc>
          <w:tcPr>
            <w:tcW w:w="2920" w:type="dxa"/>
            <w:vAlign w:val="bottom"/>
          </w:tcPr>
          <w:p>
            <w:pPr>
              <w:jc w:val="center"/>
              <w:ind w:left="1421"/>
              <w:spacing w:after="0"/>
              <w:rPr>
                <w:sz w:val="20"/>
                <w:szCs w:val="20"/>
                <w:color w:val="auto"/>
              </w:rPr>
            </w:pPr>
            <w:r>
              <w:rPr>
                <w:rFonts w:ascii="Arial" w:cs="Arial" w:eastAsia="Arial" w:hAnsi="Arial"/>
                <w:sz w:val="13"/>
                <w:szCs w:val="13"/>
                <w:b w:val="1"/>
                <w:bCs w:val="1"/>
                <w:color w:val="auto"/>
                <w:w w:val="92"/>
              </w:rPr>
              <w:t>Balance</w:t>
            </w:r>
          </w:p>
        </w:tc>
        <w:tc>
          <w:tcPr>
            <w:tcW w:w="1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0" w:type="dxa"/>
            <w:vAlign w:val="bottom"/>
          </w:tcPr>
          <w:p>
            <w:pPr>
              <w:jc w:val="center"/>
              <w:ind w:left="101"/>
              <w:spacing w:after="0"/>
              <w:rPr>
                <w:sz w:val="20"/>
                <w:szCs w:val="20"/>
                <w:color w:val="auto"/>
              </w:rPr>
            </w:pPr>
            <w:r>
              <w:rPr>
                <w:rFonts w:ascii="Arial" w:cs="Arial" w:eastAsia="Arial" w:hAnsi="Arial"/>
                <w:sz w:val="13"/>
                <w:szCs w:val="13"/>
                <w:b w:val="1"/>
                <w:bCs w:val="1"/>
                <w:color w:val="auto"/>
                <w:w w:val="92"/>
              </w:rPr>
              <w:t>Balance</w:t>
            </w:r>
          </w:p>
        </w:tc>
      </w:tr>
      <w:tr>
        <w:trPr>
          <w:trHeight w:val="146"/>
        </w:trPr>
        <w:tc>
          <w:tcPr>
            <w:tcW w:w="4500" w:type="dxa"/>
            <w:vAlign w:val="bottom"/>
          </w:tcPr>
          <w:p>
            <w:pPr>
              <w:spacing w:after="0" w:line="146" w:lineRule="exact"/>
              <w:rPr>
                <w:sz w:val="20"/>
                <w:szCs w:val="20"/>
                <w:color w:val="auto"/>
              </w:rPr>
            </w:pPr>
            <w:r>
              <w:rPr>
                <w:rFonts w:ascii="Arial" w:cs="Arial" w:eastAsia="Arial" w:hAnsi="Arial"/>
                <w:sz w:val="13"/>
                <w:szCs w:val="13"/>
                <w:b w:val="1"/>
                <w:bCs w:val="1"/>
                <w:color w:val="auto"/>
              </w:rPr>
              <w:t>Nine months ended September 30, (unaudited)</w:t>
            </w:r>
          </w:p>
        </w:tc>
        <w:tc>
          <w:tcPr>
            <w:tcW w:w="2920" w:type="dxa"/>
            <w:vAlign w:val="bottom"/>
          </w:tcPr>
          <w:p>
            <w:pPr>
              <w:jc w:val="center"/>
              <w:ind w:left="1421"/>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4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0" w:type="dxa"/>
            <w:vAlign w:val="bottom"/>
          </w:tcPr>
          <w:p>
            <w:pPr>
              <w:jc w:val="center"/>
              <w:ind w:left="101"/>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450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920" w:type="dxa"/>
            <w:vAlign w:val="bottom"/>
          </w:tcPr>
          <w:p>
            <w:pPr>
              <w:jc w:val="center"/>
              <w:ind w:left="1421"/>
              <w:spacing w:after="0"/>
              <w:rPr>
                <w:sz w:val="20"/>
                <w:szCs w:val="20"/>
                <w:color w:val="auto"/>
              </w:rPr>
            </w:pPr>
            <w:r>
              <w:rPr>
                <w:rFonts w:ascii="Arial" w:cs="Arial" w:eastAsia="Arial" w:hAnsi="Arial"/>
                <w:sz w:val="13"/>
                <w:szCs w:val="13"/>
                <w:b w:val="1"/>
                <w:bCs w:val="1"/>
                <w:color w:val="auto"/>
                <w:w w:val="89"/>
              </w:rPr>
              <w:t>of period</w:t>
            </w:r>
          </w:p>
        </w:tc>
        <w:tc>
          <w:tcPr>
            <w:tcW w:w="1400" w:type="dxa"/>
            <w:vAlign w:val="bottom"/>
          </w:tcPr>
          <w:p>
            <w:pPr>
              <w:jc w:val="right"/>
              <w:ind w:right="317"/>
              <w:spacing w:after="0"/>
              <w:rPr>
                <w:sz w:val="20"/>
                <w:szCs w:val="20"/>
                <w:color w:val="auto"/>
              </w:rPr>
            </w:pPr>
            <w:r>
              <w:rPr>
                <w:rFonts w:ascii="Arial" w:cs="Arial" w:eastAsia="Arial" w:hAnsi="Arial"/>
                <w:sz w:val="13"/>
                <w:szCs w:val="13"/>
                <w:b w:val="1"/>
                <w:bCs w:val="1"/>
                <w:color w:val="auto"/>
              </w:rPr>
              <w:t>Provision</w:t>
            </w:r>
          </w:p>
        </w:tc>
        <w:tc>
          <w:tcPr>
            <w:tcW w:w="1400" w:type="dxa"/>
            <w:vAlign w:val="bottom"/>
          </w:tcPr>
          <w:p>
            <w:pPr>
              <w:jc w:val="right"/>
              <w:ind w:right="337"/>
              <w:spacing w:after="0"/>
              <w:rPr>
                <w:sz w:val="20"/>
                <w:szCs w:val="20"/>
                <w:color w:val="auto"/>
              </w:rPr>
            </w:pPr>
            <w:r>
              <w:rPr>
                <w:rFonts w:ascii="Arial" w:cs="Arial" w:eastAsia="Arial" w:hAnsi="Arial"/>
                <w:sz w:val="13"/>
                <w:szCs w:val="13"/>
                <w:b w:val="1"/>
                <w:bCs w:val="1"/>
                <w:color w:val="auto"/>
              </w:rPr>
              <w:t>Write-off</w:t>
            </w:r>
          </w:p>
        </w:tc>
        <w:tc>
          <w:tcPr>
            <w:tcW w:w="1200" w:type="dxa"/>
            <w:vAlign w:val="bottom"/>
          </w:tcPr>
          <w:p>
            <w:pPr>
              <w:jc w:val="center"/>
              <w:ind w:left="101"/>
              <w:spacing w:after="0"/>
              <w:rPr>
                <w:sz w:val="20"/>
                <w:szCs w:val="20"/>
                <w:color w:val="auto"/>
              </w:rPr>
            </w:pPr>
            <w:r>
              <w:rPr>
                <w:rFonts w:ascii="Arial" w:cs="Arial" w:eastAsia="Arial" w:hAnsi="Arial"/>
                <w:sz w:val="13"/>
                <w:szCs w:val="13"/>
                <w:b w:val="1"/>
                <w:bCs w:val="1"/>
                <w:color w:val="auto"/>
                <w:w w:val="89"/>
              </w:rPr>
              <w:t>of period</w:t>
            </w:r>
          </w:p>
        </w:tc>
      </w:tr>
      <w:tr>
        <w:trPr>
          <w:trHeight w:val="94"/>
        </w:trPr>
        <w:tc>
          <w:tcPr>
            <w:tcW w:w="4500" w:type="dxa"/>
            <w:vAlign w:val="bottom"/>
            <w:tcBorders>
              <w:bottom w:val="single" w:sz="8" w:color="808080"/>
            </w:tcBorders>
          </w:tcPr>
          <w:p>
            <w:pPr>
              <w:spacing w:after="0"/>
              <w:rPr>
                <w:sz w:val="8"/>
                <w:szCs w:val="8"/>
                <w:color w:val="auto"/>
              </w:rPr>
            </w:pPr>
          </w:p>
        </w:tc>
        <w:tc>
          <w:tcPr>
            <w:tcW w:w="29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r>
      <w:tr>
        <w:trPr>
          <w:trHeight w:val="302"/>
        </w:trPr>
        <w:tc>
          <w:tcPr>
            <w:tcW w:w="4500" w:type="dxa"/>
            <w:vAlign w:val="bottom"/>
          </w:tcPr>
          <w:p>
            <w:pPr>
              <w:spacing w:after="0"/>
              <w:rPr>
                <w:sz w:val="20"/>
                <w:szCs w:val="20"/>
                <w:color w:val="auto"/>
              </w:rPr>
            </w:pPr>
            <w:r>
              <w:rPr>
                <w:rFonts w:ascii="Arial" w:cs="Arial" w:eastAsia="Arial" w:hAnsi="Arial"/>
                <w:sz w:val="17"/>
                <w:szCs w:val="17"/>
                <w:color w:val="auto"/>
              </w:rPr>
              <w:t>2003</w:t>
            </w:r>
          </w:p>
        </w:tc>
        <w:tc>
          <w:tcPr>
            <w:tcW w:w="2920" w:type="dxa"/>
            <w:vAlign w:val="bottom"/>
          </w:tcPr>
          <w:p>
            <w:pPr>
              <w:jc w:val="right"/>
              <w:ind w:right="441"/>
              <w:spacing w:after="0"/>
              <w:rPr>
                <w:sz w:val="20"/>
                <w:szCs w:val="20"/>
                <w:color w:val="auto"/>
              </w:rPr>
            </w:pPr>
            <w:r>
              <w:rPr>
                <w:rFonts w:ascii="Arial" w:cs="Arial" w:eastAsia="Arial" w:hAnsi="Arial"/>
                <w:sz w:val="17"/>
                <w:szCs w:val="17"/>
                <w:color w:val="auto"/>
              </w:rPr>
              <w:t>$566</w:t>
            </w:r>
          </w:p>
        </w:tc>
        <w:tc>
          <w:tcPr>
            <w:tcW w:w="1400" w:type="dxa"/>
            <w:vAlign w:val="bottom"/>
          </w:tcPr>
          <w:p>
            <w:pPr>
              <w:jc w:val="right"/>
              <w:ind w:right="397"/>
              <w:spacing w:after="0"/>
              <w:rPr>
                <w:sz w:val="20"/>
                <w:szCs w:val="20"/>
                <w:color w:val="auto"/>
              </w:rPr>
            </w:pPr>
            <w:r>
              <w:rPr>
                <w:rFonts w:ascii="Arial" w:cs="Arial" w:eastAsia="Arial" w:hAnsi="Arial"/>
                <w:sz w:val="17"/>
                <w:szCs w:val="17"/>
                <w:color w:val="auto"/>
              </w:rPr>
              <w:t>$384</w:t>
            </w:r>
          </w:p>
        </w:tc>
        <w:tc>
          <w:tcPr>
            <w:tcW w:w="1400" w:type="dxa"/>
            <w:vAlign w:val="bottom"/>
          </w:tcPr>
          <w:p>
            <w:pPr>
              <w:jc w:val="right"/>
              <w:ind w:right="357"/>
              <w:spacing w:after="0"/>
              <w:rPr>
                <w:sz w:val="20"/>
                <w:szCs w:val="20"/>
                <w:color w:val="auto"/>
              </w:rPr>
            </w:pPr>
            <w:r>
              <w:rPr>
                <w:rFonts w:ascii="Arial" w:cs="Arial" w:eastAsia="Arial" w:hAnsi="Arial"/>
                <w:sz w:val="17"/>
                <w:szCs w:val="17"/>
                <w:color w:val="auto"/>
              </w:rPr>
              <w:t>$(156)</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$794</w:t>
            </w:r>
          </w:p>
        </w:tc>
      </w:tr>
      <w:tr>
        <w:trPr>
          <w:trHeight w:val="217"/>
        </w:trPr>
        <w:tc>
          <w:tcPr>
            <w:tcW w:w="4500" w:type="dxa"/>
            <w:vAlign w:val="bottom"/>
          </w:tcPr>
          <w:p>
            <w:pPr>
              <w:spacing w:after="0"/>
              <w:rPr>
                <w:sz w:val="20"/>
                <w:szCs w:val="20"/>
                <w:color w:val="auto"/>
              </w:rPr>
            </w:pPr>
            <w:r>
              <w:rPr>
                <w:rFonts w:ascii="Arial" w:cs="Arial" w:eastAsia="Arial" w:hAnsi="Arial"/>
                <w:sz w:val="17"/>
                <w:szCs w:val="17"/>
                <w:color w:val="auto"/>
              </w:rPr>
              <w:t>2004</w:t>
            </w:r>
          </w:p>
        </w:tc>
        <w:tc>
          <w:tcPr>
            <w:tcW w:w="2920" w:type="dxa"/>
            <w:vAlign w:val="bottom"/>
          </w:tcPr>
          <w:p>
            <w:pPr>
              <w:jc w:val="right"/>
              <w:ind w:right="441"/>
              <w:spacing w:after="0"/>
              <w:rPr>
                <w:sz w:val="20"/>
                <w:szCs w:val="20"/>
                <w:color w:val="auto"/>
              </w:rPr>
            </w:pPr>
            <w:r>
              <w:rPr>
                <w:rFonts w:ascii="Arial" w:cs="Arial" w:eastAsia="Arial" w:hAnsi="Arial"/>
                <w:sz w:val="17"/>
                <w:szCs w:val="17"/>
                <w:color w:val="auto"/>
              </w:rPr>
              <w:t>870</w:t>
            </w:r>
          </w:p>
        </w:tc>
        <w:tc>
          <w:tcPr>
            <w:tcW w:w="1400" w:type="dxa"/>
            <w:vAlign w:val="bottom"/>
          </w:tcPr>
          <w:p>
            <w:pPr>
              <w:jc w:val="right"/>
              <w:ind w:right="397"/>
              <w:spacing w:after="0"/>
              <w:rPr>
                <w:sz w:val="20"/>
                <w:szCs w:val="20"/>
                <w:color w:val="auto"/>
              </w:rPr>
            </w:pPr>
            <w:r>
              <w:rPr>
                <w:rFonts w:ascii="Arial" w:cs="Arial" w:eastAsia="Arial" w:hAnsi="Arial"/>
                <w:sz w:val="17"/>
                <w:szCs w:val="17"/>
                <w:color w:val="auto"/>
              </w:rPr>
              <w:t>645</w:t>
            </w:r>
          </w:p>
        </w:tc>
        <w:tc>
          <w:tcPr>
            <w:tcW w:w="1400" w:type="dxa"/>
            <w:vAlign w:val="bottom"/>
          </w:tcPr>
          <w:p>
            <w:pPr>
              <w:jc w:val="right"/>
              <w:ind w:right="357"/>
              <w:spacing w:after="0"/>
              <w:rPr>
                <w:sz w:val="20"/>
                <w:szCs w:val="20"/>
                <w:color w:val="auto"/>
              </w:rPr>
            </w:pPr>
            <w:r>
              <w:rPr>
                <w:rFonts w:ascii="Arial" w:cs="Arial" w:eastAsia="Arial" w:hAnsi="Arial"/>
                <w:sz w:val="17"/>
                <w:szCs w:val="17"/>
                <w:color w:val="auto"/>
              </w:rPr>
              <w:t>(654)</w:t>
            </w:r>
          </w:p>
        </w:tc>
        <w:tc>
          <w:tcPr>
            <w:tcW w:w="1200" w:type="dxa"/>
            <w:vAlign w:val="bottom"/>
          </w:tcPr>
          <w:p>
            <w:pPr>
              <w:jc w:val="right"/>
              <w:ind w:right="241"/>
              <w:spacing w:after="0"/>
              <w:rPr>
                <w:sz w:val="20"/>
                <w:szCs w:val="20"/>
                <w:color w:val="auto"/>
              </w:rPr>
            </w:pPr>
            <w:r>
              <w:rPr>
                <w:rFonts w:ascii="Arial" w:cs="Arial" w:eastAsia="Arial" w:hAnsi="Arial"/>
                <w:sz w:val="17"/>
                <w:szCs w:val="17"/>
                <w:color w:val="auto"/>
              </w:rPr>
              <w:t>861</w:t>
            </w:r>
          </w:p>
        </w:tc>
      </w:tr>
      <w:tr>
        <w:trPr>
          <w:trHeight w:val="109"/>
        </w:trPr>
        <w:tc>
          <w:tcPr>
            <w:tcW w:w="450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commissions</w:t>
      </w:r>
    </w:p>
    <w:p>
      <w:pPr>
        <w:spacing w:after="0" w:line="234"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Company pays sales commissions at the time contracts with customers are signed. To the extent that these commissions relate to revenue not yet recognized, these amounts are recorded as deferred sales commission costs. Subsequently, the commissions are recognized as expense in the same pattern as the revenue is recognized in accordance with SAB 101.</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Below is a summary of the changes in the Company’s deferred sales commission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249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tcPr>
          <w:p>
            <w:pPr>
              <w:spacing w:after="0"/>
              <w:rPr>
                <w:sz w:val="12"/>
                <w:szCs w:val="12"/>
                <w:color w:val="auto"/>
              </w:rPr>
            </w:pPr>
          </w:p>
        </w:tc>
        <w:tc>
          <w:tcPr>
            <w:tcW w:w="3500" w:type="dxa"/>
            <w:vAlign w:val="bottom"/>
          </w:tcPr>
          <w:p>
            <w:pPr>
              <w:jc w:val="center"/>
              <w:ind w:left="1934"/>
              <w:spacing w:after="0"/>
              <w:rPr>
                <w:sz w:val="20"/>
                <w:szCs w:val="20"/>
                <w:color w:val="auto"/>
              </w:rPr>
            </w:pPr>
            <w:r>
              <w:rPr>
                <w:rFonts w:ascii="Arial" w:cs="Arial" w:eastAsia="Arial" w:hAnsi="Arial"/>
                <w:sz w:val="13"/>
                <w:szCs w:val="13"/>
                <w:b w:val="1"/>
                <w:bCs w:val="1"/>
                <w:color w:val="auto"/>
                <w:w w:val="92"/>
              </w:rPr>
              <w:t>Balance</w:t>
            </w: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92"/>
              </w:rPr>
              <w:t>Balance</w:t>
            </w:r>
          </w:p>
        </w:tc>
      </w:tr>
      <w:tr>
        <w:trPr>
          <w:trHeight w:val="146"/>
        </w:trPr>
        <w:tc>
          <w:tcPr>
            <w:tcW w:w="3860" w:type="dxa"/>
            <w:vAlign w:val="bottom"/>
          </w:tcPr>
          <w:p>
            <w:pPr>
              <w:spacing w:after="0" w:line="146" w:lineRule="exact"/>
              <w:rPr>
                <w:sz w:val="20"/>
                <w:szCs w:val="20"/>
                <w:color w:val="auto"/>
              </w:rPr>
            </w:pPr>
            <w:r>
              <w:rPr>
                <w:rFonts w:ascii="Arial" w:cs="Arial" w:eastAsia="Arial" w:hAnsi="Arial"/>
                <w:sz w:val="13"/>
                <w:szCs w:val="13"/>
                <w:b w:val="1"/>
                <w:bCs w:val="1"/>
                <w:color w:val="auto"/>
              </w:rPr>
              <w:t>Year ended December 31,</w:t>
            </w:r>
          </w:p>
        </w:tc>
        <w:tc>
          <w:tcPr>
            <w:tcW w:w="3500" w:type="dxa"/>
            <w:vAlign w:val="bottom"/>
          </w:tcPr>
          <w:p>
            <w:pPr>
              <w:jc w:val="center"/>
              <w:ind w:left="1934"/>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4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60" w:type="dxa"/>
            <w:vAlign w:val="bottom"/>
          </w:tcPr>
          <w:p>
            <w:pPr>
              <w:jc w:val="center"/>
              <w:ind w:left="394"/>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386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3500" w:type="dxa"/>
            <w:vAlign w:val="bottom"/>
          </w:tcPr>
          <w:p>
            <w:pPr>
              <w:jc w:val="center"/>
              <w:ind w:left="1934"/>
              <w:spacing w:after="0"/>
              <w:rPr>
                <w:sz w:val="20"/>
                <w:szCs w:val="20"/>
                <w:color w:val="auto"/>
              </w:rPr>
            </w:pPr>
            <w:r>
              <w:rPr>
                <w:rFonts w:ascii="Arial" w:cs="Arial" w:eastAsia="Arial" w:hAnsi="Arial"/>
                <w:sz w:val="13"/>
                <w:szCs w:val="13"/>
                <w:b w:val="1"/>
                <w:bCs w:val="1"/>
                <w:color w:val="auto"/>
                <w:w w:val="89"/>
              </w:rPr>
              <w:t>of period</w:t>
            </w:r>
          </w:p>
        </w:tc>
        <w:tc>
          <w:tcPr>
            <w:tcW w:w="1420" w:type="dxa"/>
            <w:vAlign w:val="bottom"/>
          </w:tcPr>
          <w:p>
            <w:pPr>
              <w:ind w:left="420"/>
              <w:spacing w:after="0"/>
              <w:rPr>
                <w:sz w:val="20"/>
                <w:szCs w:val="20"/>
                <w:color w:val="auto"/>
              </w:rPr>
            </w:pPr>
            <w:r>
              <w:rPr>
                <w:rFonts w:ascii="Arial" w:cs="Arial" w:eastAsia="Arial" w:hAnsi="Arial"/>
                <w:sz w:val="13"/>
                <w:szCs w:val="13"/>
                <w:b w:val="1"/>
                <w:bCs w:val="1"/>
                <w:color w:val="auto"/>
              </w:rPr>
              <w:t>Additions</w:t>
            </w:r>
          </w:p>
        </w:tc>
        <w:tc>
          <w:tcPr>
            <w:tcW w:w="1360" w:type="dxa"/>
            <w:vAlign w:val="bottom"/>
          </w:tcPr>
          <w:p>
            <w:pPr>
              <w:ind w:left="440"/>
              <w:spacing w:after="0"/>
              <w:rPr>
                <w:sz w:val="20"/>
                <w:szCs w:val="20"/>
                <w:color w:val="auto"/>
              </w:rPr>
            </w:pPr>
            <w:r>
              <w:rPr>
                <w:rFonts w:ascii="Arial" w:cs="Arial" w:eastAsia="Arial" w:hAnsi="Arial"/>
                <w:sz w:val="13"/>
                <w:szCs w:val="13"/>
                <w:b w:val="1"/>
                <w:bCs w:val="1"/>
                <w:color w:val="auto"/>
              </w:rPr>
              <w:t>Expense</w:t>
            </w:r>
          </w:p>
        </w:tc>
        <w:tc>
          <w:tcPr>
            <w:tcW w:w="960" w:type="dxa"/>
            <w:vAlign w:val="bottom"/>
          </w:tcPr>
          <w:p>
            <w:pPr>
              <w:jc w:val="center"/>
              <w:ind w:left="394"/>
              <w:spacing w:after="0"/>
              <w:rPr>
                <w:sz w:val="20"/>
                <w:szCs w:val="20"/>
                <w:color w:val="auto"/>
              </w:rPr>
            </w:pPr>
            <w:r>
              <w:rPr>
                <w:rFonts w:ascii="Arial" w:cs="Arial" w:eastAsia="Arial" w:hAnsi="Arial"/>
                <w:sz w:val="13"/>
                <w:szCs w:val="13"/>
                <w:b w:val="1"/>
                <w:bCs w:val="1"/>
                <w:color w:val="auto"/>
                <w:w w:val="89"/>
              </w:rPr>
              <w:t>of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80" w:type="dxa"/>
            <w:vAlign w:val="bottom"/>
            <w:shd w:val="clear" w:color="auto" w:fill="EEEEEE"/>
          </w:tcPr>
          <w:p>
            <w:pPr>
              <w:spacing w:after="0"/>
              <w:rPr>
                <w:sz w:val="20"/>
                <w:szCs w:val="20"/>
                <w:color w:val="auto"/>
              </w:rPr>
            </w:pPr>
            <w:r>
              <w:rPr>
                <w:rFonts w:ascii="Arial" w:cs="Arial" w:eastAsia="Arial" w:hAnsi="Arial"/>
                <w:sz w:val="17"/>
                <w:szCs w:val="17"/>
                <w:color w:val="auto"/>
              </w:rPr>
              <w:t>2001</w:t>
            </w:r>
          </w:p>
        </w:tc>
        <w:tc>
          <w:tcPr>
            <w:tcW w:w="2940" w:type="dxa"/>
            <w:vAlign w:val="bottom"/>
            <w:shd w:val="clear" w:color="auto" w:fill="EEEEEE"/>
          </w:tcPr>
          <w:p>
            <w:pPr>
              <w:jc w:val="right"/>
              <w:ind w:right="501"/>
              <w:spacing w:after="0"/>
              <w:rPr>
                <w:sz w:val="20"/>
                <w:szCs w:val="20"/>
                <w:color w:val="auto"/>
              </w:rPr>
            </w:pPr>
            <w:r>
              <w:rPr>
                <w:rFonts w:ascii="Arial" w:cs="Arial" w:eastAsia="Arial" w:hAnsi="Arial"/>
                <w:sz w:val="17"/>
                <w:szCs w:val="17"/>
                <w:color w:val="auto"/>
              </w:rPr>
              <w:t>$  —</w:t>
            </w:r>
          </w:p>
        </w:tc>
        <w:tc>
          <w:tcPr>
            <w:tcW w:w="1380" w:type="dxa"/>
            <w:vAlign w:val="bottom"/>
            <w:shd w:val="clear" w:color="auto" w:fill="EEEEEE"/>
          </w:tcPr>
          <w:p>
            <w:pPr>
              <w:jc w:val="right"/>
              <w:ind w:right="417"/>
              <w:spacing w:after="0"/>
              <w:rPr>
                <w:sz w:val="20"/>
                <w:szCs w:val="20"/>
                <w:color w:val="auto"/>
              </w:rPr>
            </w:pPr>
            <w:r>
              <w:rPr>
                <w:rFonts w:ascii="Arial" w:cs="Arial" w:eastAsia="Arial" w:hAnsi="Arial"/>
                <w:sz w:val="17"/>
                <w:szCs w:val="17"/>
                <w:color w:val="auto"/>
              </w:rPr>
              <w:t>$  555</w:t>
            </w:r>
          </w:p>
        </w:tc>
        <w:tc>
          <w:tcPr>
            <w:tcW w:w="1440" w:type="dxa"/>
            <w:vAlign w:val="bottom"/>
            <w:shd w:val="clear" w:color="auto" w:fill="EEEEEE"/>
          </w:tcPr>
          <w:p>
            <w:pPr>
              <w:jc w:val="right"/>
              <w:ind w:right="397"/>
              <w:spacing w:after="0"/>
              <w:rPr>
                <w:sz w:val="20"/>
                <w:szCs w:val="20"/>
                <w:color w:val="auto"/>
              </w:rPr>
            </w:pPr>
            <w:r>
              <w:rPr>
                <w:rFonts w:ascii="Arial" w:cs="Arial" w:eastAsia="Arial" w:hAnsi="Arial"/>
                <w:sz w:val="17"/>
                <w:szCs w:val="17"/>
                <w:color w:val="auto"/>
              </w:rPr>
              <w:t>$  (277)</w:t>
            </w:r>
          </w:p>
        </w:tc>
        <w:tc>
          <w:tcPr>
            <w:tcW w:w="1180" w:type="dxa"/>
            <w:vAlign w:val="bottom"/>
            <w:shd w:val="clear" w:color="auto" w:fill="EEEEEE"/>
          </w:tcPr>
          <w:p>
            <w:pPr>
              <w:jc w:val="right"/>
              <w:ind w:right="361"/>
              <w:spacing w:after="0"/>
              <w:rPr>
                <w:sz w:val="20"/>
                <w:szCs w:val="20"/>
                <w:color w:val="auto"/>
              </w:rPr>
            </w:pPr>
            <w:r>
              <w:rPr>
                <w:rFonts w:ascii="Arial" w:cs="Arial" w:eastAsia="Arial" w:hAnsi="Arial"/>
                <w:sz w:val="17"/>
                <w:szCs w:val="17"/>
                <w:color w:val="auto"/>
              </w:rPr>
              <w:t>$278</w:t>
            </w:r>
          </w:p>
        </w:tc>
      </w:tr>
      <w:tr>
        <w:trPr>
          <w:trHeight w:val="212"/>
        </w:trPr>
        <w:tc>
          <w:tcPr>
            <w:tcW w:w="4480" w:type="dxa"/>
            <w:vAlign w:val="bottom"/>
          </w:tcPr>
          <w:p>
            <w:pPr>
              <w:spacing w:after="0"/>
              <w:rPr>
                <w:sz w:val="20"/>
                <w:szCs w:val="20"/>
                <w:color w:val="auto"/>
              </w:rPr>
            </w:pPr>
            <w:r>
              <w:rPr>
                <w:rFonts w:ascii="Arial" w:cs="Arial" w:eastAsia="Arial" w:hAnsi="Arial"/>
                <w:sz w:val="17"/>
                <w:szCs w:val="17"/>
                <w:color w:val="auto"/>
              </w:rPr>
              <w:t>2002</w:t>
            </w:r>
          </w:p>
        </w:tc>
        <w:tc>
          <w:tcPr>
            <w:tcW w:w="2940" w:type="dxa"/>
            <w:vAlign w:val="bottom"/>
          </w:tcPr>
          <w:p>
            <w:pPr>
              <w:jc w:val="right"/>
              <w:ind w:right="501"/>
              <w:spacing w:after="0"/>
              <w:rPr>
                <w:sz w:val="20"/>
                <w:szCs w:val="20"/>
                <w:color w:val="auto"/>
              </w:rPr>
            </w:pPr>
            <w:r>
              <w:rPr>
                <w:rFonts w:ascii="Arial" w:cs="Arial" w:eastAsia="Arial" w:hAnsi="Arial"/>
                <w:sz w:val="17"/>
                <w:szCs w:val="17"/>
                <w:color w:val="auto"/>
              </w:rPr>
              <w:t>278</w:t>
            </w:r>
          </w:p>
        </w:tc>
        <w:tc>
          <w:tcPr>
            <w:tcW w:w="1380" w:type="dxa"/>
            <w:vAlign w:val="bottom"/>
          </w:tcPr>
          <w:p>
            <w:pPr>
              <w:jc w:val="right"/>
              <w:ind w:right="417"/>
              <w:spacing w:after="0"/>
              <w:rPr>
                <w:sz w:val="20"/>
                <w:szCs w:val="20"/>
                <w:color w:val="auto"/>
              </w:rPr>
            </w:pPr>
            <w:r>
              <w:rPr>
                <w:rFonts w:ascii="Arial" w:cs="Arial" w:eastAsia="Arial" w:hAnsi="Arial"/>
                <w:sz w:val="17"/>
                <w:szCs w:val="17"/>
                <w:color w:val="auto"/>
              </w:rPr>
              <w:t>1,241</w:t>
            </w:r>
          </w:p>
        </w:tc>
        <w:tc>
          <w:tcPr>
            <w:tcW w:w="1440" w:type="dxa"/>
            <w:vAlign w:val="bottom"/>
          </w:tcPr>
          <w:p>
            <w:pPr>
              <w:ind w:left="460"/>
              <w:spacing w:after="0"/>
              <w:rPr>
                <w:sz w:val="20"/>
                <w:szCs w:val="20"/>
                <w:color w:val="auto"/>
              </w:rPr>
            </w:pPr>
            <w:r>
              <w:rPr>
                <w:rFonts w:ascii="Arial" w:cs="Arial" w:eastAsia="Arial" w:hAnsi="Arial"/>
                <w:sz w:val="17"/>
                <w:szCs w:val="17"/>
                <w:color w:val="auto"/>
              </w:rPr>
              <w:t>(1,041)</w:t>
            </w:r>
          </w:p>
        </w:tc>
        <w:tc>
          <w:tcPr>
            <w:tcW w:w="1180" w:type="dxa"/>
            <w:vAlign w:val="bottom"/>
          </w:tcPr>
          <w:p>
            <w:pPr>
              <w:jc w:val="right"/>
              <w:ind w:right="361"/>
              <w:spacing w:after="0"/>
              <w:rPr>
                <w:sz w:val="20"/>
                <w:szCs w:val="20"/>
                <w:color w:val="auto"/>
              </w:rPr>
            </w:pPr>
            <w:r>
              <w:rPr>
                <w:rFonts w:ascii="Arial" w:cs="Arial" w:eastAsia="Arial" w:hAnsi="Arial"/>
                <w:sz w:val="17"/>
                <w:szCs w:val="17"/>
                <w:color w:val="auto"/>
              </w:rPr>
              <w:t>478</w:t>
            </w:r>
          </w:p>
        </w:tc>
      </w:tr>
      <w:tr>
        <w:trPr>
          <w:trHeight w:val="212"/>
        </w:trPr>
        <w:tc>
          <w:tcPr>
            <w:tcW w:w="4480" w:type="dxa"/>
            <w:vAlign w:val="bottom"/>
            <w:shd w:val="clear" w:color="auto" w:fill="EEEEEE"/>
          </w:tcPr>
          <w:p>
            <w:pPr>
              <w:spacing w:after="0"/>
              <w:rPr>
                <w:sz w:val="20"/>
                <w:szCs w:val="20"/>
                <w:color w:val="auto"/>
              </w:rPr>
            </w:pPr>
            <w:r>
              <w:rPr>
                <w:rFonts w:ascii="Arial" w:cs="Arial" w:eastAsia="Arial" w:hAnsi="Arial"/>
                <w:sz w:val="17"/>
                <w:szCs w:val="17"/>
                <w:color w:val="auto"/>
              </w:rPr>
              <w:t>2003</w:t>
            </w:r>
          </w:p>
        </w:tc>
        <w:tc>
          <w:tcPr>
            <w:tcW w:w="2940" w:type="dxa"/>
            <w:vAlign w:val="bottom"/>
            <w:shd w:val="clear" w:color="auto" w:fill="EEEEEE"/>
          </w:tcPr>
          <w:p>
            <w:pPr>
              <w:jc w:val="right"/>
              <w:ind w:right="501"/>
              <w:spacing w:after="0"/>
              <w:rPr>
                <w:sz w:val="20"/>
                <w:szCs w:val="20"/>
                <w:color w:val="auto"/>
              </w:rPr>
            </w:pPr>
            <w:r>
              <w:rPr>
                <w:rFonts w:ascii="Arial" w:cs="Arial" w:eastAsia="Arial" w:hAnsi="Arial"/>
                <w:sz w:val="17"/>
                <w:szCs w:val="17"/>
                <w:color w:val="auto"/>
              </w:rPr>
              <w:t>478</w:t>
            </w:r>
          </w:p>
        </w:tc>
        <w:tc>
          <w:tcPr>
            <w:tcW w:w="1380" w:type="dxa"/>
            <w:vAlign w:val="bottom"/>
            <w:shd w:val="clear" w:color="auto" w:fill="EEEEEE"/>
          </w:tcPr>
          <w:p>
            <w:pPr>
              <w:jc w:val="right"/>
              <w:ind w:right="417"/>
              <w:spacing w:after="0"/>
              <w:rPr>
                <w:sz w:val="20"/>
                <w:szCs w:val="20"/>
                <w:color w:val="auto"/>
              </w:rPr>
            </w:pPr>
            <w:r>
              <w:rPr>
                <w:rFonts w:ascii="Arial" w:cs="Arial" w:eastAsia="Arial" w:hAnsi="Arial"/>
                <w:sz w:val="17"/>
                <w:szCs w:val="17"/>
                <w:color w:val="auto"/>
              </w:rPr>
              <w:t>1,908</w:t>
            </w:r>
          </w:p>
        </w:tc>
        <w:tc>
          <w:tcPr>
            <w:tcW w:w="1440" w:type="dxa"/>
            <w:vAlign w:val="bottom"/>
            <w:shd w:val="clear" w:color="auto" w:fill="EEEEEE"/>
          </w:tcPr>
          <w:p>
            <w:pPr>
              <w:ind w:left="460"/>
              <w:spacing w:after="0"/>
              <w:rPr>
                <w:sz w:val="20"/>
                <w:szCs w:val="20"/>
                <w:color w:val="auto"/>
              </w:rPr>
            </w:pPr>
            <w:r>
              <w:rPr>
                <w:rFonts w:ascii="Arial" w:cs="Arial" w:eastAsia="Arial" w:hAnsi="Arial"/>
                <w:sz w:val="17"/>
                <w:szCs w:val="17"/>
                <w:color w:val="auto"/>
              </w:rPr>
              <w:t>(1,582)</w:t>
            </w:r>
          </w:p>
        </w:tc>
        <w:tc>
          <w:tcPr>
            <w:tcW w:w="1180" w:type="dxa"/>
            <w:vAlign w:val="bottom"/>
            <w:shd w:val="clear" w:color="auto" w:fill="EEEEEE"/>
          </w:tcPr>
          <w:p>
            <w:pPr>
              <w:jc w:val="right"/>
              <w:ind w:right="361"/>
              <w:spacing w:after="0"/>
              <w:rPr>
                <w:sz w:val="20"/>
                <w:szCs w:val="20"/>
                <w:color w:val="auto"/>
              </w:rPr>
            </w:pPr>
            <w:r>
              <w:rPr>
                <w:rFonts w:ascii="Arial" w:cs="Arial" w:eastAsia="Arial" w:hAnsi="Arial"/>
                <w:sz w:val="17"/>
                <w:szCs w:val="17"/>
                <w:color w:val="auto"/>
              </w:rPr>
              <w:t>804</w:t>
            </w:r>
          </w:p>
        </w:tc>
      </w:tr>
      <w:tr>
        <w:trPr>
          <w:trHeight w:val="106"/>
        </w:trPr>
        <w:tc>
          <w:tcPr>
            <w:tcW w:w="448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r>
        <w:trPr>
          <w:trHeight w:val="417"/>
        </w:trPr>
        <w:tc>
          <w:tcPr>
            <w:tcW w:w="44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r>
        <w:trPr>
          <w:trHeight w:val="232"/>
        </w:trPr>
        <w:tc>
          <w:tcPr>
            <w:tcW w:w="4480" w:type="dxa"/>
            <w:vAlign w:val="bottom"/>
          </w:tcPr>
          <w:p>
            <w:pPr>
              <w:spacing w:after="0"/>
              <w:rPr>
                <w:sz w:val="20"/>
                <w:szCs w:val="20"/>
                <w:color w:val="auto"/>
              </w:rPr>
            </w:pPr>
          </w:p>
        </w:tc>
        <w:tc>
          <w:tcPr>
            <w:tcW w:w="2940" w:type="dxa"/>
            <w:vAlign w:val="bottom"/>
          </w:tcPr>
          <w:p>
            <w:pPr>
              <w:jc w:val="center"/>
              <w:ind w:left="1361"/>
              <w:spacing w:after="0"/>
              <w:rPr>
                <w:sz w:val="20"/>
                <w:szCs w:val="20"/>
                <w:color w:val="auto"/>
              </w:rPr>
            </w:pPr>
            <w:r>
              <w:rPr>
                <w:rFonts w:ascii="Arial" w:cs="Arial" w:eastAsia="Arial" w:hAnsi="Arial"/>
                <w:sz w:val="13"/>
                <w:szCs w:val="13"/>
                <w:b w:val="1"/>
                <w:bCs w:val="1"/>
                <w:color w:val="auto"/>
                <w:w w:val="92"/>
              </w:rPr>
              <w:t>Balance</w:t>
            </w:r>
          </w:p>
        </w:tc>
        <w:tc>
          <w:tcPr>
            <w:tcW w:w="1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80" w:type="dxa"/>
            <w:vAlign w:val="bottom"/>
          </w:tcPr>
          <w:p>
            <w:pPr>
              <w:ind w:left="400"/>
              <w:spacing w:after="0"/>
              <w:rPr>
                <w:sz w:val="20"/>
                <w:szCs w:val="20"/>
                <w:color w:val="auto"/>
              </w:rPr>
            </w:pPr>
            <w:r>
              <w:rPr>
                <w:rFonts w:ascii="Arial" w:cs="Arial" w:eastAsia="Arial" w:hAnsi="Arial"/>
                <w:sz w:val="13"/>
                <w:szCs w:val="13"/>
                <w:b w:val="1"/>
                <w:bCs w:val="1"/>
                <w:color w:val="auto"/>
              </w:rPr>
              <w:t>Balance</w:t>
            </w:r>
          </w:p>
        </w:tc>
      </w:tr>
      <w:tr>
        <w:trPr>
          <w:trHeight w:val="146"/>
        </w:trPr>
        <w:tc>
          <w:tcPr>
            <w:tcW w:w="4480" w:type="dxa"/>
            <w:vAlign w:val="bottom"/>
          </w:tcPr>
          <w:p>
            <w:pPr>
              <w:spacing w:after="0" w:line="146" w:lineRule="exact"/>
              <w:rPr>
                <w:sz w:val="20"/>
                <w:szCs w:val="20"/>
                <w:color w:val="auto"/>
              </w:rPr>
            </w:pPr>
            <w:r>
              <w:rPr>
                <w:rFonts w:ascii="Arial" w:cs="Arial" w:eastAsia="Arial" w:hAnsi="Arial"/>
                <w:sz w:val="13"/>
                <w:szCs w:val="13"/>
                <w:b w:val="1"/>
                <w:bCs w:val="1"/>
                <w:color w:val="auto"/>
              </w:rPr>
              <w:t>Nine months ended September 30, (unaudited)</w:t>
            </w:r>
          </w:p>
        </w:tc>
        <w:tc>
          <w:tcPr>
            <w:tcW w:w="2940" w:type="dxa"/>
            <w:vAlign w:val="bottom"/>
          </w:tcPr>
          <w:p>
            <w:pPr>
              <w:jc w:val="center"/>
              <w:ind w:left="1361"/>
              <w:spacing w:after="0" w:line="146" w:lineRule="exact"/>
              <w:rPr>
                <w:sz w:val="20"/>
                <w:szCs w:val="20"/>
                <w:color w:val="auto"/>
              </w:rPr>
            </w:pPr>
            <w:r>
              <w:rPr>
                <w:rFonts w:ascii="Arial" w:cs="Arial" w:eastAsia="Arial" w:hAnsi="Arial"/>
                <w:sz w:val="13"/>
                <w:szCs w:val="13"/>
                <w:b w:val="1"/>
                <w:bCs w:val="1"/>
                <w:color w:val="auto"/>
                <w:w w:val="90"/>
              </w:rPr>
              <w:t>at beginning</w:t>
            </w:r>
          </w:p>
        </w:tc>
        <w:tc>
          <w:tcPr>
            <w:tcW w:w="1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jc w:val="center"/>
              <w:ind w:left="1"/>
              <w:spacing w:after="0" w:line="146" w:lineRule="exact"/>
              <w:rPr>
                <w:sz w:val="20"/>
                <w:szCs w:val="20"/>
                <w:color w:val="auto"/>
              </w:rPr>
            </w:pPr>
            <w:r>
              <w:rPr>
                <w:rFonts w:ascii="Arial" w:cs="Arial" w:eastAsia="Arial" w:hAnsi="Arial"/>
                <w:sz w:val="13"/>
                <w:szCs w:val="13"/>
                <w:b w:val="1"/>
                <w:bCs w:val="1"/>
                <w:color w:val="auto"/>
                <w:w w:val="88"/>
              </w:rPr>
              <w:t>at end</w:t>
            </w:r>
          </w:p>
        </w:tc>
      </w:tr>
      <w:tr>
        <w:trPr>
          <w:trHeight w:val="170"/>
        </w:trPr>
        <w:tc>
          <w:tcPr>
            <w:tcW w:w="448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2940" w:type="dxa"/>
            <w:vAlign w:val="bottom"/>
          </w:tcPr>
          <w:p>
            <w:pPr>
              <w:jc w:val="center"/>
              <w:ind w:left="1361"/>
              <w:spacing w:after="0"/>
              <w:rPr>
                <w:sz w:val="20"/>
                <w:szCs w:val="20"/>
                <w:color w:val="auto"/>
              </w:rPr>
            </w:pPr>
            <w:r>
              <w:rPr>
                <w:rFonts w:ascii="Arial" w:cs="Arial" w:eastAsia="Arial" w:hAnsi="Arial"/>
                <w:sz w:val="13"/>
                <w:szCs w:val="13"/>
                <w:b w:val="1"/>
                <w:bCs w:val="1"/>
                <w:color w:val="auto"/>
                <w:w w:val="89"/>
              </w:rPr>
              <w:t>of period</w:t>
            </w: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Additions</w:t>
            </w:r>
          </w:p>
        </w:tc>
        <w:tc>
          <w:tcPr>
            <w:tcW w:w="1440" w:type="dxa"/>
            <w:vAlign w:val="bottom"/>
          </w:tcPr>
          <w:p>
            <w:pPr>
              <w:jc w:val="right"/>
              <w:ind w:right="397"/>
              <w:spacing w:after="0"/>
              <w:rPr>
                <w:sz w:val="20"/>
                <w:szCs w:val="20"/>
                <w:color w:val="auto"/>
              </w:rPr>
            </w:pPr>
            <w:r>
              <w:rPr>
                <w:rFonts w:ascii="Arial" w:cs="Arial" w:eastAsia="Arial" w:hAnsi="Arial"/>
                <w:sz w:val="13"/>
                <w:szCs w:val="13"/>
                <w:b w:val="1"/>
                <w:bCs w:val="1"/>
                <w:color w:val="auto"/>
              </w:rPr>
              <w:t>Expense</w:t>
            </w:r>
          </w:p>
        </w:tc>
        <w:tc>
          <w:tcPr>
            <w:tcW w:w="1180" w:type="dxa"/>
            <w:vAlign w:val="bottom"/>
          </w:tcPr>
          <w:p>
            <w:pPr>
              <w:jc w:val="center"/>
              <w:ind w:left="1"/>
              <w:spacing w:after="0"/>
              <w:rPr>
                <w:sz w:val="20"/>
                <w:szCs w:val="20"/>
                <w:color w:val="auto"/>
              </w:rPr>
            </w:pPr>
            <w:r>
              <w:rPr>
                <w:rFonts w:ascii="Arial" w:cs="Arial" w:eastAsia="Arial" w:hAnsi="Arial"/>
                <w:sz w:val="13"/>
                <w:szCs w:val="13"/>
                <w:b w:val="1"/>
                <w:bCs w:val="1"/>
                <w:color w:val="auto"/>
                <w:w w:val="89"/>
              </w:rPr>
              <w:t>of period</w:t>
            </w:r>
          </w:p>
        </w:tc>
      </w:tr>
      <w:tr>
        <w:trPr>
          <w:trHeight w:val="94"/>
        </w:trPr>
        <w:tc>
          <w:tcPr>
            <w:tcW w:w="4480" w:type="dxa"/>
            <w:vAlign w:val="bottom"/>
            <w:tcBorders>
              <w:bottom w:val="single" w:sz="8" w:color="808080"/>
            </w:tcBorders>
          </w:tcPr>
          <w:p>
            <w:pPr>
              <w:spacing w:after="0"/>
              <w:rPr>
                <w:sz w:val="8"/>
                <w:szCs w:val="8"/>
                <w:color w:val="auto"/>
              </w:rPr>
            </w:pPr>
          </w:p>
        </w:tc>
        <w:tc>
          <w:tcPr>
            <w:tcW w:w="294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r>
      <w:tr>
        <w:trPr>
          <w:trHeight w:val="302"/>
        </w:trPr>
        <w:tc>
          <w:tcPr>
            <w:tcW w:w="4480" w:type="dxa"/>
            <w:vAlign w:val="bottom"/>
          </w:tcPr>
          <w:p>
            <w:pPr>
              <w:spacing w:after="0"/>
              <w:rPr>
                <w:sz w:val="20"/>
                <w:szCs w:val="20"/>
                <w:color w:val="auto"/>
              </w:rPr>
            </w:pPr>
            <w:r>
              <w:rPr>
                <w:rFonts w:ascii="Arial" w:cs="Arial" w:eastAsia="Arial" w:hAnsi="Arial"/>
                <w:sz w:val="17"/>
                <w:szCs w:val="17"/>
                <w:color w:val="auto"/>
              </w:rPr>
              <w:t>2003</w:t>
            </w:r>
          </w:p>
        </w:tc>
        <w:tc>
          <w:tcPr>
            <w:tcW w:w="2940" w:type="dxa"/>
            <w:vAlign w:val="bottom"/>
          </w:tcPr>
          <w:p>
            <w:pPr>
              <w:jc w:val="center"/>
              <w:ind w:left="1381"/>
              <w:spacing w:after="0"/>
              <w:rPr>
                <w:sz w:val="20"/>
                <w:szCs w:val="20"/>
                <w:color w:val="auto"/>
              </w:rPr>
            </w:pPr>
            <w:r>
              <w:rPr>
                <w:rFonts w:ascii="Arial" w:cs="Arial" w:eastAsia="Arial" w:hAnsi="Arial"/>
                <w:sz w:val="17"/>
                <w:szCs w:val="17"/>
                <w:color w:val="auto"/>
                <w:w w:val="95"/>
              </w:rPr>
              <w:t>$478</w:t>
            </w:r>
          </w:p>
        </w:tc>
        <w:tc>
          <w:tcPr>
            <w:tcW w:w="1380" w:type="dxa"/>
            <w:vAlign w:val="bottom"/>
          </w:tcPr>
          <w:p>
            <w:pPr>
              <w:jc w:val="right"/>
              <w:ind w:right="297"/>
              <w:spacing w:after="0"/>
              <w:rPr>
                <w:sz w:val="20"/>
                <w:szCs w:val="20"/>
                <w:color w:val="auto"/>
              </w:rPr>
            </w:pPr>
            <w:r>
              <w:rPr>
                <w:rFonts w:ascii="Arial" w:cs="Arial" w:eastAsia="Arial" w:hAnsi="Arial"/>
                <w:sz w:val="17"/>
                <w:szCs w:val="17"/>
                <w:color w:val="auto"/>
              </w:rPr>
              <w:t>$1,366</w:t>
            </w:r>
          </w:p>
        </w:tc>
        <w:tc>
          <w:tcPr>
            <w:tcW w:w="1440" w:type="dxa"/>
            <w:vAlign w:val="bottom"/>
          </w:tcPr>
          <w:p>
            <w:pPr>
              <w:ind w:left="460"/>
              <w:spacing w:after="0"/>
              <w:rPr>
                <w:sz w:val="20"/>
                <w:szCs w:val="20"/>
                <w:color w:val="auto"/>
              </w:rPr>
            </w:pPr>
            <w:r>
              <w:rPr>
                <w:rFonts w:ascii="Arial" w:cs="Arial" w:eastAsia="Arial" w:hAnsi="Arial"/>
                <w:sz w:val="17"/>
                <w:szCs w:val="17"/>
                <w:color w:val="auto"/>
              </w:rPr>
              <w:t>$(1,024)</w:t>
            </w:r>
          </w:p>
        </w:tc>
        <w:tc>
          <w:tcPr>
            <w:tcW w:w="1180" w:type="dxa"/>
            <w:vAlign w:val="bottom"/>
          </w:tcPr>
          <w:p>
            <w:pPr>
              <w:ind w:left="400"/>
              <w:spacing w:after="0"/>
              <w:rPr>
                <w:sz w:val="20"/>
                <w:szCs w:val="20"/>
                <w:color w:val="auto"/>
              </w:rPr>
            </w:pPr>
            <w:r>
              <w:rPr>
                <w:rFonts w:ascii="Arial" w:cs="Arial" w:eastAsia="Arial" w:hAnsi="Arial"/>
                <w:sz w:val="17"/>
                <w:szCs w:val="17"/>
                <w:color w:val="auto"/>
              </w:rPr>
              <w:t>$820</w:t>
            </w:r>
          </w:p>
        </w:tc>
      </w:tr>
      <w:tr>
        <w:trPr>
          <w:trHeight w:val="217"/>
        </w:trPr>
        <w:tc>
          <w:tcPr>
            <w:tcW w:w="4480" w:type="dxa"/>
            <w:vAlign w:val="bottom"/>
          </w:tcPr>
          <w:p>
            <w:pPr>
              <w:spacing w:after="0"/>
              <w:rPr>
                <w:sz w:val="20"/>
                <w:szCs w:val="20"/>
                <w:color w:val="auto"/>
              </w:rPr>
            </w:pPr>
            <w:r>
              <w:rPr>
                <w:rFonts w:ascii="Arial" w:cs="Arial" w:eastAsia="Arial" w:hAnsi="Arial"/>
                <w:sz w:val="17"/>
                <w:szCs w:val="17"/>
                <w:color w:val="auto"/>
              </w:rPr>
              <w:t>2004</w:t>
            </w:r>
          </w:p>
        </w:tc>
        <w:tc>
          <w:tcPr>
            <w:tcW w:w="2940" w:type="dxa"/>
            <w:vAlign w:val="bottom"/>
          </w:tcPr>
          <w:p>
            <w:pPr>
              <w:jc w:val="center"/>
              <w:ind w:left="1381"/>
              <w:spacing w:after="0"/>
              <w:rPr>
                <w:sz w:val="20"/>
                <w:szCs w:val="20"/>
                <w:color w:val="auto"/>
              </w:rPr>
            </w:pPr>
            <w:r>
              <w:rPr>
                <w:rFonts w:ascii="Arial" w:cs="Arial" w:eastAsia="Arial" w:hAnsi="Arial"/>
                <w:sz w:val="17"/>
                <w:szCs w:val="17"/>
                <w:color w:val="auto"/>
                <w:w w:val="95"/>
              </w:rPr>
              <w:t>$804</w:t>
            </w:r>
          </w:p>
        </w:tc>
        <w:tc>
          <w:tcPr>
            <w:tcW w:w="1380" w:type="dxa"/>
            <w:vAlign w:val="bottom"/>
          </w:tcPr>
          <w:p>
            <w:pPr>
              <w:jc w:val="right"/>
              <w:ind w:right="297"/>
              <w:spacing w:after="0"/>
              <w:rPr>
                <w:sz w:val="20"/>
                <w:szCs w:val="20"/>
                <w:color w:val="auto"/>
              </w:rPr>
            </w:pPr>
            <w:r>
              <w:rPr>
                <w:rFonts w:ascii="Arial" w:cs="Arial" w:eastAsia="Arial" w:hAnsi="Arial"/>
                <w:sz w:val="17"/>
                <w:szCs w:val="17"/>
                <w:color w:val="auto"/>
              </w:rPr>
              <w:t>$1,406</w:t>
            </w:r>
          </w:p>
        </w:tc>
        <w:tc>
          <w:tcPr>
            <w:tcW w:w="1440" w:type="dxa"/>
            <w:vAlign w:val="bottom"/>
          </w:tcPr>
          <w:p>
            <w:pPr>
              <w:ind w:left="460"/>
              <w:spacing w:after="0"/>
              <w:rPr>
                <w:sz w:val="20"/>
                <w:szCs w:val="20"/>
                <w:color w:val="auto"/>
              </w:rPr>
            </w:pPr>
            <w:r>
              <w:rPr>
                <w:rFonts w:ascii="Arial" w:cs="Arial" w:eastAsia="Arial" w:hAnsi="Arial"/>
                <w:sz w:val="17"/>
                <w:szCs w:val="17"/>
                <w:color w:val="auto"/>
              </w:rPr>
              <w:t>$(1,498)</w:t>
            </w:r>
          </w:p>
        </w:tc>
        <w:tc>
          <w:tcPr>
            <w:tcW w:w="1180" w:type="dxa"/>
            <w:vAlign w:val="bottom"/>
          </w:tcPr>
          <w:p>
            <w:pPr>
              <w:ind w:left="400"/>
              <w:spacing w:after="0"/>
              <w:rPr>
                <w:sz w:val="20"/>
                <w:szCs w:val="20"/>
                <w:color w:val="auto"/>
              </w:rPr>
            </w:pPr>
            <w:r>
              <w:rPr>
                <w:rFonts w:ascii="Arial" w:cs="Arial" w:eastAsia="Arial" w:hAnsi="Arial"/>
                <w:sz w:val="17"/>
                <w:szCs w:val="17"/>
                <w:color w:val="auto"/>
              </w:rPr>
              <w:t>$712</w:t>
            </w:r>
          </w:p>
        </w:tc>
      </w:tr>
      <w:tr>
        <w:trPr>
          <w:trHeight w:val="109"/>
        </w:trPr>
        <w:tc>
          <w:tcPr>
            <w:tcW w:w="448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234"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Advertising costs are expensed as incurred and were $389,000, $371,000 and $365,000 for the years ended December 31, 2001, 2002 and 2003 and $270,000 and $165,000 for the nine months ended September 30, 2003 and 2004,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3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Company evaluates the recoverability of its property and equipment and other assets in accordance with SFAS No. 144, “Accounting for the Impairment or Disposal of Long-Lived Assets”. SFAS No. 144 requires that one accounting model be used for long-lived assets to be disposed of by sale, whether previously held and used or newly acquired. An impairment loss is recognized when the net book value of such assets exceeds the estimated future undiscounted cash flows attributable to the assets or the business to which the assets relate. Impairment losses are measured as the amount by which the carrying value exceeds the fair value of the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Derivatives</w:t>
      </w:r>
    </w:p>
    <w:p>
      <w:pPr>
        <w:spacing w:after="0" w:line="234"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 Company used a derivative financial instrument to manage its exposure to fluctuations in interest rates on its long term debt by entering into an interest rate exchange agreement, a swap.</w:t>
      </w:r>
    </w:p>
    <w:p>
      <w:pPr>
        <w:spacing w:after="0" w:line="169"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On January 1, 2001, the Company adopted SFAS No. 133, “Accounting for Derivative Instruments and Hedging Activities”, as amended by SFAS No. 137, “Accounting for Derivative Instruments and Hedging Activities— Deferral of the Effective Date of FASB Statement No. 133— an amendment of FASB Statement No. 133”, SFAS No. 138, “Accounting for Certain Derivative Instruments and Certain Hedging Activities— an Amendment of FASB Statement No. 133” and SFAS No. 149, “Amendment of Statement No. 133 on Derivative Instruments and Hedging Activities”. These statements establish accounting and reporting standards for derivative instruments and require recognition of all derivatives as either assets or liabilities in the statements of financial position and measurement of those instruments at fair value. Changes in the fair value of highly effective derivatives are recorded in accumulated other comprehensive income (loss). The Company’s swap agreement has been designated and is effective as a cash flow hedge and, as such, changes in the fair value of the derivative instrument are substantially offset in the consolidated statement of operations by changes in the fair value of the hedged item. See note 9.</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w:t>
      </w:r>
    </w:p>
    <w:p>
      <w:pPr>
        <w:spacing w:after="0" w:line="23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Shipping and handling costs are expensed as incurred and included in cost of license fees. The reimbursement of these costs by our customers is included in license fees.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(loss) per share</w:t>
      </w:r>
    </w:p>
    <w:p>
      <w:pPr>
        <w:spacing w:after="0" w:line="234"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The Company computes earnings per common share in accordance with SFAS No. 128, “Earnings Per Share”. Under the provisions of SFAS No. 128, basic earnings per share is computed by dividing net income (loss) available to common shareholders by the weighted average number of common shares outstanding. Diluted earnings per share is computed by dividing net income (loss) available to common shareholders by the weighted average number of common shares and dilutive potential common share equivalents then outstanding. Potential common shares consist of shares issuable upon the exercise of stock options. The Company had no dilutive potential common share equivalents for the years ended December 31, 2001 and 2002. Diluted net loss per share for the year ended December 31, 2003 does not include the effect of 2,858,850 potential common share equivalents as their impact would be anti-dilutive. Diluted net loss per share for the nine months ended September 30, 2003 does not include the effect of 2,447,973 potential common share equivalents as their impact would be anti-dilutive. Diluted earnings per share for the nine months ended September 30, 2004 includes the effect of 3,986,927 potential common share equivalents.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9" w:right="27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auto"/>
        </w:rPr>
        <w:t>The following table sets forth the computation of basic and fully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351790</wp:posOffset>
            </wp:positionV>
            <wp:extent cx="7249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60" w:type="dxa"/>
            <w:vAlign w:val="bottom"/>
          </w:tcPr>
          <w:p>
            <w:pPr>
              <w:jc w:val="center"/>
              <w:ind w:left="562"/>
              <w:spacing w:after="0"/>
              <w:rPr>
                <w:sz w:val="20"/>
                <w:szCs w:val="20"/>
                <w:color w:val="auto"/>
              </w:rPr>
            </w:pPr>
            <w:r>
              <w:rPr>
                <w:rFonts w:ascii="Arial" w:cs="Arial" w:eastAsia="Arial" w:hAnsi="Arial"/>
                <w:sz w:val="13"/>
                <w:szCs w:val="13"/>
                <w:b w:val="1"/>
                <w:bCs w:val="1"/>
                <w:color w:val="auto"/>
                <w:w w:val="89"/>
              </w:rPr>
              <w:t>Nine months ended</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0" w:type="dxa"/>
            <w:vAlign w:val="bottom"/>
            <w:gridSpan w:val="2"/>
          </w:tcPr>
          <w:p>
            <w:pPr>
              <w:jc w:val="right"/>
              <w:ind w:right="197"/>
              <w:spacing w:after="0"/>
              <w:rPr>
                <w:sz w:val="20"/>
                <w:szCs w:val="20"/>
                <w:color w:val="auto"/>
              </w:rPr>
            </w:pPr>
            <w:r>
              <w:rPr>
                <w:rFonts w:ascii="Arial" w:cs="Arial" w:eastAsia="Arial" w:hAnsi="Arial"/>
                <w:sz w:val="13"/>
                <w:szCs w:val="13"/>
                <w:b w:val="1"/>
                <w:bCs w:val="1"/>
                <w:color w:val="auto"/>
              </w:rPr>
              <w:t>Year ended December 31,</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jc w:val="center"/>
              <w:ind w:left="562"/>
              <w:spacing w:after="0"/>
              <w:rPr>
                <w:sz w:val="20"/>
                <w:szCs w:val="20"/>
                <w:color w:val="auto"/>
              </w:rPr>
            </w:pPr>
            <w:r>
              <w:rPr>
                <w:rFonts w:ascii="Arial" w:cs="Arial" w:eastAsia="Arial" w:hAnsi="Arial"/>
                <w:sz w:val="13"/>
                <w:szCs w:val="13"/>
                <w:b w:val="1"/>
                <w:bCs w:val="1"/>
                <w:color w:val="auto"/>
                <w:w w:val="89"/>
              </w:rPr>
              <w:t>September 30,</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0" w:type="dxa"/>
            <w:vAlign w:val="bottom"/>
            <w:vMerge w:val="restart"/>
          </w:tcPr>
          <w:p>
            <w:pPr>
              <w:jc w:val="center"/>
              <w:ind w:right="157"/>
              <w:spacing w:after="0"/>
              <w:rPr>
                <w:sz w:val="20"/>
                <w:szCs w:val="20"/>
                <w:color w:val="auto"/>
              </w:rPr>
            </w:pPr>
            <w:r>
              <w:rPr>
                <w:rFonts w:ascii="Arial" w:cs="Arial" w:eastAsia="Arial" w:hAnsi="Arial"/>
                <w:sz w:val="13"/>
                <w:szCs w:val="13"/>
                <w:b w:val="1"/>
                <w:bCs w:val="1"/>
                <w:color w:val="auto"/>
                <w:w w:val="89"/>
              </w:rPr>
              <w:t>(in thousands except</w:t>
            </w: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80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00" w:type="dxa"/>
            <w:vAlign w:val="bottom"/>
          </w:tcPr>
          <w:p>
            <w:pPr>
              <w:jc w:val="center"/>
              <w:ind w:right="157"/>
              <w:spacing w:after="0"/>
              <w:rPr>
                <w:sz w:val="20"/>
                <w:szCs w:val="20"/>
                <w:color w:val="auto"/>
              </w:rPr>
            </w:pPr>
            <w:r>
              <w:rPr>
                <w:rFonts w:ascii="Arial" w:cs="Arial" w:eastAsia="Arial" w:hAnsi="Arial"/>
                <w:sz w:val="13"/>
                <w:szCs w:val="13"/>
                <w:b w:val="1"/>
                <w:bCs w:val="1"/>
                <w:color w:val="auto"/>
                <w:w w:val="90"/>
              </w:rPr>
              <w:t>share amounts)</w:t>
            </w:r>
          </w:p>
        </w:tc>
        <w:tc>
          <w:tcPr>
            <w:tcW w:w="400" w:type="dxa"/>
            <w:vAlign w:val="bottom"/>
          </w:tcPr>
          <w:p>
            <w:pPr>
              <w:spacing w:after="0"/>
              <w:rPr>
                <w:sz w:val="16"/>
                <w:szCs w:val="16"/>
                <w:color w:val="auto"/>
              </w:rPr>
            </w:pPr>
          </w:p>
        </w:tc>
        <w:tc>
          <w:tcPr>
            <w:tcW w:w="1040" w:type="dxa"/>
            <w:vAlign w:val="bottom"/>
          </w:tcPr>
          <w:p>
            <w:pPr>
              <w:jc w:val="right"/>
              <w:ind w:right="477"/>
              <w:spacing w:after="0"/>
              <w:rPr>
                <w:sz w:val="20"/>
                <w:szCs w:val="20"/>
                <w:color w:val="auto"/>
              </w:rPr>
            </w:pPr>
            <w:r>
              <w:rPr>
                <w:rFonts w:ascii="Arial" w:cs="Arial" w:eastAsia="Arial" w:hAnsi="Arial"/>
                <w:sz w:val="13"/>
                <w:szCs w:val="13"/>
                <w:b w:val="1"/>
                <w:bCs w:val="1"/>
                <w:color w:val="auto"/>
              </w:rPr>
              <w:t>2001</w:t>
            </w:r>
          </w:p>
        </w:tc>
        <w:tc>
          <w:tcPr>
            <w:tcW w:w="660" w:type="dxa"/>
            <w:vAlign w:val="bottom"/>
          </w:tcPr>
          <w:p>
            <w:pPr>
              <w:spacing w:after="0"/>
              <w:rPr>
                <w:sz w:val="16"/>
                <w:szCs w:val="16"/>
                <w:color w:val="auto"/>
              </w:rPr>
            </w:pPr>
          </w:p>
        </w:tc>
        <w:tc>
          <w:tcPr>
            <w:tcW w:w="1340" w:type="dxa"/>
            <w:vAlign w:val="bottom"/>
          </w:tcPr>
          <w:p>
            <w:pPr>
              <w:jc w:val="right"/>
              <w:ind w:right="797"/>
              <w:spacing w:after="0"/>
              <w:rPr>
                <w:sz w:val="20"/>
                <w:szCs w:val="20"/>
                <w:color w:val="auto"/>
              </w:rPr>
            </w:pPr>
            <w:r>
              <w:rPr>
                <w:rFonts w:ascii="Arial" w:cs="Arial" w:eastAsia="Arial" w:hAnsi="Arial"/>
                <w:sz w:val="13"/>
                <w:szCs w:val="13"/>
                <w:b w:val="1"/>
                <w:bCs w:val="1"/>
                <w:color w:val="auto"/>
              </w:rPr>
              <w:t>2002</w:t>
            </w:r>
          </w:p>
        </w:tc>
        <w:tc>
          <w:tcPr>
            <w:tcW w:w="360" w:type="dxa"/>
            <w:vAlign w:val="bottom"/>
          </w:tcPr>
          <w:p>
            <w:pPr>
              <w:spacing w:after="0"/>
              <w:rPr>
                <w:sz w:val="16"/>
                <w:szCs w:val="16"/>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2003</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jc w:val="right"/>
              <w:ind w:right="1202"/>
              <w:spacing w:after="0"/>
              <w:rPr>
                <w:sz w:val="20"/>
                <w:szCs w:val="20"/>
                <w:color w:val="auto"/>
              </w:rPr>
            </w:pPr>
            <w:r>
              <w:rPr>
                <w:rFonts w:ascii="Arial" w:cs="Arial" w:eastAsia="Arial" w:hAnsi="Arial"/>
                <w:sz w:val="13"/>
                <w:szCs w:val="13"/>
                <w:b w:val="1"/>
                <w:bCs w:val="1"/>
                <w:color w:val="auto"/>
              </w:rPr>
              <w:t>2003</w:t>
            </w:r>
          </w:p>
        </w:tc>
        <w:tc>
          <w:tcPr>
            <w:tcW w:w="100" w:type="dxa"/>
            <w:vAlign w:val="bottom"/>
          </w:tcPr>
          <w:p>
            <w:pPr>
              <w:spacing w:after="0"/>
              <w:rPr>
                <w:sz w:val="16"/>
                <w:szCs w:val="16"/>
                <w:color w:val="auto"/>
              </w:rPr>
            </w:pPr>
          </w:p>
        </w:tc>
        <w:tc>
          <w:tcPr>
            <w:tcW w:w="1080" w:type="dxa"/>
            <w:vAlign w:val="bottom"/>
          </w:tcPr>
          <w:p>
            <w:pPr>
              <w:jc w:val="right"/>
              <w:ind w:right="517"/>
              <w:spacing w:after="0"/>
              <w:rPr>
                <w:sz w:val="20"/>
                <w:szCs w:val="20"/>
                <w:color w:val="auto"/>
              </w:rPr>
            </w:pPr>
            <w:r>
              <w:rPr>
                <w:rFonts w:ascii="Arial" w:cs="Arial" w:eastAsia="Arial" w:hAnsi="Arial"/>
                <w:sz w:val="13"/>
                <w:szCs w:val="13"/>
                <w:b w:val="1"/>
                <w:bCs w:val="1"/>
                <w:color w:val="auto"/>
              </w:rPr>
              <w:t>2004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60" w:type="dxa"/>
            <w:vAlign w:val="bottom"/>
          </w:tcPr>
          <w:p>
            <w:pPr>
              <w:jc w:val="center"/>
              <w:ind w:left="582"/>
              <w:spacing w:after="0"/>
              <w:rPr>
                <w:sz w:val="20"/>
                <w:szCs w:val="20"/>
                <w:color w:val="auto"/>
              </w:rPr>
            </w:pPr>
            <w:r>
              <w:rPr>
                <w:rFonts w:ascii="Arial" w:cs="Arial" w:eastAsia="Arial" w:hAnsi="Arial"/>
                <w:sz w:val="13"/>
                <w:szCs w:val="13"/>
                <w:b w:val="1"/>
                <w:bCs w:val="1"/>
                <w:color w:val="auto"/>
                <w:w w:val="93"/>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7"/>
                <w:szCs w:val="17"/>
                <w:color w:val="auto"/>
              </w:rPr>
              <w:t>Numerator:</w:t>
            </w:r>
          </w:p>
        </w:tc>
        <w:tc>
          <w:tcPr>
            <w:tcW w:w="4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Net income (loss)</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7"/>
              <w:spacing w:after="0"/>
              <w:rPr>
                <w:sz w:val="20"/>
                <w:szCs w:val="20"/>
                <w:color w:val="auto"/>
              </w:rPr>
            </w:pPr>
            <w:r>
              <w:rPr>
                <w:rFonts w:ascii="Arial" w:cs="Arial" w:eastAsia="Arial" w:hAnsi="Arial"/>
                <w:sz w:val="17"/>
                <w:szCs w:val="17"/>
                <w:color w:val="auto"/>
              </w:rPr>
              <w:t>8,906</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77"/>
              <w:spacing w:after="0"/>
              <w:rPr>
                <w:sz w:val="20"/>
                <w:szCs w:val="20"/>
                <w:color w:val="auto"/>
              </w:rPr>
            </w:pPr>
            <w:r>
              <w:rPr>
                <w:rFonts w:ascii="Arial" w:cs="Arial" w:eastAsia="Arial" w:hAnsi="Arial"/>
                <w:sz w:val="17"/>
                <w:szCs w:val="17"/>
                <w:color w:val="auto"/>
              </w:rPr>
              <w:t>15,640</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7"/>
              <w:spacing w:after="0"/>
              <w:rPr>
                <w:sz w:val="20"/>
                <w:szCs w:val="20"/>
                <w:color w:val="auto"/>
              </w:rPr>
            </w:pPr>
            <w:r>
              <w:rPr>
                <w:rFonts w:ascii="Arial" w:cs="Arial" w:eastAsia="Arial" w:hAnsi="Arial"/>
                <w:sz w:val="17"/>
                <w:szCs w:val="17"/>
                <w:color w:val="auto"/>
              </w:rPr>
              <w:t>(478)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842"/>
              <w:spacing w:after="0"/>
              <w:rPr>
                <w:sz w:val="20"/>
                <w:szCs w:val="20"/>
                <w:color w:val="auto"/>
              </w:rPr>
            </w:pPr>
            <w:r>
              <w:rPr>
                <w:rFonts w:ascii="Arial" w:cs="Arial" w:eastAsia="Arial" w:hAnsi="Arial"/>
                <w:sz w:val="17"/>
                <w:szCs w:val="17"/>
                <w:color w:val="auto"/>
              </w:rPr>
              <w:t>(349)</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217"/>
              <w:spacing w:after="0"/>
              <w:rPr>
                <w:sz w:val="20"/>
                <w:szCs w:val="20"/>
                <w:color w:val="auto"/>
              </w:rPr>
            </w:pPr>
            <w:r>
              <w:rPr>
                <w:rFonts w:ascii="Arial" w:cs="Arial" w:eastAsia="Arial" w:hAnsi="Arial"/>
                <w:sz w:val="17"/>
                <w:szCs w:val="17"/>
                <w:color w:val="auto"/>
              </w:rPr>
              <w:t>16,927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7"/>
                <w:szCs w:val="17"/>
                <w:color w:val="auto"/>
              </w:rPr>
              <w:t>Denominator:</w:t>
            </w:r>
          </w:p>
        </w:tc>
        <w:tc>
          <w:tcPr>
            <w:tcW w:w="4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7"/>
                <w:szCs w:val="17"/>
                <w:color w:val="auto"/>
              </w:rPr>
              <w:t>Weighted average common shares</w:t>
            </w:r>
          </w:p>
        </w:tc>
        <w:tc>
          <w:tcPr>
            <w:tcW w:w="400" w:type="dxa"/>
            <w:vAlign w:val="bottom"/>
          </w:tcPr>
          <w:p>
            <w:pPr>
              <w:spacing w:after="0"/>
              <w:rPr>
                <w:sz w:val="18"/>
                <w:szCs w:val="18"/>
                <w:color w:val="auto"/>
              </w:rPr>
            </w:pPr>
          </w:p>
        </w:tc>
        <w:tc>
          <w:tcPr>
            <w:tcW w:w="1040" w:type="dxa"/>
            <w:vAlign w:val="bottom"/>
          </w:tcPr>
          <w:p>
            <w:pPr>
              <w:jc w:val="right"/>
              <w:ind w:right="197"/>
              <w:spacing w:after="0"/>
              <w:rPr>
                <w:sz w:val="20"/>
                <w:szCs w:val="20"/>
                <w:color w:val="auto"/>
              </w:rPr>
            </w:pPr>
            <w:r>
              <w:rPr>
                <w:rFonts w:ascii="Arial" w:cs="Arial" w:eastAsia="Arial" w:hAnsi="Arial"/>
                <w:sz w:val="17"/>
                <w:szCs w:val="17"/>
                <w:color w:val="auto"/>
                <w:w w:val="86"/>
              </w:rPr>
              <w:t>41,492,829</w:t>
            </w:r>
          </w:p>
        </w:tc>
        <w:tc>
          <w:tcPr>
            <w:tcW w:w="660" w:type="dxa"/>
            <w:vAlign w:val="bottom"/>
          </w:tcPr>
          <w:p>
            <w:pPr>
              <w:spacing w:after="0"/>
              <w:rPr>
                <w:sz w:val="18"/>
                <w:szCs w:val="18"/>
                <w:color w:val="auto"/>
              </w:rPr>
            </w:pPr>
          </w:p>
        </w:tc>
        <w:tc>
          <w:tcPr>
            <w:tcW w:w="1340" w:type="dxa"/>
            <w:vAlign w:val="bottom"/>
          </w:tcPr>
          <w:p>
            <w:pPr>
              <w:jc w:val="right"/>
              <w:ind w:right="477"/>
              <w:spacing w:after="0"/>
              <w:rPr>
                <w:sz w:val="20"/>
                <w:szCs w:val="20"/>
                <w:color w:val="auto"/>
              </w:rPr>
            </w:pPr>
            <w:r>
              <w:rPr>
                <w:rFonts w:ascii="Arial" w:cs="Arial" w:eastAsia="Arial" w:hAnsi="Arial"/>
                <w:sz w:val="17"/>
                <w:szCs w:val="17"/>
                <w:color w:val="auto"/>
                <w:w w:val="89"/>
              </w:rPr>
              <w:t>42,360,410</w:t>
            </w:r>
          </w:p>
        </w:tc>
        <w:tc>
          <w:tcPr>
            <w:tcW w:w="360" w:type="dxa"/>
            <w:vAlign w:val="bottom"/>
          </w:tcPr>
          <w:p>
            <w:pPr>
              <w:spacing w:after="0"/>
              <w:rPr>
                <w:sz w:val="18"/>
                <w:szCs w:val="18"/>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auto"/>
                <w:w w:val="89"/>
              </w:rPr>
              <w:t>42,395,594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ind w:right="902"/>
              <w:spacing w:after="0"/>
              <w:rPr>
                <w:sz w:val="20"/>
                <w:szCs w:val="20"/>
                <w:color w:val="auto"/>
              </w:rPr>
            </w:pPr>
            <w:r>
              <w:rPr>
                <w:rFonts w:ascii="Arial" w:cs="Arial" w:eastAsia="Arial" w:hAnsi="Arial"/>
                <w:sz w:val="17"/>
                <w:szCs w:val="17"/>
                <w:color w:val="auto"/>
                <w:w w:val="89"/>
              </w:rPr>
              <w:t>42,391,299</w:t>
            </w:r>
          </w:p>
        </w:tc>
        <w:tc>
          <w:tcPr>
            <w:tcW w:w="100" w:type="dxa"/>
            <w:vAlign w:val="bottom"/>
          </w:tcPr>
          <w:p>
            <w:pPr>
              <w:spacing w:after="0"/>
              <w:rPr>
                <w:sz w:val="18"/>
                <w:szCs w:val="18"/>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auto"/>
                <w:w w:val="89"/>
              </w:rPr>
              <w:t>42,480,059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7"/>
                <w:szCs w:val="17"/>
                <w:color w:val="auto"/>
              </w:rPr>
              <w:t>Add effect of dilutive securities:</w:t>
            </w:r>
          </w:p>
        </w:tc>
        <w:tc>
          <w:tcPr>
            <w:tcW w:w="4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ind w:left="220"/>
              <w:spacing w:after="0"/>
              <w:rPr>
                <w:sz w:val="20"/>
                <w:szCs w:val="20"/>
                <w:color w:val="auto"/>
              </w:rPr>
            </w:pPr>
            <w:r>
              <w:rPr>
                <w:rFonts w:ascii="Arial" w:cs="Arial" w:eastAsia="Arial" w:hAnsi="Arial"/>
                <w:sz w:val="17"/>
                <w:szCs w:val="17"/>
                <w:color w:val="auto"/>
              </w:rPr>
              <w:t>Employee stock options</w:t>
            </w:r>
          </w:p>
        </w:tc>
        <w:tc>
          <w:tcPr>
            <w:tcW w:w="400" w:type="dxa"/>
            <w:vAlign w:val="bottom"/>
          </w:tcPr>
          <w:p>
            <w:pPr>
              <w:spacing w:after="0"/>
              <w:rPr>
                <w:sz w:val="18"/>
                <w:szCs w:val="18"/>
                <w:color w:val="auto"/>
              </w:rPr>
            </w:pPr>
          </w:p>
        </w:tc>
        <w:tc>
          <w:tcPr>
            <w:tcW w:w="10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1340" w:type="dxa"/>
            <w:vAlign w:val="bottom"/>
          </w:tcPr>
          <w:p>
            <w:pPr>
              <w:jc w:val="right"/>
              <w:ind w:right="47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60" w:type="dxa"/>
            <w:vAlign w:val="bottom"/>
          </w:tcPr>
          <w:p>
            <w:pPr>
              <w:jc w:val="right"/>
              <w:ind w:right="902"/>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auto"/>
              </w:rPr>
              <w:t>3,986,927</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EEEEEE"/>
          </w:tcPr>
          <w:p>
            <w:pPr>
              <w:spacing w:after="0"/>
              <w:rPr>
                <w:sz w:val="20"/>
                <w:szCs w:val="20"/>
                <w:color w:val="auto"/>
              </w:rPr>
            </w:pPr>
            <w:r>
              <w:rPr>
                <w:rFonts w:ascii="Arial" w:cs="Arial" w:eastAsia="Arial" w:hAnsi="Arial"/>
                <w:sz w:val="17"/>
                <w:szCs w:val="17"/>
                <w:color w:val="auto"/>
              </w:rPr>
              <w:t>Weighted average common shares</w:t>
            </w:r>
          </w:p>
        </w:tc>
        <w:tc>
          <w:tcPr>
            <w:tcW w:w="4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17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800" w:type="dxa"/>
            <w:vAlign w:val="bottom"/>
            <w:shd w:val="clear" w:color="auto" w:fill="EEEEEE"/>
          </w:tcPr>
          <w:p>
            <w:pPr>
              <w:ind w:left="120"/>
              <w:spacing w:after="0"/>
              <w:rPr>
                <w:sz w:val="20"/>
                <w:szCs w:val="20"/>
                <w:color w:val="auto"/>
              </w:rPr>
            </w:pPr>
            <w:r>
              <w:rPr>
                <w:rFonts w:ascii="Arial" w:cs="Arial" w:eastAsia="Arial" w:hAnsi="Arial"/>
                <w:sz w:val="17"/>
                <w:szCs w:val="17"/>
                <w:color w:val="auto"/>
              </w:rPr>
              <w:t>assuming dilution</w:t>
            </w:r>
          </w:p>
        </w:tc>
        <w:tc>
          <w:tcPr>
            <w:tcW w:w="400" w:type="dxa"/>
            <w:vAlign w:val="bottom"/>
            <w:shd w:val="clear" w:color="auto" w:fill="EEEEEE"/>
          </w:tcPr>
          <w:p>
            <w:pPr>
              <w:spacing w:after="0"/>
              <w:rPr>
                <w:sz w:val="19"/>
                <w:szCs w:val="19"/>
                <w:color w:val="auto"/>
              </w:rPr>
            </w:pPr>
          </w:p>
        </w:tc>
        <w:tc>
          <w:tcPr>
            <w:tcW w:w="104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w w:val="86"/>
              </w:rPr>
              <w:t>41,492,829</w:t>
            </w:r>
          </w:p>
        </w:tc>
        <w:tc>
          <w:tcPr>
            <w:tcW w:w="660" w:type="dxa"/>
            <w:vAlign w:val="bottom"/>
            <w:shd w:val="clear" w:color="auto" w:fill="EEEEEE"/>
          </w:tcPr>
          <w:p>
            <w:pPr>
              <w:spacing w:after="0"/>
              <w:rPr>
                <w:sz w:val="19"/>
                <w:szCs w:val="19"/>
                <w:color w:val="auto"/>
              </w:rPr>
            </w:pPr>
          </w:p>
        </w:tc>
        <w:tc>
          <w:tcPr>
            <w:tcW w:w="134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w w:val="89"/>
              </w:rPr>
              <w:t>42,360,410</w:t>
            </w:r>
          </w:p>
        </w:tc>
        <w:tc>
          <w:tcPr>
            <w:tcW w:w="36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w w:val="89"/>
              </w:rPr>
              <w:t>42,395,594</w:t>
            </w:r>
          </w:p>
        </w:tc>
        <w:tc>
          <w:tcPr>
            <w:tcW w:w="24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760" w:type="dxa"/>
            <w:vAlign w:val="bottom"/>
            <w:shd w:val="clear" w:color="auto" w:fill="EEEEEE"/>
          </w:tcPr>
          <w:p>
            <w:pPr>
              <w:jc w:val="right"/>
              <w:ind w:right="902"/>
              <w:spacing w:after="0"/>
              <w:rPr>
                <w:sz w:val="20"/>
                <w:szCs w:val="20"/>
                <w:color w:val="auto"/>
              </w:rPr>
            </w:pPr>
            <w:r>
              <w:rPr>
                <w:rFonts w:ascii="Arial" w:cs="Arial" w:eastAsia="Arial" w:hAnsi="Arial"/>
                <w:sz w:val="17"/>
                <w:szCs w:val="17"/>
                <w:color w:val="auto"/>
                <w:w w:val="89"/>
              </w:rPr>
              <w:t>42,391,299</w:t>
            </w:r>
          </w:p>
        </w:tc>
        <w:tc>
          <w:tcPr>
            <w:tcW w:w="100" w:type="dxa"/>
            <w:vAlign w:val="bottom"/>
            <w:shd w:val="clear" w:color="auto" w:fill="EEEEEE"/>
          </w:tcPr>
          <w:p>
            <w:pPr>
              <w:spacing w:after="0"/>
              <w:rPr>
                <w:sz w:val="19"/>
                <w:szCs w:val="19"/>
                <w:color w:val="auto"/>
              </w:rPr>
            </w:pPr>
          </w:p>
        </w:tc>
        <w:tc>
          <w:tcPr>
            <w:tcW w:w="108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w w:val="89"/>
              </w:rPr>
              <w:t>46,466,986</w:t>
            </w:r>
          </w:p>
        </w:tc>
        <w:tc>
          <w:tcPr>
            <w:tcW w:w="0" w:type="dxa"/>
            <w:vAlign w:val="bottom"/>
          </w:tcPr>
          <w:p>
            <w:pPr>
              <w:spacing w:after="0"/>
              <w:rPr>
                <w:sz w:val="1"/>
                <w:szCs w:val="1"/>
                <w:color w:val="auto"/>
              </w:rPr>
            </w:pPr>
          </w:p>
        </w:tc>
      </w:tr>
      <w:tr>
        <w:trPr>
          <w:trHeight w:val="106"/>
        </w:trPr>
        <w:tc>
          <w:tcPr>
            <w:tcW w:w="2820" w:type="dxa"/>
            <w:vAlign w:val="bottom"/>
            <w:gridSpan w:val="2"/>
            <w:vMerge w:val="restart"/>
          </w:tcPr>
          <w:p>
            <w:pPr>
              <w:spacing w:after="0"/>
              <w:rPr>
                <w:sz w:val="20"/>
                <w:szCs w:val="20"/>
                <w:color w:val="auto"/>
              </w:rPr>
            </w:pPr>
            <w:r>
              <w:rPr>
                <w:rFonts w:ascii="Arial" w:cs="Arial" w:eastAsia="Arial" w:hAnsi="Arial"/>
                <w:sz w:val="17"/>
                <w:szCs w:val="17"/>
                <w:color w:val="auto"/>
              </w:rPr>
              <w:t>Earnings (loss) per share:</w:t>
            </w:r>
          </w:p>
        </w:tc>
        <w:tc>
          <w:tcPr>
            <w:tcW w:w="4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8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00" w:type="dxa"/>
            <w:vAlign w:val="bottom"/>
            <w:shd w:val="clear" w:color="auto" w:fill="EEEEEE"/>
          </w:tcPr>
          <w:p>
            <w:pPr>
              <w:ind w:left="220"/>
              <w:spacing w:after="0"/>
              <w:rPr>
                <w:sz w:val="20"/>
                <w:szCs w:val="20"/>
                <w:color w:val="auto"/>
              </w:rPr>
            </w:pPr>
            <w:r>
              <w:rPr>
                <w:rFonts w:ascii="Arial" w:cs="Arial" w:eastAsia="Arial" w:hAnsi="Arial"/>
                <w:sz w:val="17"/>
                <w:szCs w:val="17"/>
                <w:color w:val="auto"/>
              </w:rPr>
              <w:t>Basic</w:t>
            </w:r>
          </w:p>
        </w:tc>
        <w:tc>
          <w:tcPr>
            <w:tcW w:w="4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EEEEE"/>
          </w:tcPr>
          <w:p>
            <w:pPr>
              <w:jc w:val="right"/>
              <w:ind w:right="197"/>
              <w:spacing w:after="0"/>
              <w:rPr>
                <w:sz w:val="20"/>
                <w:szCs w:val="20"/>
                <w:color w:val="auto"/>
              </w:rPr>
            </w:pPr>
            <w:r>
              <w:rPr>
                <w:rFonts w:ascii="Arial" w:cs="Arial" w:eastAsia="Arial" w:hAnsi="Arial"/>
                <w:sz w:val="17"/>
                <w:szCs w:val="17"/>
                <w:color w:val="auto"/>
              </w:rPr>
              <w:t>0.21</w:t>
            </w:r>
          </w:p>
        </w:tc>
        <w:tc>
          <w:tcPr>
            <w:tcW w:w="6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EEEEEE"/>
          </w:tcPr>
          <w:p>
            <w:pPr>
              <w:jc w:val="right"/>
              <w:ind w:right="477"/>
              <w:spacing w:after="0"/>
              <w:rPr>
                <w:sz w:val="20"/>
                <w:szCs w:val="20"/>
                <w:color w:val="auto"/>
              </w:rPr>
            </w:pPr>
            <w:r>
              <w:rPr>
                <w:rFonts w:ascii="Arial" w:cs="Arial" w:eastAsia="Arial" w:hAnsi="Arial"/>
                <w:sz w:val="17"/>
                <w:szCs w:val="17"/>
                <w:color w:val="auto"/>
              </w:rPr>
              <w:t>0.37</w:t>
            </w:r>
          </w:p>
        </w:tc>
        <w:tc>
          <w:tcPr>
            <w:tcW w:w="3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EEEEEE"/>
          </w:tcPr>
          <w:p>
            <w:pPr>
              <w:jc w:val="right"/>
              <w:ind w:right="157"/>
              <w:spacing w:after="0"/>
              <w:rPr>
                <w:sz w:val="20"/>
                <w:szCs w:val="20"/>
                <w:color w:val="auto"/>
              </w:rPr>
            </w:pPr>
            <w:r>
              <w:rPr>
                <w:rFonts w:ascii="Arial" w:cs="Arial" w:eastAsia="Arial" w:hAnsi="Arial"/>
                <w:sz w:val="17"/>
                <w:szCs w:val="17"/>
                <w:color w:val="auto"/>
              </w:rPr>
              <w:t>(0.01)</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EEEEEE"/>
          </w:tcPr>
          <w:p>
            <w:pPr>
              <w:jc w:val="right"/>
              <w:ind w:right="842"/>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EEEEEE"/>
          </w:tcPr>
          <w:p>
            <w:pPr>
              <w:jc w:val="right"/>
              <w:ind w:right="217"/>
              <w:spacing w:after="0"/>
              <w:rPr>
                <w:sz w:val="20"/>
                <w:szCs w:val="20"/>
                <w:color w:val="auto"/>
              </w:rPr>
            </w:pPr>
            <w:r>
              <w:rPr>
                <w:rFonts w:ascii="Arial" w:cs="Arial" w:eastAsia="Arial" w:hAnsi="Arial"/>
                <w:sz w:val="17"/>
                <w:szCs w:val="17"/>
                <w:color w:val="auto"/>
              </w:rPr>
              <w:t>0.40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0" w:type="dxa"/>
            <w:vAlign w:val="bottom"/>
          </w:tcPr>
          <w:p>
            <w:pPr>
              <w:ind w:left="220"/>
              <w:spacing w:after="0"/>
              <w:rPr>
                <w:sz w:val="20"/>
                <w:szCs w:val="20"/>
                <w:color w:val="auto"/>
              </w:rPr>
            </w:pPr>
            <w:r>
              <w:rPr>
                <w:rFonts w:ascii="Arial" w:cs="Arial" w:eastAsia="Arial" w:hAnsi="Arial"/>
                <w:sz w:val="17"/>
                <w:szCs w:val="17"/>
                <w:color w:val="auto"/>
              </w:rPr>
              <w:t>Diluted</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7"/>
              <w:spacing w:after="0"/>
              <w:rPr>
                <w:sz w:val="20"/>
                <w:szCs w:val="20"/>
                <w:color w:val="auto"/>
              </w:rPr>
            </w:pPr>
            <w:r>
              <w:rPr>
                <w:rFonts w:ascii="Arial" w:cs="Arial" w:eastAsia="Arial" w:hAnsi="Arial"/>
                <w:sz w:val="17"/>
                <w:szCs w:val="17"/>
                <w:color w:val="auto"/>
              </w:rPr>
              <w:t>0.21</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477"/>
              <w:spacing w:after="0"/>
              <w:rPr>
                <w:sz w:val="20"/>
                <w:szCs w:val="20"/>
                <w:color w:val="auto"/>
              </w:rPr>
            </w:pPr>
            <w:r>
              <w:rPr>
                <w:rFonts w:ascii="Arial" w:cs="Arial" w:eastAsia="Arial" w:hAnsi="Arial"/>
                <w:sz w:val="17"/>
                <w:szCs w:val="17"/>
                <w:color w:val="auto"/>
              </w:rPr>
              <w:t>0.37</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7"/>
              <w:spacing w:after="0"/>
              <w:rPr>
                <w:sz w:val="20"/>
                <w:szCs w:val="20"/>
                <w:color w:val="auto"/>
              </w:rPr>
            </w:pPr>
            <w:r>
              <w:rPr>
                <w:rFonts w:ascii="Arial" w:cs="Arial" w:eastAsia="Arial" w:hAnsi="Arial"/>
                <w:sz w:val="17"/>
                <w:szCs w:val="17"/>
                <w:color w:val="auto"/>
              </w:rPr>
              <w:t>(0.01)</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60" w:type="dxa"/>
            <w:vAlign w:val="bottom"/>
          </w:tcPr>
          <w:p>
            <w:pPr>
              <w:jc w:val="right"/>
              <w:ind w:right="842"/>
              <w:spacing w:after="0"/>
              <w:rPr>
                <w:sz w:val="20"/>
                <w:szCs w:val="20"/>
                <w:color w:val="auto"/>
              </w:rPr>
            </w:pPr>
            <w:r>
              <w:rPr>
                <w:rFonts w:ascii="Arial" w:cs="Arial" w:eastAsia="Arial" w:hAnsi="Arial"/>
                <w:sz w:val="17"/>
                <w:szCs w:val="17"/>
                <w:color w:val="auto"/>
              </w:rPr>
              <w:t>(0.01)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ind w:right="217"/>
              <w:spacing w:after="0"/>
              <w:rPr>
                <w:sz w:val="20"/>
                <w:szCs w:val="20"/>
                <w:color w:val="auto"/>
              </w:rPr>
            </w:pPr>
            <w:r>
              <w:rPr>
                <w:rFonts w:ascii="Arial" w:cs="Arial" w:eastAsia="Arial" w:hAnsi="Arial"/>
                <w:sz w:val="17"/>
                <w:szCs w:val="17"/>
                <w:color w:val="auto"/>
              </w:rPr>
              <w:t>0.36</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8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3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In January 2002, the Emerging Issues Task Force of the FASB (“EITF”) reached a consensus on EITF Issue 01-14, “Income Statement Characterization of Reimbursements Received for Out-of-Pocket Expenses Incurred”, which requires that reimbursements received for out-of-pocket expenses incurred be characterized as revenue in the income statement. The Company adopted EITF 01-14 effective January 1, 2002 and has made the appropriate reclassifications as required by EITF 01-14. Income resulting from reimbursable expenses is included in other revenue and was $1,252,000, $1,410,000 and $1,840,000 for the years ended December 31, 2001, 2002 and 2003, and $1,352,000 and $1,691,000 for the nine month periods ended September 30, 2003 and 2004, respectively. The associated expenses are included in cost of other revenue on the face of the statement of operations.</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July 2002, the FASB issued SFAS No. 146, “Accounting for Costs Associated with Exit or Disposal Activities”, which is effective for exit or disposal activities that are initiated after December 31, 2002. The Company adopted SFAS No. 146 during fiscal year 2003. SFAS No. 146 nullifies EITF Issue No. 94-3, “Liability Recognition for Certain Employee Termination Benefits and Other Costs to Exit an Activity (including Certain Costs Incurred in a Restructuring)”, and requires that a liability for costs associated with an exit or disposal activity be recognized as incurred. The impact of SFAS No. 146 will be dependent upon decisions made by the Company in the future and has had no impact on the Company to date.</w:t>
      </w:r>
    </w:p>
    <w:p>
      <w:pPr>
        <w:spacing w:after="0" w:line="187"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In January 2003, the Company adopted FIN No. 45, “Guarantor’s Accounting and Disclosure Requirements for Guarantees, Including Indirect Guarantees of Indebtedness of Others, an Interpretation of FASB Statements No. 5, 57, and 107 and Rescission of FASB Interpretation No. 34”. The interpretation requires that upon issuance of a guarantee, the entity must recognize a liability for the fair value of the obligation it assumes under that guarantee. The initial recognition and measurement provisions of FIN No. 45 are effective for guarantees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12" w:name="page113"/>
    <w:bookmarkEnd w:id="112"/>
    <w:p>
      <w:pPr>
        <w:ind w:right="360"/>
        <w:spacing w:after="0" w:line="286" w:lineRule="auto"/>
        <w:rPr>
          <w:sz w:val="20"/>
          <w:szCs w:val="20"/>
          <w:color w:val="auto"/>
        </w:rPr>
      </w:pPr>
      <w:r>
        <w:rPr>
          <w:rFonts w:ascii="Arial" w:cs="Arial" w:eastAsia="Arial" w:hAnsi="Arial"/>
          <w:sz w:val="17"/>
          <w:szCs w:val="17"/>
          <w:color w:val="auto"/>
        </w:rPr>
        <w:t>issued or modified after December 31, 2002. The adoption of this interpretation has not had a material impact on the Company’s consolidated financial position, consolidated results of operations, or liquidity.</w:t>
      </w:r>
    </w:p>
    <w:p>
      <w:pPr>
        <w:spacing w:after="0" w:line="169"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January 2003, the FASB issued FIN No. 46, “Consolidation of Variable Interest Entities”. This statement was subsequently amended under the provisions of FIN 46-R, which is effective for public entities no later than the end of the first reporting period ending after March 15, 2004. This interpretation clarifies the application of Accounting Research Bulletin No. 51, “Consolidated Financial Statements”, to certain entities in which equity investors do not have the characteristics of a controlling financial interest or do not have sufficient equity at risk for the entity to finance its activities without additional subordinated financial support from other parties. FIN No. 46 applies immediately to variable interest entities created after January 31, 2003, and to variable interest entities in which an enterprise obtains an interest after that date. The adoption of this interpretation has not had a material impact on the Company’s consolidated financial position, consolidated results of operations, or liquidity.</w:t>
      </w:r>
    </w:p>
    <w:p>
      <w:pPr>
        <w:spacing w:after="0" w:line="1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May 2003, the FASB issued SFAS No. 150, “Accounting for Certain Financial Instruments with Characteristics of Liabilities and Equity”. This statement establishes standards for how an issuer classifies and measures certain financial instruments with characteristics of both liabilities and equity. It requires that an issuer classify a financial instrument that is within its scope as a liability. Many of those instruments were previously classified as equity. Most of the guidance in SFAS No. 150 is effective for all financial instruments entered into or modified after May 31, 2003. The adoption of SFAS No. 150 has not had a material impact on the Company’s financial position.</w:t>
      </w:r>
    </w:p>
    <w:p>
      <w:pPr>
        <w:spacing w:after="0" w:line="168" w:lineRule="exact"/>
        <w:rPr>
          <w:sz w:val="20"/>
          <w:szCs w:val="20"/>
          <w:color w:val="auto"/>
        </w:rPr>
      </w:pPr>
    </w:p>
    <w:p>
      <w:pPr>
        <w:ind w:left="480" w:hanging="474"/>
        <w:spacing w:after="0"/>
        <w:tabs>
          <w:tab w:leader="none" w:pos="480" w:val="left"/>
        </w:tabs>
        <w:numPr>
          <w:ilvl w:val="0"/>
          <w:numId w:val="38"/>
        </w:numPr>
        <w:rPr>
          <w:rFonts w:ascii="Arial" w:cs="Arial" w:eastAsia="Arial" w:hAnsi="Arial"/>
          <w:sz w:val="21"/>
          <w:szCs w:val="21"/>
          <w:b w:val="1"/>
          <w:bCs w:val="1"/>
          <w:color w:val="auto"/>
        </w:rPr>
      </w:pPr>
      <w:r>
        <w:rPr>
          <w:rFonts w:ascii="Arial" w:cs="Arial" w:eastAsia="Arial" w:hAnsi="Arial"/>
          <w:sz w:val="21"/>
          <w:szCs w:val="21"/>
          <w:b w:val="1"/>
          <w:bCs w:val="1"/>
          <w:color w:val="auto"/>
        </w:rPr>
        <w:t>Acquisitions</w:t>
      </w:r>
    </w:p>
    <w:p>
      <w:pPr>
        <w:spacing w:after="0" w:line="227" w:lineRule="exact"/>
        <w:rPr>
          <w:sz w:val="20"/>
          <w:szCs w:val="20"/>
          <w:color w:val="auto"/>
        </w:rPr>
      </w:pPr>
    </w:p>
    <w:p>
      <w:pPr>
        <w:ind w:right="100"/>
        <w:spacing w:after="0" w:line="302" w:lineRule="auto"/>
        <w:rPr>
          <w:sz w:val="20"/>
          <w:szCs w:val="20"/>
          <w:color w:val="auto"/>
        </w:rPr>
      </w:pPr>
      <w:r>
        <w:rPr>
          <w:rFonts w:ascii="Arial" w:cs="Arial" w:eastAsia="Arial" w:hAnsi="Arial"/>
          <w:sz w:val="15"/>
          <w:szCs w:val="15"/>
          <w:color w:val="auto"/>
        </w:rPr>
        <w:t>In July 2002, to gain market share in the United Kingdom, the Company acquired substantially all of the assets of AppealMaster, Ltd., a software company in the United Kingdom, for $500,000 and additional contingent payments based on future performance, which have been recorded as additional purchase price. This purchase price has been allocated to the assets acquired and the liabilities assumed based upon their estimated fair values at the date of acquisition. The excess consideration above the fair value of net assets acquired of $852,000 was recorded as goodwill, which is deductible for tax purposes, in July 2002. As a result of payments of contingent consideration of $431,000 and an increase of $103,000 resulting from foreign currency translation, the balance of goodwill at December 31, 2003 is $1,386,000. In addition, in 2003 the Company paid $62,000 to the previous controlling AppealMaster shareholder for consulting services, as defined in the acquisition agreement and recorded this amount as an expense. The Company may be required to pay up to an additional $360,000 contingent upon cash receipts from customers as defined in the agreement. To the extent that the Company is required to pay all or a portion of this amount, it will be treated as additional consideration and recorded as goodwill. No identifiable intangible assets were recorded as part of the AppealMaster purchase accounting.</w:t>
      </w:r>
    </w:p>
    <w:p>
      <w:pPr>
        <w:spacing w:after="0" w:line="163"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During the three-year period ended December 31, 2003, the Company made other acquisitions that were not significant. These acquisitions were accounted for under the purchase method of accounting and the results of operations of the acquirees have been included in the consolidated statement of operations since the acquisition dates. There were no acquisitions during the nine month period ended September 30, 2004.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13" w:name="page114"/>
    <w:bookmarkEnd w:id="113"/>
    <w:p>
      <w:pPr>
        <w:ind w:left="480" w:hanging="474"/>
        <w:spacing w:after="0"/>
        <w:tabs>
          <w:tab w:leader="none" w:pos="48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color w:val="auto"/>
        </w:rPr>
        <w:t>Property and equipment</w:t>
      </w:r>
    </w:p>
    <w:p>
      <w:pPr>
        <w:spacing w:after="0" w:line="22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Property and equipment includes assets under capital lease for $1,830,000, $1,830,000 and $1,830,000 on a gross basis and $1,020,000, $750,000 and $554,000 on a net basis as of December 31, 2002 and 2003 and September 30, 2004, respectively. Property and equipment as of December 31, 2002 and 2003 and September 30, 2004, respectively,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321310</wp:posOffset>
            </wp:positionV>
            <wp:extent cx="65182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200" w:type="dxa"/>
            <w:vAlign w:val="bottom"/>
          </w:tcPr>
          <w:p>
            <w:pPr>
              <w:ind w:left="1040"/>
              <w:spacing w:after="0"/>
              <w:rPr>
                <w:sz w:val="20"/>
                <w:szCs w:val="20"/>
                <w:color w:val="auto"/>
              </w:rPr>
            </w:pPr>
            <w:r>
              <w:rPr>
                <w:rFonts w:ascii="Arial" w:cs="Arial" w:eastAsia="Arial" w:hAnsi="Arial"/>
                <w:sz w:val="13"/>
                <w:szCs w:val="13"/>
                <w:b w:val="1"/>
                <w:bCs w:val="1"/>
                <w:color w:val="auto"/>
              </w:rPr>
              <w:t>Estimated</w:t>
            </w:r>
          </w:p>
        </w:tc>
        <w:tc>
          <w:tcPr>
            <w:tcW w:w="3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September 30,</w:t>
            </w:r>
          </w:p>
        </w:tc>
        <w:tc>
          <w:tcPr>
            <w:tcW w:w="0" w:type="dxa"/>
            <w:vAlign w:val="bottom"/>
          </w:tcPr>
          <w:p>
            <w:pPr>
              <w:spacing w:after="0"/>
              <w:rPr>
                <w:sz w:val="1"/>
                <w:szCs w:val="1"/>
                <w:color w:val="auto"/>
              </w:rPr>
            </w:pPr>
          </w:p>
        </w:tc>
      </w:tr>
      <w:tr>
        <w:trPr>
          <w:trHeight w:val="94"/>
        </w:trPr>
        <w:tc>
          <w:tcPr>
            <w:tcW w:w="3360" w:type="dxa"/>
            <w:vAlign w:val="bottom"/>
          </w:tcPr>
          <w:p>
            <w:pPr>
              <w:spacing w:after="0"/>
              <w:rPr>
                <w:sz w:val="8"/>
                <w:szCs w:val="8"/>
                <w:color w:val="auto"/>
              </w:rPr>
            </w:pPr>
          </w:p>
        </w:tc>
        <w:tc>
          <w:tcPr>
            <w:tcW w:w="2200" w:type="dxa"/>
            <w:vAlign w:val="bottom"/>
            <w:vMerge w:val="restart"/>
          </w:tcPr>
          <w:p>
            <w:pPr>
              <w:ind w:left="1060"/>
              <w:spacing w:after="0"/>
              <w:rPr>
                <w:sz w:val="20"/>
                <w:szCs w:val="20"/>
                <w:color w:val="auto"/>
              </w:rPr>
            </w:pPr>
            <w:r>
              <w:rPr>
                <w:rFonts w:ascii="Arial" w:cs="Arial" w:eastAsia="Arial" w:hAnsi="Arial"/>
                <w:sz w:val="13"/>
                <w:szCs w:val="13"/>
                <w:b w:val="1"/>
                <w:bCs w:val="1"/>
                <w:color w:val="auto"/>
              </w:rPr>
              <w:t>useful life</w:t>
            </w:r>
          </w:p>
        </w:tc>
        <w:tc>
          <w:tcPr>
            <w:tcW w:w="3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360" w:type="dxa"/>
            <w:vAlign w:val="bottom"/>
          </w:tcPr>
          <w:p>
            <w:pPr>
              <w:spacing w:after="0"/>
              <w:rPr>
                <w:sz w:val="6"/>
                <w:szCs w:val="6"/>
                <w:color w:val="auto"/>
              </w:rPr>
            </w:pPr>
          </w:p>
        </w:tc>
        <w:tc>
          <w:tcPr>
            <w:tcW w:w="22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360" w:type="dxa"/>
            <w:vAlign w:val="bottom"/>
          </w:tcPr>
          <w:p>
            <w:pPr>
              <w:ind w:left="1520"/>
              <w:spacing w:after="0"/>
              <w:rPr>
                <w:sz w:val="20"/>
                <w:szCs w:val="20"/>
                <w:color w:val="auto"/>
              </w:rPr>
            </w:pPr>
            <w:r>
              <w:rPr>
                <w:rFonts w:ascii="Arial" w:cs="Arial" w:eastAsia="Arial" w:hAnsi="Arial"/>
                <w:sz w:val="13"/>
                <w:szCs w:val="13"/>
                <w:b w:val="1"/>
                <w:bCs w:val="1"/>
                <w:color w:val="auto"/>
              </w:rPr>
              <w:t>(in thousands)</w:t>
            </w:r>
          </w:p>
        </w:tc>
        <w:tc>
          <w:tcPr>
            <w:tcW w:w="2200" w:type="dxa"/>
            <w:vAlign w:val="bottom"/>
          </w:tcPr>
          <w:p>
            <w:pPr>
              <w:jc w:val="right"/>
              <w:ind w:right="601"/>
              <w:spacing w:after="0"/>
              <w:rPr>
                <w:sz w:val="20"/>
                <w:szCs w:val="20"/>
                <w:color w:val="auto"/>
              </w:rPr>
            </w:pPr>
            <w:r>
              <w:rPr>
                <w:rFonts w:ascii="Arial" w:cs="Arial" w:eastAsia="Arial" w:hAnsi="Arial"/>
                <w:sz w:val="13"/>
                <w:szCs w:val="13"/>
                <w:b w:val="1"/>
                <w:bCs w:val="1"/>
                <w:color w:val="auto"/>
              </w:rPr>
              <w:t>(years)</w:t>
            </w:r>
          </w:p>
        </w:tc>
        <w:tc>
          <w:tcPr>
            <w:tcW w:w="340" w:type="dxa"/>
            <w:vAlign w:val="bottom"/>
          </w:tcPr>
          <w:p>
            <w:pPr>
              <w:spacing w:after="0"/>
              <w:rPr>
                <w:sz w:val="16"/>
                <w:szCs w:val="16"/>
                <w:color w:val="auto"/>
              </w:rPr>
            </w:pPr>
          </w:p>
        </w:tc>
        <w:tc>
          <w:tcPr>
            <w:tcW w:w="1340" w:type="dxa"/>
            <w:vAlign w:val="bottom"/>
          </w:tcPr>
          <w:p>
            <w:pPr>
              <w:jc w:val="right"/>
              <w:ind w:right="898"/>
              <w:spacing w:after="0"/>
              <w:rPr>
                <w:sz w:val="20"/>
                <w:szCs w:val="20"/>
                <w:color w:val="auto"/>
              </w:rPr>
            </w:pPr>
            <w:r>
              <w:rPr>
                <w:rFonts w:ascii="Arial" w:cs="Arial" w:eastAsia="Arial" w:hAnsi="Arial"/>
                <w:sz w:val="13"/>
                <w:szCs w:val="13"/>
                <w:b w:val="1"/>
                <w:bCs w:val="1"/>
                <w:color w:val="auto"/>
              </w:rPr>
              <w:t>2002</w:t>
            </w:r>
          </w:p>
        </w:tc>
        <w:tc>
          <w:tcPr>
            <w:tcW w:w="100" w:type="dxa"/>
            <w:vAlign w:val="bottom"/>
          </w:tcPr>
          <w:p>
            <w:pPr>
              <w:spacing w:after="0"/>
              <w:rPr>
                <w:sz w:val="16"/>
                <w:szCs w:val="16"/>
                <w:color w:val="auto"/>
              </w:rPr>
            </w:pPr>
          </w:p>
        </w:tc>
        <w:tc>
          <w:tcPr>
            <w:tcW w:w="800" w:type="dxa"/>
            <w:vAlign w:val="bottom"/>
          </w:tcPr>
          <w:p>
            <w:pPr>
              <w:jc w:val="right"/>
              <w:ind w:right="376"/>
              <w:spacing w:after="0"/>
              <w:rPr>
                <w:sz w:val="20"/>
                <w:szCs w:val="20"/>
                <w:color w:val="auto"/>
              </w:rPr>
            </w:pPr>
            <w:r>
              <w:rPr>
                <w:rFonts w:ascii="Arial" w:cs="Arial" w:eastAsia="Arial" w:hAnsi="Arial"/>
                <w:sz w:val="13"/>
                <w:szCs w:val="13"/>
                <w:b w:val="1"/>
                <w:bCs w:val="1"/>
                <w:color w:val="auto"/>
              </w:rPr>
              <w:t>2003</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tcPr>
          <w:p>
            <w:pPr>
              <w:jc w:val="center"/>
              <w:ind w:right="596"/>
              <w:spacing w:after="0"/>
              <w:rPr>
                <w:sz w:val="20"/>
                <w:szCs w:val="20"/>
                <w:color w:val="auto"/>
              </w:rPr>
            </w:pPr>
            <w:r>
              <w:rPr>
                <w:rFonts w:ascii="Arial" w:cs="Arial" w:eastAsia="Arial" w:hAnsi="Arial"/>
                <w:sz w:val="13"/>
                <w:szCs w:val="13"/>
                <w:b w:val="1"/>
                <w:bCs w:val="1"/>
                <w:color w:val="auto"/>
                <w:w w:val="89"/>
              </w:rPr>
              <w:t>2004</w:t>
            </w:r>
          </w:p>
        </w:tc>
        <w:tc>
          <w:tcPr>
            <w:tcW w:w="0" w:type="dxa"/>
            <w:vAlign w:val="bottom"/>
          </w:tcPr>
          <w:p>
            <w:pPr>
              <w:spacing w:after="0"/>
              <w:rPr>
                <w:sz w:val="1"/>
                <w:szCs w:val="1"/>
                <w:color w:val="auto"/>
              </w:rPr>
            </w:pPr>
          </w:p>
        </w:tc>
      </w:tr>
      <w:tr>
        <w:trPr>
          <w:trHeight w:val="94"/>
        </w:trPr>
        <w:tc>
          <w:tcPr>
            <w:tcW w:w="336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0" w:type="dxa"/>
            <w:vAlign w:val="bottom"/>
          </w:tcPr>
          <w:p>
            <w:pPr>
              <w:spacing w:after="0"/>
              <w:rPr>
                <w:sz w:val="1"/>
                <w:szCs w:val="1"/>
                <w:color w:val="auto"/>
              </w:rPr>
            </w:pPr>
          </w:p>
        </w:tc>
      </w:tr>
      <w:tr>
        <w:trPr>
          <w:trHeight w:val="212"/>
        </w:trPr>
        <w:tc>
          <w:tcPr>
            <w:tcW w:w="3360" w:type="dxa"/>
            <w:vAlign w:val="bottom"/>
            <w:shd w:val="clear" w:color="auto" w:fill="EEEEEE"/>
          </w:tcPr>
          <w:p>
            <w:pPr>
              <w:spacing w:after="0"/>
              <w:rPr>
                <w:sz w:val="20"/>
                <w:szCs w:val="20"/>
                <w:color w:val="auto"/>
              </w:rPr>
            </w:pPr>
            <w:r>
              <w:rPr>
                <w:rFonts w:ascii="Arial" w:cs="Arial" w:eastAsia="Arial" w:hAnsi="Arial"/>
                <w:sz w:val="17"/>
                <w:szCs w:val="17"/>
                <w:color w:val="auto"/>
              </w:rPr>
              <w:t>Equipment</w:t>
            </w:r>
          </w:p>
        </w:tc>
        <w:tc>
          <w:tcPr>
            <w:tcW w:w="2200" w:type="dxa"/>
            <w:vAlign w:val="bottom"/>
            <w:shd w:val="clear" w:color="auto" w:fill="EEEEEE"/>
          </w:tcPr>
          <w:p>
            <w:pPr>
              <w:jc w:val="right"/>
              <w:ind w:right="201"/>
              <w:spacing w:after="0"/>
              <w:rPr>
                <w:sz w:val="20"/>
                <w:szCs w:val="20"/>
                <w:color w:val="auto"/>
              </w:rPr>
            </w:pPr>
            <w:r>
              <w:rPr>
                <w:rFonts w:ascii="Arial" w:cs="Arial" w:eastAsia="Arial" w:hAnsi="Arial"/>
                <w:sz w:val="17"/>
                <w:szCs w:val="17"/>
                <w:color w:val="auto"/>
              </w:rPr>
              <w:t>3 - 5</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EEEEEE"/>
          </w:tcPr>
          <w:p>
            <w:pPr>
              <w:jc w:val="right"/>
              <w:ind w:right="718"/>
              <w:spacing w:after="0"/>
              <w:rPr>
                <w:sz w:val="20"/>
                <w:szCs w:val="20"/>
                <w:color w:val="auto"/>
              </w:rPr>
            </w:pPr>
            <w:r>
              <w:rPr>
                <w:rFonts w:ascii="Arial" w:cs="Arial" w:eastAsia="Arial" w:hAnsi="Arial"/>
                <w:sz w:val="17"/>
                <w:szCs w:val="17"/>
                <w:color w:val="auto"/>
              </w:rPr>
              <w:t>4,031</w:t>
            </w:r>
          </w:p>
        </w:tc>
        <w:tc>
          <w:tcPr>
            <w:tcW w:w="10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4,494</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596"/>
              <w:spacing w:after="0"/>
              <w:rPr>
                <w:sz w:val="20"/>
                <w:szCs w:val="20"/>
                <w:color w:val="auto"/>
              </w:rPr>
            </w:pPr>
            <w:r>
              <w:rPr>
                <w:rFonts w:ascii="Arial" w:cs="Arial" w:eastAsia="Arial" w:hAnsi="Arial"/>
                <w:sz w:val="17"/>
                <w:szCs w:val="17"/>
                <w:color w:val="auto"/>
              </w:rPr>
              <w:t>4,909</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7"/>
                <w:szCs w:val="17"/>
                <w:color w:val="auto"/>
              </w:rPr>
              <w:t>Computer hardware</w:t>
            </w:r>
          </w:p>
        </w:tc>
        <w:tc>
          <w:tcPr>
            <w:tcW w:w="2200" w:type="dxa"/>
            <w:vAlign w:val="bottom"/>
          </w:tcPr>
          <w:p>
            <w:pPr>
              <w:jc w:val="right"/>
              <w:ind w:right="201"/>
              <w:spacing w:after="0"/>
              <w:rPr>
                <w:sz w:val="20"/>
                <w:szCs w:val="20"/>
                <w:color w:val="auto"/>
              </w:rPr>
            </w:pPr>
            <w:r>
              <w:rPr>
                <w:rFonts w:ascii="Arial" w:cs="Arial" w:eastAsia="Arial" w:hAnsi="Arial"/>
                <w:sz w:val="17"/>
                <w:szCs w:val="17"/>
                <w:color w:val="auto"/>
              </w:rPr>
              <w:t>3 - 5</w:t>
            </w:r>
          </w:p>
        </w:tc>
        <w:tc>
          <w:tcPr>
            <w:tcW w:w="340" w:type="dxa"/>
            <w:vAlign w:val="bottom"/>
          </w:tcPr>
          <w:p>
            <w:pPr>
              <w:spacing w:after="0"/>
              <w:rPr>
                <w:sz w:val="18"/>
                <w:szCs w:val="18"/>
                <w:color w:val="auto"/>
              </w:rPr>
            </w:pPr>
          </w:p>
        </w:tc>
        <w:tc>
          <w:tcPr>
            <w:tcW w:w="1340" w:type="dxa"/>
            <w:vAlign w:val="bottom"/>
          </w:tcPr>
          <w:p>
            <w:pPr>
              <w:jc w:val="right"/>
              <w:ind w:right="718"/>
              <w:spacing w:after="0"/>
              <w:rPr>
                <w:sz w:val="20"/>
                <w:szCs w:val="20"/>
                <w:color w:val="auto"/>
              </w:rPr>
            </w:pPr>
            <w:r>
              <w:rPr>
                <w:rFonts w:ascii="Arial" w:cs="Arial" w:eastAsia="Arial" w:hAnsi="Arial"/>
                <w:sz w:val="17"/>
                <w:szCs w:val="17"/>
                <w:color w:val="auto"/>
                <w:w w:val="99"/>
              </w:rPr>
              <w:t>10,706</w:t>
            </w:r>
          </w:p>
        </w:tc>
        <w:tc>
          <w:tcPr>
            <w:tcW w:w="10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Arial" w:cs="Arial" w:eastAsia="Arial" w:hAnsi="Arial"/>
                <w:sz w:val="17"/>
                <w:szCs w:val="17"/>
                <w:color w:val="auto"/>
                <w:w w:val="99"/>
              </w:rPr>
              <w:t>10,316</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96"/>
              <w:spacing w:after="0"/>
              <w:rPr>
                <w:sz w:val="20"/>
                <w:szCs w:val="20"/>
                <w:color w:val="auto"/>
              </w:rPr>
            </w:pPr>
            <w:r>
              <w:rPr>
                <w:rFonts w:ascii="Arial" w:cs="Arial" w:eastAsia="Arial" w:hAnsi="Arial"/>
                <w:sz w:val="17"/>
                <w:szCs w:val="17"/>
                <w:color w:val="auto"/>
                <w:w w:val="99"/>
              </w:rPr>
              <w:t>11,382</w:t>
            </w:r>
          </w:p>
        </w:tc>
        <w:tc>
          <w:tcPr>
            <w:tcW w:w="0" w:type="dxa"/>
            <w:vAlign w:val="bottom"/>
          </w:tcPr>
          <w:p>
            <w:pPr>
              <w:spacing w:after="0"/>
              <w:rPr>
                <w:sz w:val="1"/>
                <w:szCs w:val="1"/>
                <w:color w:val="auto"/>
              </w:rPr>
            </w:pPr>
          </w:p>
        </w:tc>
      </w:tr>
      <w:tr>
        <w:trPr>
          <w:trHeight w:val="212"/>
        </w:trPr>
        <w:tc>
          <w:tcPr>
            <w:tcW w:w="3360" w:type="dxa"/>
            <w:vAlign w:val="bottom"/>
            <w:shd w:val="clear" w:color="auto" w:fill="EEEEEE"/>
          </w:tcPr>
          <w:p>
            <w:pPr>
              <w:spacing w:after="0"/>
              <w:rPr>
                <w:sz w:val="20"/>
                <w:szCs w:val="20"/>
                <w:color w:val="auto"/>
              </w:rPr>
            </w:pPr>
            <w:r>
              <w:rPr>
                <w:rFonts w:ascii="Arial" w:cs="Arial" w:eastAsia="Arial" w:hAnsi="Arial"/>
                <w:sz w:val="17"/>
                <w:szCs w:val="17"/>
                <w:color w:val="auto"/>
              </w:rPr>
              <w:t>Computer software</w:t>
            </w:r>
          </w:p>
        </w:tc>
        <w:tc>
          <w:tcPr>
            <w:tcW w:w="2200" w:type="dxa"/>
            <w:vAlign w:val="bottom"/>
            <w:shd w:val="clear" w:color="auto" w:fill="EEEEEE"/>
          </w:tcPr>
          <w:p>
            <w:pPr>
              <w:jc w:val="right"/>
              <w:ind w:right="201"/>
              <w:spacing w:after="0"/>
              <w:rPr>
                <w:sz w:val="20"/>
                <w:szCs w:val="20"/>
                <w:color w:val="auto"/>
              </w:rPr>
            </w:pPr>
            <w:r>
              <w:rPr>
                <w:rFonts w:ascii="Arial" w:cs="Arial" w:eastAsia="Arial" w:hAnsi="Arial"/>
                <w:sz w:val="17"/>
                <w:szCs w:val="17"/>
                <w:color w:val="auto"/>
              </w:rPr>
              <w:t>3 - 5</w:t>
            </w:r>
          </w:p>
        </w:tc>
        <w:tc>
          <w:tcPr>
            <w:tcW w:w="3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718"/>
              <w:spacing w:after="0"/>
              <w:rPr>
                <w:sz w:val="20"/>
                <w:szCs w:val="20"/>
                <w:color w:val="auto"/>
              </w:rPr>
            </w:pPr>
            <w:r>
              <w:rPr>
                <w:rFonts w:ascii="Arial" w:cs="Arial" w:eastAsia="Arial" w:hAnsi="Arial"/>
                <w:sz w:val="17"/>
                <w:szCs w:val="17"/>
                <w:color w:val="auto"/>
              </w:rPr>
              <w:t>2,699</w:t>
            </w:r>
          </w:p>
        </w:tc>
        <w:tc>
          <w:tcPr>
            <w:tcW w:w="1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3,428</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96"/>
              <w:spacing w:after="0"/>
              <w:rPr>
                <w:sz w:val="20"/>
                <w:szCs w:val="20"/>
                <w:color w:val="auto"/>
              </w:rPr>
            </w:pPr>
            <w:r>
              <w:rPr>
                <w:rFonts w:ascii="Arial" w:cs="Arial" w:eastAsia="Arial" w:hAnsi="Arial"/>
                <w:sz w:val="17"/>
                <w:szCs w:val="17"/>
                <w:color w:val="auto"/>
              </w:rPr>
              <w:t>4,254</w:t>
            </w:r>
          </w:p>
        </w:tc>
        <w:tc>
          <w:tcPr>
            <w:tcW w:w="0" w:type="dxa"/>
            <w:vAlign w:val="bottom"/>
          </w:tcPr>
          <w:p>
            <w:pPr>
              <w:spacing w:after="0"/>
              <w:rPr>
                <w:sz w:val="1"/>
                <w:szCs w:val="1"/>
                <w:color w:val="auto"/>
              </w:rPr>
            </w:pPr>
          </w:p>
        </w:tc>
      </w:tr>
      <w:tr>
        <w:trPr>
          <w:trHeight w:val="212"/>
        </w:trPr>
        <w:tc>
          <w:tcPr>
            <w:tcW w:w="336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2200" w:type="dxa"/>
            <w:vAlign w:val="bottom"/>
          </w:tcPr>
          <w:p>
            <w:pPr>
              <w:jc w:val="right"/>
              <w:ind w:right="201"/>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340" w:type="dxa"/>
            <w:vAlign w:val="bottom"/>
          </w:tcPr>
          <w:p>
            <w:pPr>
              <w:jc w:val="right"/>
              <w:ind w:right="718"/>
              <w:spacing w:after="0"/>
              <w:rPr>
                <w:sz w:val="20"/>
                <w:szCs w:val="20"/>
                <w:color w:val="auto"/>
              </w:rPr>
            </w:pPr>
            <w:r>
              <w:rPr>
                <w:rFonts w:ascii="Arial" w:cs="Arial" w:eastAsia="Arial" w:hAnsi="Arial"/>
                <w:sz w:val="17"/>
                <w:szCs w:val="17"/>
                <w:color w:val="auto"/>
              </w:rPr>
              <w:t>482</w:t>
            </w:r>
          </w:p>
        </w:tc>
        <w:tc>
          <w:tcPr>
            <w:tcW w:w="10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Arial" w:cs="Arial" w:eastAsia="Arial" w:hAnsi="Arial"/>
                <w:sz w:val="17"/>
                <w:szCs w:val="17"/>
                <w:color w:val="auto"/>
              </w:rPr>
              <w:t>1,025</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96"/>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12"/>
        </w:trPr>
        <w:tc>
          <w:tcPr>
            <w:tcW w:w="3360" w:type="dxa"/>
            <w:vAlign w:val="bottom"/>
            <w:shd w:val="clear" w:color="auto" w:fill="EEEEEE"/>
          </w:tcPr>
          <w:p>
            <w:pPr>
              <w:spacing w:after="0"/>
              <w:rPr>
                <w:sz w:val="20"/>
                <w:szCs w:val="20"/>
                <w:color w:val="auto"/>
              </w:rPr>
            </w:pPr>
            <w:r>
              <w:rPr>
                <w:rFonts w:ascii="Arial" w:cs="Arial" w:eastAsia="Arial" w:hAnsi="Arial"/>
                <w:sz w:val="17"/>
                <w:szCs w:val="17"/>
                <w:color w:val="auto"/>
              </w:rPr>
              <w:t>Furniture and fixtures</w:t>
            </w:r>
          </w:p>
        </w:tc>
        <w:tc>
          <w:tcPr>
            <w:tcW w:w="2200" w:type="dxa"/>
            <w:vAlign w:val="bottom"/>
            <w:shd w:val="clear" w:color="auto" w:fill="EEEEEE"/>
          </w:tcPr>
          <w:p>
            <w:pPr>
              <w:jc w:val="right"/>
              <w:ind w:right="201"/>
              <w:spacing w:after="0"/>
              <w:rPr>
                <w:sz w:val="20"/>
                <w:szCs w:val="20"/>
                <w:color w:val="auto"/>
              </w:rPr>
            </w:pPr>
            <w:r>
              <w:rPr>
                <w:rFonts w:ascii="Arial" w:cs="Arial" w:eastAsia="Arial" w:hAnsi="Arial"/>
                <w:sz w:val="17"/>
                <w:szCs w:val="17"/>
                <w:color w:val="auto"/>
              </w:rPr>
              <w:t>7</w:t>
            </w:r>
          </w:p>
        </w:tc>
        <w:tc>
          <w:tcPr>
            <w:tcW w:w="3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718"/>
              <w:spacing w:after="0"/>
              <w:rPr>
                <w:sz w:val="20"/>
                <w:szCs w:val="20"/>
                <w:color w:val="auto"/>
              </w:rPr>
            </w:pPr>
            <w:r>
              <w:rPr>
                <w:rFonts w:ascii="Arial" w:cs="Arial" w:eastAsia="Arial" w:hAnsi="Arial"/>
                <w:sz w:val="17"/>
                <w:szCs w:val="17"/>
                <w:color w:val="auto"/>
              </w:rPr>
              <w:t>3,105</w:t>
            </w:r>
          </w:p>
        </w:tc>
        <w:tc>
          <w:tcPr>
            <w:tcW w:w="1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3,309</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96"/>
              <w:spacing w:after="0"/>
              <w:rPr>
                <w:sz w:val="20"/>
                <w:szCs w:val="20"/>
                <w:color w:val="auto"/>
              </w:rPr>
            </w:pPr>
            <w:r>
              <w:rPr>
                <w:rFonts w:ascii="Arial" w:cs="Arial" w:eastAsia="Arial" w:hAnsi="Arial"/>
                <w:sz w:val="17"/>
                <w:szCs w:val="17"/>
                <w:color w:val="auto"/>
              </w:rPr>
              <w:t>3,423</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200" w:type="dxa"/>
            <w:vAlign w:val="bottom"/>
          </w:tcPr>
          <w:p>
            <w:pPr>
              <w:ind w:left="1040"/>
              <w:spacing w:after="0"/>
              <w:rPr>
                <w:sz w:val="20"/>
                <w:szCs w:val="20"/>
                <w:color w:val="auto"/>
              </w:rPr>
            </w:pPr>
            <w:r>
              <w:rPr>
                <w:rFonts w:ascii="Arial" w:cs="Arial" w:eastAsia="Arial" w:hAnsi="Arial"/>
                <w:sz w:val="17"/>
                <w:szCs w:val="17"/>
                <w:color w:val="auto"/>
              </w:rPr>
              <w:t>term of lease</w:t>
            </w:r>
          </w:p>
        </w:tc>
        <w:tc>
          <w:tcPr>
            <w:tcW w:w="340" w:type="dxa"/>
            <w:vAlign w:val="bottom"/>
          </w:tcPr>
          <w:p>
            <w:pPr>
              <w:spacing w:after="0"/>
              <w:rPr>
                <w:sz w:val="18"/>
                <w:szCs w:val="18"/>
                <w:color w:val="auto"/>
              </w:rPr>
            </w:pPr>
          </w:p>
        </w:tc>
        <w:tc>
          <w:tcPr>
            <w:tcW w:w="1340" w:type="dxa"/>
            <w:vAlign w:val="bottom"/>
          </w:tcPr>
          <w:p>
            <w:pPr>
              <w:jc w:val="right"/>
              <w:ind w:right="718"/>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8"/>
                <w:szCs w:val="18"/>
                <w:color w:val="auto"/>
              </w:rPr>
            </w:pPr>
          </w:p>
        </w:tc>
        <w:tc>
          <w:tcPr>
            <w:tcW w:w="800" w:type="dxa"/>
            <w:vAlign w:val="bottom"/>
          </w:tcPr>
          <w:p>
            <w:pPr>
              <w:jc w:val="right"/>
              <w:ind w:right="176"/>
              <w:spacing w:after="0"/>
              <w:rPr>
                <w:sz w:val="20"/>
                <w:szCs w:val="20"/>
                <w:color w:val="auto"/>
              </w:rPr>
            </w:pPr>
            <w:r>
              <w:rPr>
                <w:rFonts w:ascii="Arial" w:cs="Arial" w:eastAsia="Arial" w:hAnsi="Arial"/>
                <w:sz w:val="17"/>
                <w:szCs w:val="17"/>
                <w:color w:val="auto"/>
              </w:rPr>
              <w:t>172</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96"/>
              <w:spacing w:after="0"/>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00"/>
        </w:trPr>
        <w:tc>
          <w:tcPr>
            <w:tcW w:w="3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718"/>
              <w:spacing w:after="0"/>
              <w:rPr>
                <w:sz w:val="20"/>
                <w:szCs w:val="20"/>
                <w:color w:val="auto"/>
              </w:rPr>
            </w:pPr>
            <w:r>
              <w:rPr>
                <w:rFonts w:ascii="Arial" w:cs="Arial" w:eastAsia="Arial" w:hAnsi="Arial"/>
                <w:sz w:val="17"/>
                <w:szCs w:val="17"/>
                <w:color w:val="auto"/>
                <w:w w:val="99"/>
              </w:rPr>
              <w:t>21,133</w:t>
            </w:r>
          </w:p>
        </w:tc>
        <w:tc>
          <w:tcPr>
            <w:tcW w:w="100" w:type="dxa"/>
            <w:vAlign w:val="bottom"/>
            <w:shd w:val="clear" w:color="auto" w:fill="EEEEEE"/>
          </w:tcPr>
          <w:p>
            <w:pPr>
              <w:spacing w:after="0"/>
              <w:rPr>
                <w:sz w:val="18"/>
                <w:szCs w:val="18"/>
                <w:color w:val="auto"/>
              </w:rPr>
            </w:pPr>
          </w:p>
        </w:tc>
        <w:tc>
          <w:tcPr>
            <w:tcW w:w="8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w w:val="99"/>
              </w:rPr>
              <w:t>22,744</w:t>
            </w:r>
          </w:p>
        </w:tc>
        <w:tc>
          <w:tcPr>
            <w:tcW w:w="26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596"/>
              <w:spacing w:after="0"/>
              <w:rPr>
                <w:sz w:val="20"/>
                <w:szCs w:val="20"/>
                <w:color w:val="auto"/>
              </w:rPr>
            </w:pPr>
            <w:r>
              <w:rPr>
                <w:rFonts w:ascii="Arial" w:cs="Arial" w:eastAsia="Arial" w:hAnsi="Arial"/>
                <w:sz w:val="17"/>
                <w:szCs w:val="17"/>
                <w:color w:val="auto"/>
                <w:w w:val="99"/>
              </w:rPr>
              <w:t>24,343</w:t>
            </w:r>
          </w:p>
        </w:tc>
        <w:tc>
          <w:tcPr>
            <w:tcW w:w="0" w:type="dxa"/>
            <w:vAlign w:val="bottom"/>
          </w:tcPr>
          <w:p>
            <w:pPr>
              <w:spacing w:after="0"/>
              <w:rPr>
                <w:sz w:val="1"/>
                <w:szCs w:val="1"/>
                <w:color w:val="auto"/>
              </w:rPr>
            </w:pPr>
          </w:p>
        </w:tc>
      </w:tr>
      <w:tr>
        <w:trPr>
          <w:trHeight w:val="217"/>
        </w:trPr>
        <w:tc>
          <w:tcPr>
            <w:tcW w:w="3360" w:type="dxa"/>
            <w:vAlign w:val="bottom"/>
          </w:tcPr>
          <w:p>
            <w:pPr>
              <w:spacing w:after="0"/>
              <w:rPr>
                <w:sz w:val="20"/>
                <w:szCs w:val="20"/>
                <w:color w:val="auto"/>
              </w:rPr>
            </w:pPr>
            <w:r>
              <w:rPr>
                <w:rFonts w:ascii="Arial" w:cs="Arial" w:eastAsia="Arial" w:hAnsi="Arial"/>
                <w:sz w:val="17"/>
                <w:szCs w:val="17"/>
                <w:color w:val="auto"/>
              </w:rPr>
              <w:t>Less: accumulated depreciation</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658"/>
              <w:spacing w:after="0"/>
              <w:rPr>
                <w:sz w:val="20"/>
                <w:szCs w:val="20"/>
                <w:color w:val="auto"/>
              </w:rPr>
            </w:pPr>
            <w:r>
              <w:rPr>
                <w:rFonts w:ascii="Arial" w:cs="Arial" w:eastAsia="Arial" w:hAnsi="Arial"/>
                <w:sz w:val="17"/>
                <w:szCs w:val="17"/>
                <w:color w:val="auto"/>
                <w:w w:val="91"/>
              </w:rPr>
              <w:t>(14,432)</w:t>
            </w:r>
          </w:p>
        </w:tc>
        <w:tc>
          <w:tcPr>
            <w:tcW w:w="1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7"/>
                <w:szCs w:val="17"/>
                <w:color w:val="auto"/>
                <w:w w:val="88"/>
              </w:rPr>
              <w:t>(16,123)</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jc w:val="right"/>
              <w:ind w:right="536"/>
              <w:spacing w:after="0"/>
              <w:rPr>
                <w:sz w:val="20"/>
                <w:szCs w:val="20"/>
                <w:color w:val="auto"/>
              </w:rPr>
            </w:pPr>
            <w:r>
              <w:rPr>
                <w:rFonts w:ascii="Arial" w:cs="Arial" w:eastAsia="Arial" w:hAnsi="Arial"/>
                <w:sz w:val="17"/>
                <w:szCs w:val="17"/>
                <w:color w:val="auto"/>
                <w:w w:val="91"/>
              </w:rPr>
              <w:t>(17,989)</w:t>
            </w:r>
          </w:p>
        </w:tc>
        <w:tc>
          <w:tcPr>
            <w:tcW w:w="0" w:type="dxa"/>
            <w:vAlign w:val="bottom"/>
          </w:tcPr>
          <w:p>
            <w:pPr>
              <w:spacing w:after="0"/>
              <w:rPr>
                <w:sz w:val="1"/>
                <w:szCs w:val="1"/>
                <w:color w:val="auto"/>
              </w:rPr>
            </w:pPr>
          </w:p>
        </w:tc>
      </w:tr>
      <w:tr>
        <w:trPr>
          <w:trHeight w:val="100"/>
        </w:trPr>
        <w:tc>
          <w:tcPr>
            <w:tcW w:w="3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3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360" w:type="dxa"/>
            <w:vAlign w:val="bottom"/>
            <w:shd w:val="clear" w:color="auto" w:fill="EEEEEE"/>
          </w:tcPr>
          <w:p>
            <w:pPr>
              <w:spacing w:after="0"/>
              <w:rPr>
                <w:sz w:val="18"/>
                <w:szCs w:val="18"/>
                <w:color w:val="auto"/>
              </w:rPr>
            </w:pPr>
          </w:p>
        </w:tc>
        <w:tc>
          <w:tcPr>
            <w:tcW w:w="220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EEEEEE"/>
          </w:tcPr>
          <w:p>
            <w:pPr>
              <w:jc w:val="right"/>
              <w:ind w:right="718"/>
              <w:spacing w:after="0"/>
              <w:rPr>
                <w:sz w:val="20"/>
                <w:szCs w:val="20"/>
                <w:color w:val="auto"/>
              </w:rPr>
            </w:pPr>
            <w:r>
              <w:rPr>
                <w:rFonts w:ascii="Arial" w:cs="Arial" w:eastAsia="Arial" w:hAnsi="Arial"/>
                <w:sz w:val="17"/>
                <w:szCs w:val="17"/>
                <w:color w:val="auto"/>
              </w:rPr>
              <w:t>6,701</w:t>
            </w:r>
          </w:p>
        </w:tc>
        <w:tc>
          <w:tcPr>
            <w:tcW w:w="10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6,621</w:t>
            </w: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EEEEEE"/>
          </w:tcPr>
          <w:p>
            <w:pPr>
              <w:jc w:val="right"/>
              <w:ind w:right="596"/>
              <w:spacing w:after="0"/>
              <w:rPr>
                <w:sz w:val="20"/>
                <w:szCs w:val="20"/>
                <w:color w:val="auto"/>
              </w:rPr>
            </w:pPr>
            <w:r>
              <w:rPr>
                <w:rFonts w:ascii="Arial" w:cs="Arial" w:eastAsia="Arial" w:hAnsi="Arial"/>
                <w:sz w:val="17"/>
                <w:szCs w:val="17"/>
                <w:color w:val="auto"/>
              </w:rPr>
              <w:t>6,354</w:t>
            </w:r>
          </w:p>
        </w:tc>
        <w:tc>
          <w:tcPr>
            <w:tcW w:w="0" w:type="dxa"/>
            <w:vAlign w:val="bottom"/>
          </w:tcPr>
          <w:p>
            <w:pPr>
              <w:spacing w:after="0"/>
              <w:rPr>
                <w:sz w:val="1"/>
                <w:szCs w:val="1"/>
                <w:color w:val="auto"/>
              </w:rPr>
            </w:pPr>
          </w:p>
        </w:tc>
      </w:tr>
      <w:tr>
        <w:trPr>
          <w:trHeight w:val="106"/>
        </w:trPr>
        <w:tc>
          <w:tcPr>
            <w:tcW w:w="3360" w:type="dxa"/>
            <w:vAlign w:val="bottom"/>
            <w:tcBorders>
              <w:bottom w:val="single" w:sz="8" w:color="808080"/>
            </w:tcBorders>
          </w:tcPr>
          <w:p>
            <w:pPr>
              <w:spacing w:after="0"/>
              <w:rPr>
                <w:sz w:val="9"/>
                <w:szCs w:val="9"/>
                <w:color w:val="auto"/>
              </w:rPr>
            </w:pPr>
          </w:p>
        </w:tc>
        <w:tc>
          <w:tcPr>
            <w:tcW w:w="22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000"/>
        <w:spacing w:after="0" w:line="286" w:lineRule="auto"/>
        <w:rPr>
          <w:sz w:val="20"/>
          <w:szCs w:val="20"/>
          <w:color w:val="auto"/>
        </w:rPr>
      </w:pPr>
      <w:r>
        <w:rPr>
          <w:rFonts w:ascii="Arial" w:cs="Arial" w:eastAsia="Arial" w:hAnsi="Arial"/>
          <w:sz w:val="17"/>
          <w:szCs w:val="17"/>
          <w:color w:val="auto"/>
        </w:rPr>
        <w:t>Depreciation expense was $2,552,000, $2,447,000 and $2,781,000 for 2001, 2002 and 2003, and $2,179,000 and $1,889,000 for the nine months ended September 30, 2003 and 2004, respectively.</w:t>
      </w:r>
    </w:p>
    <w:p>
      <w:pPr>
        <w:spacing w:after="0" w:line="150" w:lineRule="exact"/>
        <w:rPr>
          <w:sz w:val="20"/>
          <w:szCs w:val="20"/>
          <w:color w:val="auto"/>
        </w:rPr>
      </w:pPr>
    </w:p>
    <w:p>
      <w:pPr>
        <w:ind w:left="480" w:hanging="474"/>
        <w:spacing w:after="0"/>
        <w:tabs>
          <w:tab w:leader="none" w:pos="48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Goodwill</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Goodwill consisted of the following as of December 31, 2002 and 2003 and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351790</wp:posOffset>
            </wp:positionV>
            <wp:extent cx="43427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73025</wp:posOffset>
            </wp:positionV>
            <wp:extent cx="43427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2001</w:t>
            </w:r>
          </w:p>
        </w:tc>
        <w:tc>
          <w:tcPr>
            <w:tcW w:w="1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w:t>
            </w:r>
          </w:p>
        </w:tc>
        <w:tc>
          <w:tcPr>
            <w:tcW w:w="2280" w:type="dxa"/>
            <w:vAlign w:val="bottom"/>
          </w:tcPr>
          <w:p>
            <w:pPr>
              <w:spacing w:after="0"/>
              <w:rPr>
                <w:sz w:val="18"/>
                <w:szCs w:val="18"/>
                <w:color w:val="auto"/>
              </w:rPr>
            </w:pPr>
          </w:p>
        </w:tc>
      </w:tr>
      <w:tr>
        <w:trPr>
          <w:trHeight w:val="217"/>
        </w:trPr>
        <w:tc>
          <w:tcPr>
            <w:tcW w:w="23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7"/>
                <w:szCs w:val="17"/>
                <w:color w:val="auto"/>
              </w:rPr>
              <w:t>Acquisition</w:t>
            </w:r>
          </w:p>
        </w:tc>
        <w:tc>
          <w:tcPr>
            <w:tcW w:w="13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852</w:t>
            </w:r>
          </w:p>
        </w:tc>
        <w:tc>
          <w:tcPr>
            <w:tcW w:w="2280" w:type="dxa"/>
            <w:vAlign w:val="bottom"/>
          </w:tcPr>
          <w:p>
            <w:pPr>
              <w:spacing w:after="0"/>
              <w:rPr>
                <w:sz w:val="18"/>
                <w:szCs w:val="18"/>
                <w:color w:val="auto"/>
              </w:rPr>
            </w:pPr>
          </w:p>
        </w:tc>
      </w:tr>
      <w:tr>
        <w:trPr>
          <w:trHeight w:val="100"/>
        </w:trPr>
        <w:tc>
          <w:tcPr>
            <w:tcW w:w="23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99"/>
        </w:trPr>
        <w:tc>
          <w:tcPr>
            <w:tcW w:w="23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212"/>
        </w:trPr>
        <w:tc>
          <w:tcPr>
            <w:tcW w:w="230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Balance at December 31, 2002</w:t>
            </w:r>
          </w:p>
        </w:tc>
        <w:tc>
          <w:tcPr>
            <w:tcW w:w="1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852</w:t>
            </w:r>
          </w:p>
        </w:tc>
        <w:tc>
          <w:tcPr>
            <w:tcW w:w="2280" w:type="dxa"/>
            <w:vAlign w:val="bottom"/>
          </w:tcPr>
          <w:p>
            <w:pPr>
              <w:spacing w:after="0"/>
              <w:rPr>
                <w:sz w:val="18"/>
                <w:szCs w:val="18"/>
                <w:color w:val="auto"/>
              </w:rPr>
            </w:pPr>
          </w:p>
        </w:tc>
      </w:tr>
      <w:tr>
        <w:trPr>
          <w:trHeight w:val="212"/>
        </w:trPr>
        <w:tc>
          <w:tcPr>
            <w:tcW w:w="23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7"/>
                <w:szCs w:val="17"/>
                <w:color w:val="auto"/>
              </w:rPr>
              <w:t>Payment of contingent consideration</w:t>
            </w:r>
          </w:p>
        </w:tc>
        <w:tc>
          <w:tcPr>
            <w:tcW w:w="13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431</w:t>
            </w:r>
          </w:p>
        </w:tc>
        <w:tc>
          <w:tcPr>
            <w:tcW w:w="2280" w:type="dxa"/>
            <w:vAlign w:val="bottom"/>
          </w:tcPr>
          <w:p>
            <w:pPr>
              <w:spacing w:after="0"/>
              <w:rPr>
                <w:sz w:val="18"/>
                <w:szCs w:val="18"/>
                <w:color w:val="auto"/>
              </w:rPr>
            </w:pPr>
          </w:p>
        </w:tc>
      </w:tr>
      <w:tr>
        <w:trPr>
          <w:trHeight w:val="212"/>
        </w:trPr>
        <w:tc>
          <w:tcPr>
            <w:tcW w:w="2300" w:type="dxa"/>
            <w:vAlign w:val="bottom"/>
          </w:tcPr>
          <w:p>
            <w:pPr>
              <w:spacing w:after="0"/>
              <w:rPr>
                <w:sz w:val="18"/>
                <w:szCs w:val="18"/>
                <w:color w:val="auto"/>
              </w:rPr>
            </w:pPr>
          </w:p>
        </w:tc>
        <w:tc>
          <w:tcPr>
            <w:tcW w:w="4860" w:type="dxa"/>
            <w:vAlign w:val="bottom"/>
            <w:shd w:val="clear" w:color="auto" w:fill="EEEEEE"/>
          </w:tcPr>
          <w:p>
            <w:pPr>
              <w:ind w:left="180"/>
              <w:spacing w:after="0"/>
              <w:rPr>
                <w:sz w:val="20"/>
                <w:szCs w:val="20"/>
                <w:color w:val="auto"/>
              </w:rPr>
            </w:pPr>
            <w:r>
              <w:rPr>
                <w:rFonts w:ascii="Arial" w:cs="Arial" w:eastAsia="Arial" w:hAnsi="Arial"/>
                <w:sz w:val="17"/>
                <w:szCs w:val="17"/>
                <w:color w:val="auto"/>
              </w:rPr>
              <w:t>Effect of foreign currency translation</w:t>
            </w:r>
          </w:p>
        </w:tc>
        <w:tc>
          <w:tcPr>
            <w:tcW w:w="1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103</w:t>
            </w:r>
          </w:p>
        </w:tc>
        <w:tc>
          <w:tcPr>
            <w:tcW w:w="2280" w:type="dxa"/>
            <w:vAlign w:val="bottom"/>
          </w:tcPr>
          <w:p>
            <w:pPr>
              <w:spacing w:after="0"/>
              <w:rPr>
                <w:sz w:val="18"/>
                <w:szCs w:val="18"/>
                <w:color w:val="auto"/>
              </w:rPr>
            </w:pPr>
          </w:p>
        </w:tc>
      </w:tr>
      <w:tr>
        <w:trPr>
          <w:trHeight w:val="106"/>
        </w:trPr>
        <w:tc>
          <w:tcPr>
            <w:tcW w:w="2300" w:type="dxa"/>
            <w:vAlign w:val="bottom"/>
          </w:tcPr>
          <w:p>
            <w:pPr>
              <w:spacing w:after="0"/>
              <w:rPr>
                <w:sz w:val="9"/>
                <w:szCs w:val="9"/>
                <w:color w:val="auto"/>
              </w:rPr>
            </w:pPr>
          </w:p>
        </w:tc>
        <w:tc>
          <w:tcPr>
            <w:tcW w:w="48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r>
      <w:tr>
        <w:trPr>
          <w:trHeight w:val="309"/>
        </w:trPr>
        <w:tc>
          <w:tcPr>
            <w:tcW w:w="23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7"/>
                <w:szCs w:val="17"/>
                <w:color w:val="auto"/>
              </w:rPr>
              <w:t>Balance at December 31, 2003</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1,386</w:t>
            </w:r>
          </w:p>
        </w:tc>
        <w:tc>
          <w:tcPr>
            <w:tcW w:w="2280" w:type="dxa"/>
            <w:vAlign w:val="bottom"/>
          </w:tcPr>
          <w:p>
            <w:pPr>
              <w:spacing w:after="0"/>
              <w:rPr>
                <w:sz w:val="24"/>
                <w:szCs w:val="24"/>
                <w:color w:val="auto"/>
              </w:rPr>
            </w:pPr>
          </w:p>
        </w:tc>
      </w:tr>
      <w:tr>
        <w:trPr>
          <w:trHeight w:val="213"/>
        </w:trPr>
        <w:tc>
          <w:tcPr>
            <w:tcW w:w="2300" w:type="dxa"/>
            <w:vAlign w:val="bottom"/>
          </w:tcPr>
          <w:p>
            <w:pPr>
              <w:spacing w:after="0"/>
              <w:rPr>
                <w:sz w:val="18"/>
                <w:szCs w:val="18"/>
                <w:color w:val="auto"/>
              </w:rPr>
            </w:pPr>
          </w:p>
        </w:tc>
        <w:tc>
          <w:tcPr>
            <w:tcW w:w="4860" w:type="dxa"/>
            <w:vAlign w:val="bottom"/>
            <w:shd w:val="clear" w:color="auto" w:fill="EEEEEE"/>
          </w:tcPr>
          <w:p>
            <w:pPr>
              <w:ind w:left="180"/>
              <w:spacing w:after="0"/>
              <w:rPr>
                <w:sz w:val="20"/>
                <w:szCs w:val="20"/>
                <w:color w:val="auto"/>
              </w:rPr>
            </w:pPr>
            <w:r>
              <w:rPr>
                <w:rFonts w:ascii="Arial" w:cs="Arial" w:eastAsia="Arial" w:hAnsi="Arial"/>
                <w:sz w:val="17"/>
                <w:szCs w:val="17"/>
                <w:color w:val="auto"/>
              </w:rPr>
              <w:t>Payment of contingent consideration (unaudited)</w:t>
            </w:r>
          </w:p>
        </w:tc>
        <w:tc>
          <w:tcPr>
            <w:tcW w:w="138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57</w:t>
            </w:r>
          </w:p>
        </w:tc>
        <w:tc>
          <w:tcPr>
            <w:tcW w:w="2280" w:type="dxa"/>
            <w:vAlign w:val="bottom"/>
          </w:tcPr>
          <w:p>
            <w:pPr>
              <w:spacing w:after="0"/>
              <w:rPr>
                <w:sz w:val="18"/>
                <w:szCs w:val="18"/>
                <w:color w:val="auto"/>
              </w:rPr>
            </w:pPr>
          </w:p>
        </w:tc>
      </w:tr>
      <w:tr>
        <w:trPr>
          <w:trHeight w:val="217"/>
        </w:trPr>
        <w:tc>
          <w:tcPr>
            <w:tcW w:w="2300" w:type="dxa"/>
            <w:vAlign w:val="bottom"/>
          </w:tcPr>
          <w:p>
            <w:pPr>
              <w:spacing w:after="0"/>
              <w:rPr>
                <w:sz w:val="18"/>
                <w:szCs w:val="18"/>
                <w:color w:val="auto"/>
              </w:rPr>
            </w:pPr>
          </w:p>
        </w:tc>
        <w:tc>
          <w:tcPr>
            <w:tcW w:w="4860" w:type="dxa"/>
            <w:vAlign w:val="bottom"/>
          </w:tcPr>
          <w:p>
            <w:pPr>
              <w:ind w:left="180"/>
              <w:spacing w:after="0"/>
              <w:rPr>
                <w:sz w:val="20"/>
                <w:szCs w:val="20"/>
                <w:color w:val="auto"/>
              </w:rPr>
            </w:pPr>
            <w:r>
              <w:rPr>
                <w:rFonts w:ascii="Arial" w:cs="Arial" w:eastAsia="Arial" w:hAnsi="Arial"/>
                <w:sz w:val="17"/>
                <w:szCs w:val="17"/>
                <w:color w:val="auto"/>
              </w:rPr>
              <w:t>Effect of foreign currency translation (unaudited)</w:t>
            </w:r>
          </w:p>
        </w:tc>
        <w:tc>
          <w:tcPr>
            <w:tcW w:w="13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28</w:t>
            </w:r>
          </w:p>
        </w:tc>
        <w:tc>
          <w:tcPr>
            <w:tcW w:w="2280" w:type="dxa"/>
            <w:vAlign w:val="bottom"/>
          </w:tcPr>
          <w:p>
            <w:pPr>
              <w:spacing w:after="0"/>
              <w:rPr>
                <w:sz w:val="18"/>
                <w:szCs w:val="18"/>
                <w:color w:val="auto"/>
              </w:rPr>
            </w:pPr>
          </w:p>
        </w:tc>
      </w:tr>
      <w:tr>
        <w:trPr>
          <w:trHeight w:val="100"/>
        </w:trPr>
        <w:tc>
          <w:tcPr>
            <w:tcW w:w="23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99"/>
        </w:trPr>
        <w:tc>
          <w:tcPr>
            <w:tcW w:w="2300" w:type="dxa"/>
            <w:vAlign w:val="bottom"/>
          </w:tcPr>
          <w:p>
            <w:pPr>
              <w:spacing w:after="0"/>
              <w:rPr>
                <w:sz w:val="8"/>
                <w:szCs w:val="8"/>
                <w:color w:val="auto"/>
              </w:rPr>
            </w:pPr>
          </w:p>
        </w:tc>
        <w:tc>
          <w:tcPr>
            <w:tcW w:w="48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80" w:type="dxa"/>
            <w:vAlign w:val="bottom"/>
          </w:tcPr>
          <w:p>
            <w:pPr>
              <w:spacing w:after="0"/>
              <w:rPr>
                <w:sz w:val="8"/>
                <w:szCs w:val="8"/>
                <w:color w:val="auto"/>
              </w:rPr>
            </w:pPr>
          </w:p>
        </w:tc>
      </w:tr>
      <w:tr>
        <w:trPr>
          <w:trHeight w:val="212"/>
        </w:trPr>
        <w:tc>
          <w:tcPr>
            <w:tcW w:w="2300" w:type="dxa"/>
            <w:vAlign w:val="bottom"/>
          </w:tcPr>
          <w:p>
            <w:pPr>
              <w:spacing w:after="0"/>
              <w:rPr>
                <w:sz w:val="18"/>
                <w:szCs w:val="18"/>
                <w:color w:val="auto"/>
              </w:rPr>
            </w:pPr>
          </w:p>
        </w:tc>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Balance at September 30, 2004 (unaudited)</w:t>
            </w:r>
          </w:p>
        </w:tc>
        <w:tc>
          <w:tcPr>
            <w:tcW w:w="1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w w:val="89"/>
              </w:rPr>
              <w:t>1,471</w:t>
            </w:r>
          </w:p>
        </w:tc>
        <w:tc>
          <w:tcPr>
            <w:tcW w:w="2280" w:type="dxa"/>
            <w:vAlign w:val="bottom"/>
          </w:tcPr>
          <w:p>
            <w:pPr>
              <w:spacing w:after="0"/>
              <w:rPr>
                <w:sz w:val="18"/>
                <w:szCs w:val="18"/>
                <w:color w:val="auto"/>
              </w:rPr>
            </w:pPr>
          </w:p>
        </w:tc>
      </w:tr>
      <w:tr>
        <w:trPr>
          <w:trHeight w:val="106"/>
        </w:trPr>
        <w:tc>
          <w:tcPr>
            <w:tcW w:w="2300" w:type="dxa"/>
            <w:vAlign w:val="bottom"/>
          </w:tcPr>
          <w:p>
            <w:pPr>
              <w:spacing w:after="0"/>
              <w:rPr>
                <w:sz w:val="9"/>
                <w:szCs w:val="9"/>
                <w:color w:val="auto"/>
              </w:rPr>
            </w:pPr>
          </w:p>
        </w:tc>
        <w:tc>
          <w:tcPr>
            <w:tcW w:w="486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80" w:type="dxa"/>
            <w:vAlign w:val="bottom"/>
          </w:tcPr>
          <w:p>
            <w:pPr>
              <w:spacing w:after="0"/>
              <w:rPr>
                <w:sz w:val="9"/>
                <w:szCs w:val="9"/>
                <w:color w:val="auto"/>
              </w:rPr>
            </w:pPr>
          </w:p>
        </w:tc>
      </w:tr>
      <w:tr>
        <w:trPr>
          <w:trHeight w:val="519"/>
        </w:trPr>
        <w:tc>
          <w:tcPr>
            <w:tcW w:w="2300" w:type="dxa"/>
            <w:vAlign w:val="bottom"/>
          </w:tcPr>
          <w:p>
            <w:pPr>
              <w:spacing w:after="0"/>
              <w:rPr>
                <w:sz w:val="24"/>
                <w:szCs w:val="24"/>
                <w:color w:val="auto"/>
              </w:rPr>
            </w:pPr>
          </w:p>
        </w:tc>
        <w:tc>
          <w:tcPr>
            <w:tcW w:w="4860" w:type="dxa"/>
            <w:vAlign w:val="bottom"/>
          </w:tcPr>
          <w:p>
            <w:pPr>
              <w:ind w:left="3260"/>
              <w:spacing w:after="0"/>
              <w:rPr>
                <w:sz w:val="20"/>
                <w:szCs w:val="20"/>
                <w:color w:val="auto"/>
              </w:rPr>
            </w:pPr>
            <w:r>
              <w:rPr>
                <w:rFonts w:ascii="Arial" w:cs="Arial" w:eastAsia="Arial" w:hAnsi="Arial"/>
                <w:sz w:val="17"/>
                <w:szCs w:val="17"/>
                <w:color w:val="auto"/>
              </w:rPr>
              <w:t>F-19</w:t>
            </w:r>
          </w:p>
        </w:tc>
        <w:tc>
          <w:tcPr>
            <w:tcW w:w="1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24"/>
        </w:trPr>
        <w:tc>
          <w:tcPr>
            <w:tcW w:w="23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14" w:name="page115"/>
    <w:bookmarkEnd w:id="114"/>
    <w:p>
      <w:pPr>
        <w:ind w:left="480" w:hanging="474"/>
        <w:spacing w:after="0"/>
        <w:tabs>
          <w:tab w:leader="none" w:pos="48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Other current assets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Other current assets consisted of the following as of December 31, 2002 and 2003 and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right"/>
              <w:ind w:right="396"/>
              <w:spacing w:after="0"/>
              <w:rPr>
                <w:sz w:val="20"/>
                <w:szCs w:val="20"/>
                <w:color w:val="auto"/>
              </w:rPr>
            </w:pPr>
            <w:r>
              <w:rPr>
                <w:rFonts w:ascii="Arial" w:cs="Arial" w:eastAsia="Arial" w:hAnsi="Arial"/>
                <w:sz w:val="13"/>
                <w:szCs w:val="13"/>
                <w:b w:val="1"/>
                <w:bCs w:val="1"/>
                <w:color w:val="auto"/>
              </w:rPr>
              <w:t>September 30,</w:t>
            </w:r>
          </w:p>
        </w:tc>
      </w:tr>
      <w:tr>
        <w:trPr>
          <w:trHeight w:val="94"/>
        </w:trPr>
        <w:tc>
          <w:tcPr>
            <w:tcW w:w="6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r>
      <w:tr>
        <w:trPr>
          <w:trHeight w:val="256"/>
        </w:trPr>
        <w:tc>
          <w:tcPr>
            <w:tcW w:w="6220" w:type="dxa"/>
            <w:vAlign w:val="bottom"/>
          </w:tcPr>
          <w:p>
            <w:pPr>
              <w:ind w:left="2560"/>
              <w:spacing w:after="0"/>
              <w:rPr>
                <w:sz w:val="20"/>
                <w:szCs w:val="20"/>
                <w:color w:val="auto"/>
              </w:rPr>
            </w:pPr>
            <w:r>
              <w:rPr>
                <w:rFonts w:ascii="Arial" w:cs="Arial" w:eastAsia="Arial" w:hAnsi="Arial"/>
                <w:sz w:val="13"/>
                <w:szCs w:val="13"/>
                <w:b w:val="1"/>
                <w:bCs w:val="1"/>
                <w:color w:val="auto"/>
              </w:rPr>
              <w:t>(in thousands)</w:t>
            </w:r>
          </w:p>
        </w:tc>
        <w:tc>
          <w:tcPr>
            <w:tcW w:w="300" w:type="dxa"/>
            <w:vAlign w:val="bottom"/>
          </w:tcPr>
          <w:p>
            <w:pPr>
              <w:spacing w:after="0"/>
              <w:rPr>
                <w:sz w:val="22"/>
                <w:szCs w:val="22"/>
                <w:color w:val="auto"/>
              </w:rPr>
            </w:pPr>
          </w:p>
        </w:tc>
        <w:tc>
          <w:tcPr>
            <w:tcW w:w="720" w:type="dxa"/>
            <w:vAlign w:val="bottom"/>
          </w:tcPr>
          <w:p>
            <w:pPr>
              <w:jc w:val="right"/>
              <w:ind w:right="378"/>
              <w:spacing w:after="0"/>
              <w:rPr>
                <w:sz w:val="20"/>
                <w:szCs w:val="20"/>
                <w:color w:val="auto"/>
              </w:rPr>
            </w:pPr>
            <w:r>
              <w:rPr>
                <w:rFonts w:ascii="Arial" w:cs="Arial" w:eastAsia="Arial" w:hAnsi="Arial"/>
                <w:sz w:val="13"/>
                <w:szCs w:val="13"/>
                <w:b w:val="1"/>
                <w:bCs w:val="1"/>
                <w:color w:val="auto"/>
                <w:w w:val="82"/>
              </w:rPr>
              <w:t>2002</w:t>
            </w:r>
          </w:p>
        </w:tc>
        <w:tc>
          <w:tcPr>
            <w:tcW w:w="420" w:type="dxa"/>
            <w:vAlign w:val="bottom"/>
          </w:tcPr>
          <w:p>
            <w:pPr>
              <w:spacing w:after="0"/>
              <w:rPr>
                <w:sz w:val="22"/>
                <w:szCs w:val="22"/>
                <w:color w:val="auto"/>
              </w:rPr>
            </w:pPr>
          </w:p>
        </w:tc>
        <w:tc>
          <w:tcPr>
            <w:tcW w:w="580" w:type="dxa"/>
            <w:vAlign w:val="bottom"/>
          </w:tcPr>
          <w:p>
            <w:pPr>
              <w:jc w:val="right"/>
              <w:ind w:right="216"/>
              <w:spacing w:after="0"/>
              <w:rPr>
                <w:sz w:val="20"/>
                <w:szCs w:val="20"/>
                <w:color w:val="auto"/>
              </w:rPr>
            </w:pPr>
            <w:r>
              <w:rPr>
                <w:rFonts w:ascii="Arial" w:cs="Arial" w:eastAsia="Arial" w:hAnsi="Arial"/>
                <w:sz w:val="13"/>
                <w:szCs w:val="13"/>
                <w:b w:val="1"/>
                <w:bCs w:val="1"/>
                <w:color w:val="auto"/>
                <w:w w:val="89"/>
              </w:rPr>
              <w:t>2003</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60" w:type="dxa"/>
            <w:vAlign w:val="bottom"/>
          </w:tcPr>
          <w:p>
            <w:pPr>
              <w:jc w:val="right"/>
              <w:ind w:right="676"/>
              <w:spacing w:after="0"/>
              <w:rPr>
                <w:sz w:val="20"/>
                <w:szCs w:val="20"/>
                <w:color w:val="auto"/>
              </w:rPr>
            </w:pPr>
            <w:r>
              <w:rPr>
                <w:rFonts w:ascii="Arial" w:cs="Arial" w:eastAsia="Arial" w:hAnsi="Arial"/>
                <w:sz w:val="13"/>
                <w:szCs w:val="13"/>
                <w:b w:val="1"/>
                <w:bCs w:val="1"/>
                <w:color w:val="auto"/>
                <w:w w:val="96"/>
              </w:rPr>
              <w:t>2004</w:t>
            </w:r>
          </w:p>
        </w:tc>
      </w:tr>
      <w:tr>
        <w:trPr>
          <w:trHeight w:val="94"/>
        </w:trPr>
        <w:tc>
          <w:tcPr>
            <w:tcW w:w="6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gridSpan w:val="2"/>
          </w:tcPr>
          <w:p>
            <w:pPr>
              <w:spacing w:after="0"/>
              <w:rPr>
                <w:sz w:val="8"/>
                <w:szCs w:val="8"/>
                <w:color w:val="auto"/>
              </w:rPr>
            </w:pPr>
          </w:p>
        </w:tc>
      </w:tr>
      <w:tr>
        <w:trPr>
          <w:trHeight w:val="245"/>
        </w:trPr>
        <w:tc>
          <w:tcPr>
            <w:tcW w:w="6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576"/>
              <w:spacing w:after="0"/>
              <w:rPr>
                <w:sz w:val="20"/>
                <w:szCs w:val="20"/>
                <w:color w:val="auto"/>
              </w:rPr>
            </w:pPr>
            <w:r>
              <w:rPr>
                <w:rFonts w:ascii="Arial" w:cs="Arial" w:eastAsia="Arial" w:hAnsi="Arial"/>
                <w:sz w:val="13"/>
                <w:szCs w:val="13"/>
                <w:b w:val="1"/>
                <w:bCs w:val="1"/>
                <w:color w:val="auto"/>
              </w:rPr>
              <w:t>(unaudited)</w:t>
            </w:r>
          </w:p>
        </w:tc>
      </w:tr>
      <w:tr>
        <w:trPr>
          <w:trHeight w:val="212"/>
        </w:trPr>
        <w:tc>
          <w:tcPr>
            <w:tcW w:w="6220" w:type="dxa"/>
            <w:vAlign w:val="bottom"/>
            <w:shd w:val="clear" w:color="auto" w:fill="EEEEEE"/>
          </w:tcPr>
          <w:p>
            <w:pPr>
              <w:spacing w:after="0"/>
              <w:rPr>
                <w:sz w:val="20"/>
                <w:szCs w:val="20"/>
                <w:color w:val="auto"/>
              </w:rPr>
            </w:pPr>
            <w:r>
              <w:rPr>
                <w:rFonts w:ascii="Arial" w:cs="Arial" w:eastAsia="Arial" w:hAnsi="Arial"/>
                <w:sz w:val="17"/>
                <w:szCs w:val="17"/>
                <w:color w:val="auto"/>
              </w:rPr>
              <w:t>Deferred sales commission costs</w:t>
            </w:r>
          </w:p>
        </w:tc>
        <w:tc>
          <w:tcPr>
            <w:tcW w:w="3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478</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804</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EEEEEE"/>
          </w:tcPr>
          <w:p>
            <w:pPr>
              <w:jc w:val="right"/>
              <w:ind w:right="576"/>
              <w:spacing w:after="0"/>
              <w:rPr>
                <w:sz w:val="20"/>
                <w:szCs w:val="20"/>
                <w:color w:val="auto"/>
              </w:rPr>
            </w:pPr>
            <w:r>
              <w:rPr>
                <w:rFonts w:ascii="Arial" w:cs="Arial" w:eastAsia="Arial" w:hAnsi="Arial"/>
                <w:sz w:val="17"/>
                <w:szCs w:val="17"/>
                <w:color w:val="auto"/>
              </w:rPr>
              <w:t>712</w:t>
            </w:r>
          </w:p>
        </w:tc>
      </w:tr>
      <w:tr>
        <w:trPr>
          <w:trHeight w:val="212"/>
        </w:trPr>
        <w:tc>
          <w:tcPr>
            <w:tcW w:w="6220" w:type="dxa"/>
            <w:vAlign w:val="bottom"/>
          </w:tcPr>
          <w:p>
            <w:pPr>
              <w:spacing w:after="0"/>
              <w:rPr>
                <w:sz w:val="20"/>
                <w:szCs w:val="20"/>
                <w:color w:val="auto"/>
              </w:rPr>
            </w:pPr>
            <w:r>
              <w:rPr>
                <w:rFonts w:ascii="Arial" w:cs="Arial" w:eastAsia="Arial" w:hAnsi="Arial"/>
                <w:sz w:val="17"/>
                <w:szCs w:val="17"/>
                <w:color w:val="auto"/>
              </w:rPr>
              <w:t>Prepaid rent</w:t>
            </w:r>
          </w:p>
        </w:tc>
        <w:tc>
          <w:tcPr>
            <w:tcW w:w="300" w:type="dxa"/>
            <w:vAlign w:val="bottom"/>
          </w:tcPr>
          <w:p>
            <w:pPr>
              <w:spacing w:after="0"/>
              <w:rPr>
                <w:sz w:val="18"/>
                <w:szCs w:val="18"/>
                <w:color w:val="auto"/>
              </w:rPr>
            </w:pPr>
          </w:p>
        </w:tc>
        <w:tc>
          <w:tcPr>
            <w:tcW w:w="720" w:type="dxa"/>
            <w:vAlign w:val="bottom"/>
          </w:tcPr>
          <w:p>
            <w:pPr>
              <w:jc w:val="right"/>
              <w:ind w:right="258"/>
              <w:spacing w:after="0"/>
              <w:rPr>
                <w:sz w:val="20"/>
                <w:szCs w:val="20"/>
                <w:color w:val="auto"/>
              </w:rPr>
            </w:pPr>
            <w:r>
              <w:rPr>
                <w:rFonts w:ascii="Arial" w:cs="Arial" w:eastAsia="Arial" w:hAnsi="Arial"/>
                <w:sz w:val="17"/>
                <w:szCs w:val="17"/>
                <w:color w:val="auto"/>
              </w:rPr>
              <w:t>66</w:t>
            </w:r>
          </w:p>
        </w:tc>
        <w:tc>
          <w:tcPr>
            <w:tcW w:w="42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467</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576"/>
              <w:spacing w:after="0"/>
              <w:rPr>
                <w:sz w:val="20"/>
                <w:szCs w:val="20"/>
                <w:color w:val="auto"/>
              </w:rPr>
            </w:pPr>
            <w:r>
              <w:rPr>
                <w:rFonts w:ascii="Arial" w:cs="Arial" w:eastAsia="Arial" w:hAnsi="Arial"/>
                <w:sz w:val="17"/>
                <w:szCs w:val="17"/>
                <w:color w:val="auto"/>
              </w:rPr>
              <w:t>462</w:t>
            </w:r>
          </w:p>
        </w:tc>
      </w:tr>
      <w:tr>
        <w:trPr>
          <w:trHeight w:val="212"/>
        </w:trPr>
        <w:tc>
          <w:tcPr>
            <w:tcW w:w="6220" w:type="dxa"/>
            <w:vAlign w:val="bottom"/>
            <w:shd w:val="clear" w:color="auto" w:fill="EEEEEE"/>
          </w:tcPr>
          <w:p>
            <w:pPr>
              <w:spacing w:after="0"/>
              <w:rPr>
                <w:sz w:val="20"/>
                <w:szCs w:val="20"/>
                <w:color w:val="auto"/>
              </w:rPr>
            </w:pPr>
            <w:r>
              <w:rPr>
                <w:rFonts w:ascii="Arial" w:cs="Arial" w:eastAsia="Arial" w:hAnsi="Arial"/>
                <w:sz w:val="17"/>
                <w:szCs w:val="17"/>
                <w:color w:val="auto"/>
              </w:rPr>
              <w:t>Prepaid insurance</w:t>
            </w: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138</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138</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576"/>
              <w:spacing w:after="0"/>
              <w:rPr>
                <w:sz w:val="20"/>
                <w:szCs w:val="20"/>
                <w:color w:val="auto"/>
              </w:rPr>
            </w:pPr>
            <w:r>
              <w:rPr>
                <w:rFonts w:ascii="Arial" w:cs="Arial" w:eastAsia="Arial" w:hAnsi="Arial"/>
                <w:sz w:val="17"/>
                <w:szCs w:val="17"/>
                <w:color w:val="auto"/>
              </w:rPr>
              <w:t>522</w:t>
            </w:r>
          </w:p>
        </w:tc>
      </w:tr>
      <w:tr>
        <w:trPr>
          <w:trHeight w:val="212"/>
        </w:trPr>
        <w:tc>
          <w:tcPr>
            <w:tcW w:w="6220" w:type="dxa"/>
            <w:vAlign w:val="bottom"/>
          </w:tcPr>
          <w:p>
            <w:pPr>
              <w:spacing w:after="0"/>
              <w:rPr>
                <w:sz w:val="20"/>
                <w:szCs w:val="20"/>
                <w:color w:val="auto"/>
              </w:rPr>
            </w:pPr>
            <w:r>
              <w:rPr>
                <w:rFonts w:ascii="Arial" w:cs="Arial" w:eastAsia="Arial" w:hAnsi="Arial"/>
                <w:sz w:val="17"/>
                <w:szCs w:val="17"/>
                <w:color w:val="auto"/>
              </w:rPr>
              <w:t>Prepaid data costs</w:t>
            </w:r>
          </w:p>
        </w:tc>
        <w:tc>
          <w:tcPr>
            <w:tcW w:w="300" w:type="dxa"/>
            <w:vAlign w:val="bottom"/>
          </w:tcPr>
          <w:p>
            <w:pPr>
              <w:spacing w:after="0"/>
              <w:rPr>
                <w:sz w:val="18"/>
                <w:szCs w:val="18"/>
                <w:color w:val="auto"/>
              </w:rPr>
            </w:pPr>
          </w:p>
        </w:tc>
        <w:tc>
          <w:tcPr>
            <w:tcW w:w="720" w:type="dxa"/>
            <w:vAlign w:val="bottom"/>
          </w:tcPr>
          <w:p>
            <w:pPr>
              <w:jc w:val="right"/>
              <w:ind w:right="258"/>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107</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576"/>
              <w:spacing w:after="0"/>
              <w:rPr>
                <w:sz w:val="20"/>
                <w:szCs w:val="20"/>
                <w:color w:val="auto"/>
              </w:rPr>
            </w:pPr>
            <w:r>
              <w:rPr>
                <w:rFonts w:ascii="Arial" w:cs="Arial" w:eastAsia="Arial" w:hAnsi="Arial"/>
                <w:sz w:val="17"/>
                <w:szCs w:val="17"/>
                <w:color w:val="auto"/>
              </w:rPr>
              <w:t>118</w:t>
            </w:r>
          </w:p>
        </w:tc>
      </w:tr>
      <w:tr>
        <w:trPr>
          <w:trHeight w:val="212"/>
        </w:trPr>
        <w:tc>
          <w:tcPr>
            <w:tcW w:w="6220" w:type="dxa"/>
            <w:vAlign w:val="bottom"/>
            <w:shd w:val="clear" w:color="auto" w:fill="EEEEEE"/>
          </w:tcPr>
          <w:p>
            <w:pPr>
              <w:spacing w:after="0"/>
              <w:rPr>
                <w:sz w:val="20"/>
                <w:szCs w:val="20"/>
                <w:color w:val="auto"/>
              </w:rPr>
            </w:pPr>
            <w:r>
              <w:rPr>
                <w:rFonts w:ascii="Arial" w:cs="Arial" w:eastAsia="Arial" w:hAnsi="Arial"/>
                <w:sz w:val="17"/>
                <w:szCs w:val="17"/>
                <w:color w:val="auto"/>
              </w:rPr>
              <w:t>Prepaid real estate commissions</w:t>
            </w: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84</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107</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576"/>
              <w:spacing w:after="0"/>
              <w:rPr>
                <w:sz w:val="20"/>
                <w:szCs w:val="20"/>
                <w:color w:val="auto"/>
              </w:rPr>
            </w:pPr>
            <w:r>
              <w:rPr>
                <w:rFonts w:ascii="Arial" w:cs="Arial" w:eastAsia="Arial" w:hAnsi="Arial"/>
                <w:sz w:val="17"/>
                <w:szCs w:val="17"/>
                <w:color w:val="auto"/>
              </w:rPr>
              <w:t>104</w:t>
            </w:r>
          </w:p>
        </w:tc>
      </w:tr>
      <w:tr>
        <w:trPr>
          <w:trHeight w:val="212"/>
        </w:trPr>
        <w:tc>
          <w:tcPr>
            <w:tcW w:w="6220" w:type="dxa"/>
            <w:vAlign w:val="bottom"/>
          </w:tcPr>
          <w:p>
            <w:pPr>
              <w:spacing w:after="0"/>
              <w:rPr>
                <w:sz w:val="20"/>
                <w:szCs w:val="20"/>
                <w:color w:val="auto"/>
              </w:rPr>
            </w:pPr>
            <w:r>
              <w:rPr>
                <w:rFonts w:ascii="Arial" w:cs="Arial" w:eastAsia="Arial" w:hAnsi="Arial"/>
                <w:sz w:val="17"/>
                <w:szCs w:val="17"/>
                <w:color w:val="auto"/>
              </w:rPr>
              <w:t>Prepaid software maintenance and royalties</w:t>
            </w:r>
          </w:p>
        </w:tc>
        <w:tc>
          <w:tcPr>
            <w:tcW w:w="300" w:type="dxa"/>
            <w:vAlign w:val="bottom"/>
          </w:tcPr>
          <w:p>
            <w:pPr>
              <w:spacing w:after="0"/>
              <w:rPr>
                <w:sz w:val="18"/>
                <w:szCs w:val="18"/>
                <w:color w:val="auto"/>
              </w:rPr>
            </w:pPr>
          </w:p>
        </w:tc>
        <w:tc>
          <w:tcPr>
            <w:tcW w:w="720" w:type="dxa"/>
            <w:vAlign w:val="bottom"/>
          </w:tcPr>
          <w:p>
            <w:pPr>
              <w:jc w:val="right"/>
              <w:ind w:right="258"/>
              <w:spacing w:after="0"/>
              <w:rPr>
                <w:sz w:val="20"/>
                <w:szCs w:val="20"/>
                <w:color w:val="auto"/>
              </w:rPr>
            </w:pPr>
            <w:r>
              <w:rPr>
                <w:rFonts w:ascii="Arial" w:cs="Arial" w:eastAsia="Arial" w:hAnsi="Arial"/>
                <w:sz w:val="17"/>
                <w:szCs w:val="17"/>
                <w:color w:val="auto"/>
              </w:rPr>
              <w:t>409</w:t>
            </w:r>
          </w:p>
        </w:tc>
        <w:tc>
          <w:tcPr>
            <w:tcW w:w="420" w:type="dxa"/>
            <w:vAlign w:val="bottom"/>
          </w:tcPr>
          <w:p>
            <w:pPr>
              <w:spacing w:after="0"/>
              <w:rPr>
                <w:sz w:val="18"/>
                <w:szCs w:val="18"/>
                <w:color w:val="auto"/>
              </w:rPr>
            </w:pPr>
          </w:p>
        </w:tc>
        <w:tc>
          <w:tcPr>
            <w:tcW w:w="580" w:type="dxa"/>
            <w:vAlign w:val="bottom"/>
          </w:tcPr>
          <w:p>
            <w:pPr>
              <w:jc w:val="right"/>
              <w:ind w:right="96"/>
              <w:spacing w:after="0"/>
              <w:rPr>
                <w:sz w:val="20"/>
                <w:szCs w:val="20"/>
                <w:color w:val="auto"/>
              </w:rPr>
            </w:pPr>
            <w:r>
              <w:rPr>
                <w:rFonts w:ascii="Arial" w:cs="Arial" w:eastAsia="Arial" w:hAnsi="Arial"/>
                <w:sz w:val="17"/>
                <w:szCs w:val="17"/>
                <w:color w:val="auto"/>
              </w:rPr>
              <w:t>727</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jc w:val="right"/>
              <w:ind w:right="576"/>
              <w:spacing w:after="0"/>
              <w:rPr>
                <w:sz w:val="20"/>
                <w:szCs w:val="20"/>
                <w:color w:val="auto"/>
              </w:rPr>
            </w:pPr>
            <w:r>
              <w:rPr>
                <w:rFonts w:ascii="Arial" w:cs="Arial" w:eastAsia="Arial" w:hAnsi="Arial"/>
                <w:sz w:val="17"/>
                <w:szCs w:val="17"/>
                <w:color w:val="auto"/>
              </w:rPr>
              <w:t>670</w:t>
            </w:r>
          </w:p>
        </w:tc>
      </w:tr>
      <w:tr>
        <w:trPr>
          <w:trHeight w:val="212"/>
        </w:trPr>
        <w:tc>
          <w:tcPr>
            <w:tcW w:w="6220" w:type="dxa"/>
            <w:vAlign w:val="bottom"/>
            <w:shd w:val="clear" w:color="auto" w:fill="EEEEEE"/>
          </w:tcPr>
          <w:p>
            <w:pPr>
              <w:spacing w:after="0"/>
              <w:rPr>
                <w:sz w:val="20"/>
                <w:szCs w:val="20"/>
                <w:color w:val="auto"/>
              </w:rPr>
            </w:pPr>
            <w:r>
              <w:rPr>
                <w:rFonts w:ascii="Arial" w:cs="Arial" w:eastAsia="Arial" w:hAnsi="Arial"/>
                <w:sz w:val="17"/>
                <w:szCs w:val="17"/>
                <w:color w:val="auto"/>
              </w:rPr>
              <w:t>Other</w:t>
            </w:r>
          </w:p>
        </w:tc>
        <w:tc>
          <w:tcPr>
            <w:tcW w:w="30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77</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363</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576"/>
              <w:spacing w:after="0"/>
              <w:rPr>
                <w:sz w:val="20"/>
                <w:szCs w:val="20"/>
                <w:color w:val="auto"/>
              </w:rPr>
            </w:pPr>
            <w:r>
              <w:rPr>
                <w:rFonts w:ascii="Arial" w:cs="Arial" w:eastAsia="Arial" w:hAnsi="Arial"/>
                <w:sz w:val="17"/>
                <w:szCs w:val="17"/>
                <w:color w:val="auto"/>
              </w:rPr>
              <w:t>461</w:t>
            </w:r>
          </w:p>
        </w:tc>
      </w:tr>
      <w:tr>
        <w:trPr>
          <w:trHeight w:val="106"/>
        </w:trPr>
        <w:tc>
          <w:tcPr>
            <w:tcW w:w="6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r>
        <w:trPr>
          <w:trHeight w:val="308"/>
        </w:trPr>
        <w:tc>
          <w:tcPr>
            <w:tcW w:w="6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258"/>
              <w:spacing w:after="0"/>
              <w:rPr>
                <w:sz w:val="20"/>
                <w:szCs w:val="20"/>
                <w:color w:val="auto"/>
              </w:rPr>
            </w:pPr>
            <w:r>
              <w:rPr>
                <w:rFonts w:ascii="Arial" w:cs="Arial" w:eastAsia="Arial" w:hAnsi="Arial"/>
                <w:sz w:val="17"/>
                <w:szCs w:val="17"/>
                <w:color w:val="auto"/>
                <w:w w:val="84"/>
              </w:rPr>
              <w:t>1,252</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96"/>
              <w:spacing w:after="0"/>
              <w:rPr>
                <w:sz w:val="20"/>
                <w:szCs w:val="20"/>
                <w:color w:val="auto"/>
              </w:rPr>
            </w:pPr>
            <w:r>
              <w:rPr>
                <w:rFonts w:ascii="Arial" w:cs="Arial" w:eastAsia="Arial" w:hAnsi="Arial"/>
                <w:sz w:val="17"/>
                <w:szCs w:val="17"/>
                <w:color w:val="auto"/>
                <w:w w:val="89"/>
              </w:rPr>
              <w:t>2,713</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576"/>
              <w:spacing w:after="0"/>
              <w:rPr>
                <w:sz w:val="20"/>
                <w:szCs w:val="20"/>
                <w:color w:val="auto"/>
              </w:rPr>
            </w:pPr>
            <w:r>
              <w:rPr>
                <w:rFonts w:ascii="Arial" w:cs="Arial" w:eastAsia="Arial" w:hAnsi="Arial"/>
                <w:sz w:val="17"/>
                <w:szCs w:val="17"/>
                <w:color w:val="auto"/>
                <w:w w:val="89"/>
              </w:rPr>
              <w:t>3,049</w:t>
            </w:r>
          </w:p>
        </w:tc>
      </w:tr>
      <w:tr>
        <w:trPr>
          <w:trHeight w:val="109"/>
        </w:trPr>
        <w:tc>
          <w:tcPr>
            <w:tcW w:w="6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r>
    </w:tbl>
    <w:p>
      <w:pPr>
        <w:spacing w:after="0" w:line="290" w:lineRule="exact"/>
        <w:rPr>
          <w:sz w:val="20"/>
          <w:szCs w:val="20"/>
          <w:color w:val="auto"/>
        </w:rPr>
      </w:pPr>
    </w:p>
    <w:p>
      <w:pPr>
        <w:ind w:left="480" w:hanging="474"/>
        <w:spacing w:after="0"/>
        <w:tabs>
          <w:tab w:leader="none" w:pos="48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color w:val="auto"/>
        </w:rPr>
        <w:t>Accrued expenses and other current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consisted of the following as of December 31, 2002 and 2003 and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6260" w:type="dxa"/>
            <w:vAlign w:val="bottom"/>
          </w:tcPr>
          <w:p>
            <w:pPr>
              <w:spacing w:after="0"/>
              <w:rPr>
                <w:sz w:val="14"/>
                <w:szCs w:val="14"/>
                <w:color w:val="auto"/>
              </w:rPr>
            </w:pPr>
          </w:p>
        </w:tc>
        <w:tc>
          <w:tcPr>
            <w:tcW w:w="2000" w:type="dxa"/>
            <w:vAlign w:val="bottom"/>
            <w:gridSpan w:val="2"/>
          </w:tcPr>
          <w:p>
            <w:pPr>
              <w:jc w:val="right"/>
              <w:ind w:right="536"/>
              <w:spacing w:after="0"/>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September 30,</w:t>
            </w:r>
          </w:p>
        </w:tc>
      </w:tr>
      <w:tr>
        <w:trPr>
          <w:trHeight w:val="94"/>
        </w:trPr>
        <w:tc>
          <w:tcPr>
            <w:tcW w:w="6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256"/>
        </w:trPr>
        <w:tc>
          <w:tcPr>
            <w:tcW w:w="6260" w:type="dxa"/>
            <w:vAlign w:val="bottom"/>
          </w:tcPr>
          <w:p>
            <w:pPr>
              <w:ind w:left="2580"/>
              <w:spacing w:after="0"/>
              <w:rPr>
                <w:sz w:val="20"/>
                <w:szCs w:val="20"/>
                <w:color w:val="auto"/>
              </w:rPr>
            </w:pPr>
            <w:r>
              <w:rPr>
                <w:rFonts w:ascii="Arial" w:cs="Arial" w:eastAsia="Arial" w:hAnsi="Arial"/>
                <w:sz w:val="13"/>
                <w:szCs w:val="13"/>
                <w:b w:val="1"/>
                <w:bCs w:val="1"/>
                <w:color w:val="auto"/>
              </w:rPr>
              <w:t>(in thousands)</w:t>
            </w:r>
          </w:p>
        </w:tc>
        <w:tc>
          <w:tcPr>
            <w:tcW w:w="1000" w:type="dxa"/>
            <w:vAlign w:val="bottom"/>
          </w:tcPr>
          <w:p>
            <w:pPr>
              <w:jc w:val="right"/>
              <w:ind w:right="378"/>
              <w:spacing w:after="0"/>
              <w:rPr>
                <w:sz w:val="20"/>
                <w:szCs w:val="20"/>
                <w:color w:val="auto"/>
              </w:rPr>
            </w:pPr>
            <w:r>
              <w:rPr>
                <w:rFonts w:ascii="Arial" w:cs="Arial" w:eastAsia="Arial" w:hAnsi="Arial"/>
                <w:sz w:val="13"/>
                <w:szCs w:val="13"/>
                <w:b w:val="1"/>
                <w:bCs w:val="1"/>
                <w:color w:val="auto"/>
              </w:rPr>
              <w:t>2002</w:t>
            </w:r>
          </w:p>
        </w:tc>
        <w:tc>
          <w:tcPr>
            <w:tcW w:w="1000" w:type="dxa"/>
            <w:vAlign w:val="bottom"/>
          </w:tcPr>
          <w:p>
            <w:pPr>
              <w:jc w:val="right"/>
              <w:ind w:right="216"/>
              <w:spacing w:after="0"/>
              <w:rPr>
                <w:sz w:val="20"/>
                <w:szCs w:val="20"/>
                <w:color w:val="auto"/>
              </w:rPr>
            </w:pPr>
            <w:r>
              <w:rPr>
                <w:rFonts w:ascii="Arial" w:cs="Arial" w:eastAsia="Arial" w:hAnsi="Arial"/>
                <w:sz w:val="13"/>
                <w:szCs w:val="13"/>
                <w:b w:val="1"/>
                <w:bCs w:val="1"/>
                <w:color w:val="auto"/>
              </w:rPr>
              <w:t>2003</w:t>
            </w: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jc w:val="center"/>
              <w:ind w:right="636"/>
              <w:spacing w:after="0"/>
              <w:rPr>
                <w:sz w:val="20"/>
                <w:szCs w:val="20"/>
                <w:color w:val="auto"/>
              </w:rPr>
            </w:pPr>
            <w:r>
              <w:rPr>
                <w:rFonts w:ascii="Arial" w:cs="Arial" w:eastAsia="Arial" w:hAnsi="Arial"/>
                <w:sz w:val="13"/>
                <w:szCs w:val="13"/>
                <w:b w:val="1"/>
                <w:bCs w:val="1"/>
                <w:color w:val="auto"/>
                <w:w w:val="96"/>
              </w:rPr>
              <w:t>2004</w:t>
            </w:r>
          </w:p>
        </w:tc>
      </w:tr>
      <w:tr>
        <w:trPr>
          <w:trHeight w:val="94"/>
        </w:trPr>
        <w:tc>
          <w:tcPr>
            <w:tcW w:w="626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gridSpan w:val="2"/>
          </w:tcPr>
          <w:p>
            <w:pPr>
              <w:spacing w:after="0"/>
              <w:rPr>
                <w:sz w:val="8"/>
                <w:szCs w:val="8"/>
                <w:color w:val="auto"/>
              </w:rPr>
            </w:pPr>
          </w:p>
        </w:tc>
      </w:tr>
      <w:tr>
        <w:trPr>
          <w:trHeight w:val="245"/>
        </w:trPr>
        <w:tc>
          <w:tcPr>
            <w:tcW w:w="6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(unaudited)</w:t>
            </w:r>
          </w:p>
        </w:tc>
      </w:tr>
      <w:tr>
        <w:trPr>
          <w:trHeight w:val="212"/>
        </w:trPr>
        <w:tc>
          <w:tcPr>
            <w:tcW w:w="6260" w:type="dxa"/>
            <w:vAlign w:val="bottom"/>
            <w:shd w:val="clear" w:color="auto" w:fill="EEEEEE"/>
          </w:tcPr>
          <w:p>
            <w:pPr>
              <w:spacing w:after="0"/>
              <w:rPr>
                <w:sz w:val="20"/>
                <w:szCs w:val="20"/>
                <w:color w:val="auto"/>
              </w:rPr>
            </w:pPr>
            <w:r>
              <w:rPr>
                <w:rFonts w:ascii="Arial" w:cs="Arial" w:eastAsia="Arial" w:hAnsi="Arial"/>
                <w:sz w:val="17"/>
                <w:szCs w:val="17"/>
                <w:color w:val="auto"/>
              </w:rPr>
              <w:t>Accrued bonuses</w:t>
            </w:r>
          </w:p>
        </w:tc>
        <w:tc>
          <w:tcPr>
            <w:tcW w:w="100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$2,964</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$2,990</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EEEEE"/>
          </w:tcPr>
          <w:p>
            <w:pPr>
              <w:jc w:val="right"/>
              <w:ind w:right="476"/>
              <w:spacing w:after="0"/>
              <w:rPr>
                <w:sz w:val="20"/>
                <w:szCs w:val="20"/>
                <w:color w:val="auto"/>
              </w:rPr>
            </w:pPr>
            <w:r>
              <w:rPr>
                <w:rFonts w:ascii="Arial" w:cs="Arial" w:eastAsia="Arial" w:hAnsi="Arial"/>
                <w:sz w:val="17"/>
                <w:szCs w:val="17"/>
                <w:color w:val="auto"/>
              </w:rPr>
              <w:t>2,920</w:t>
            </w:r>
          </w:p>
        </w:tc>
      </w:tr>
      <w:tr>
        <w:trPr>
          <w:trHeight w:val="212"/>
        </w:trPr>
        <w:tc>
          <w:tcPr>
            <w:tcW w:w="6260" w:type="dxa"/>
            <w:vAlign w:val="bottom"/>
          </w:tcPr>
          <w:p>
            <w:pPr>
              <w:spacing w:after="0"/>
              <w:rPr>
                <w:sz w:val="20"/>
                <w:szCs w:val="20"/>
                <w:color w:val="auto"/>
              </w:rPr>
            </w:pPr>
            <w:r>
              <w:rPr>
                <w:rFonts w:ascii="Arial" w:cs="Arial" w:eastAsia="Arial" w:hAnsi="Arial"/>
                <w:sz w:val="17"/>
                <w:szCs w:val="17"/>
                <w:color w:val="auto"/>
              </w:rPr>
              <w:t>Accrued costs of initial public offering</w:t>
            </w:r>
          </w:p>
        </w:tc>
        <w:tc>
          <w:tcPr>
            <w:tcW w:w="1000" w:type="dxa"/>
            <w:vAlign w:val="bottom"/>
          </w:tcPr>
          <w:p>
            <w:pPr>
              <w:jc w:val="right"/>
              <w:ind w:right="258"/>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476"/>
              <w:spacing w:after="0"/>
              <w:rPr>
                <w:sz w:val="20"/>
                <w:szCs w:val="20"/>
                <w:color w:val="auto"/>
              </w:rPr>
            </w:pPr>
            <w:r>
              <w:rPr>
                <w:rFonts w:ascii="Arial" w:cs="Arial" w:eastAsia="Arial" w:hAnsi="Arial"/>
                <w:sz w:val="17"/>
                <w:szCs w:val="17"/>
                <w:color w:val="auto"/>
              </w:rPr>
              <w:t>124</w:t>
            </w:r>
          </w:p>
        </w:tc>
      </w:tr>
      <w:tr>
        <w:trPr>
          <w:trHeight w:val="212"/>
        </w:trPr>
        <w:tc>
          <w:tcPr>
            <w:tcW w:w="6260" w:type="dxa"/>
            <w:vAlign w:val="bottom"/>
            <w:shd w:val="clear" w:color="auto" w:fill="EEEEEE"/>
          </w:tcPr>
          <w:p>
            <w:pPr>
              <w:spacing w:after="0"/>
              <w:rPr>
                <w:sz w:val="20"/>
                <w:szCs w:val="20"/>
                <w:color w:val="auto"/>
              </w:rPr>
            </w:pPr>
            <w:r>
              <w:rPr>
                <w:rFonts w:ascii="Arial" w:cs="Arial" w:eastAsia="Arial" w:hAnsi="Arial"/>
                <w:sz w:val="17"/>
                <w:szCs w:val="17"/>
                <w:color w:val="auto"/>
              </w:rPr>
              <w:t>Accrued cash component of stock option compensation</w:t>
            </w:r>
          </w:p>
        </w:tc>
        <w:tc>
          <w:tcPr>
            <w:tcW w:w="100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1,693</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6"/>
              <w:spacing w:after="0"/>
              <w:rPr>
                <w:sz w:val="20"/>
                <w:szCs w:val="20"/>
                <w:color w:val="auto"/>
              </w:rPr>
            </w:pPr>
            <w:r>
              <w:rPr>
                <w:rFonts w:ascii="Arial" w:cs="Arial" w:eastAsia="Arial" w:hAnsi="Arial"/>
                <w:sz w:val="17"/>
                <w:szCs w:val="17"/>
                <w:color w:val="auto"/>
              </w:rPr>
              <w:t>1,763</w:t>
            </w:r>
          </w:p>
        </w:tc>
      </w:tr>
      <w:tr>
        <w:trPr>
          <w:trHeight w:val="212"/>
        </w:trPr>
        <w:tc>
          <w:tcPr>
            <w:tcW w:w="6260" w:type="dxa"/>
            <w:vAlign w:val="bottom"/>
          </w:tcPr>
          <w:p>
            <w:pPr>
              <w:spacing w:after="0"/>
              <w:rPr>
                <w:sz w:val="20"/>
                <w:szCs w:val="20"/>
                <w:color w:val="auto"/>
              </w:rPr>
            </w:pPr>
            <w:r>
              <w:rPr>
                <w:rFonts w:ascii="Arial" w:cs="Arial" w:eastAsia="Arial" w:hAnsi="Arial"/>
                <w:sz w:val="17"/>
                <w:szCs w:val="17"/>
                <w:color w:val="auto"/>
              </w:rPr>
              <w:t>Accrued commissions and salaries</w:t>
            </w:r>
          </w:p>
        </w:tc>
        <w:tc>
          <w:tcPr>
            <w:tcW w:w="1000" w:type="dxa"/>
            <w:vAlign w:val="bottom"/>
          </w:tcPr>
          <w:p>
            <w:pPr>
              <w:jc w:val="right"/>
              <w:ind w:right="258"/>
              <w:spacing w:after="0"/>
              <w:rPr>
                <w:sz w:val="20"/>
                <w:szCs w:val="20"/>
                <w:color w:val="auto"/>
              </w:rPr>
            </w:pPr>
            <w:r>
              <w:rPr>
                <w:rFonts w:ascii="Arial" w:cs="Arial" w:eastAsia="Arial" w:hAnsi="Arial"/>
                <w:sz w:val="17"/>
                <w:szCs w:val="17"/>
                <w:color w:val="auto"/>
              </w:rPr>
              <w:t>957</w:t>
            </w:r>
          </w:p>
        </w:tc>
        <w:tc>
          <w:tcPr>
            <w:tcW w:w="1000" w:type="dxa"/>
            <w:vAlign w:val="bottom"/>
          </w:tcPr>
          <w:p>
            <w:pPr>
              <w:jc w:val="right"/>
              <w:ind w:right="96"/>
              <w:spacing w:after="0"/>
              <w:rPr>
                <w:sz w:val="20"/>
                <w:szCs w:val="20"/>
                <w:color w:val="auto"/>
              </w:rPr>
            </w:pPr>
            <w:r>
              <w:rPr>
                <w:rFonts w:ascii="Arial" w:cs="Arial" w:eastAsia="Arial" w:hAnsi="Arial"/>
                <w:sz w:val="17"/>
                <w:szCs w:val="17"/>
                <w:color w:val="auto"/>
              </w:rPr>
              <w:t>1,386</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476"/>
              <w:spacing w:after="0"/>
              <w:rPr>
                <w:sz w:val="20"/>
                <w:szCs w:val="20"/>
                <w:color w:val="auto"/>
              </w:rPr>
            </w:pPr>
            <w:r>
              <w:rPr>
                <w:rFonts w:ascii="Arial" w:cs="Arial" w:eastAsia="Arial" w:hAnsi="Arial"/>
                <w:sz w:val="17"/>
                <w:szCs w:val="17"/>
                <w:color w:val="auto"/>
              </w:rPr>
              <w:t>844</w:t>
            </w:r>
          </w:p>
        </w:tc>
      </w:tr>
      <w:tr>
        <w:trPr>
          <w:trHeight w:val="212"/>
        </w:trPr>
        <w:tc>
          <w:tcPr>
            <w:tcW w:w="6260" w:type="dxa"/>
            <w:vAlign w:val="bottom"/>
            <w:shd w:val="clear" w:color="auto" w:fill="EEEEEE"/>
          </w:tcPr>
          <w:p>
            <w:pPr>
              <w:spacing w:after="0"/>
              <w:rPr>
                <w:sz w:val="20"/>
                <w:szCs w:val="20"/>
                <w:color w:val="auto"/>
              </w:rPr>
            </w:pPr>
            <w:r>
              <w:rPr>
                <w:rFonts w:ascii="Arial" w:cs="Arial" w:eastAsia="Arial" w:hAnsi="Arial"/>
                <w:sz w:val="17"/>
                <w:szCs w:val="17"/>
                <w:color w:val="auto"/>
              </w:rPr>
              <w:t>Taxes payable</w:t>
            </w:r>
          </w:p>
        </w:tc>
        <w:tc>
          <w:tcPr>
            <w:tcW w:w="100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1,382</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2,018</w:t>
            </w:r>
          </w:p>
        </w:tc>
        <w:tc>
          <w:tcPr>
            <w:tcW w:w="2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476"/>
              <w:spacing w:after="0"/>
              <w:rPr>
                <w:sz w:val="20"/>
                <w:szCs w:val="20"/>
                <w:color w:val="auto"/>
              </w:rPr>
            </w:pPr>
            <w:r>
              <w:rPr>
                <w:rFonts w:ascii="Arial" w:cs="Arial" w:eastAsia="Arial" w:hAnsi="Arial"/>
                <w:sz w:val="17"/>
                <w:szCs w:val="17"/>
                <w:color w:val="auto"/>
              </w:rPr>
              <w:t>4,199</w:t>
            </w:r>
          </w:p>
        </w:tc>
      </w:tr>
      <w:tr>
        <w:trPr>
          <w:trHeight w:val="217"/>
        </w:trPr>
        <w:tc>
          <w:tcPr>
            <w:tcW w:w="6260" w:type="dxa"/>
            <w:vAlign w:val="bottom"/>
          </w:tcPr>
          <w:p>
            <w:pPr>
              <w:spacing w:after="0"/>
              <w:rPr>
                <w:sz w:val="20"/>
                <w:szCs w:val="20"/>
                <w:color w:val="auto"/>
              </w:rPr>
            </w:pPr>
            <w:r>
              <w:rPr>
                <w:rFonts w:ascii="Arial" w:cs="Arial" w:eastAsia="Arial" w:hAnsi="Arial"/>
                <w:sz w:val="17"/>
                <w:szCs w:val="17"/>
                <w:color w:val="auto"/>
              </w:rPr>
              <w:t>Other</w:t>
            </w:r>
          </w:p>
        </w:tc>
        <w:tc>
          <w:tcPr>
            <w:tcW w:w="1000" w:type="dxa"/>
            <w:vAlign w:val="bottom"/>
          </w:tcPr>
          <w:p>
            <w:pPr>
              <w:jc w:val="right"/>
              <w:ind w:right="258"/>
              <w:spacing w:after="0"/>
              <w:rPr>
                <w:sz w:val="20"/>
                <w:szCs w:val="20"/>
                <w:color w:val="auto"/>
              </w:rPr>
            </w:pPr>
            <w:r>
              <w:rPr>
                <w:rFonts w:ascii="Arial" w:cs="Arial" w:eastAsia="Arial" w:hAnsi="Arial"/>
                <w:sz w:val="17"/>
                <w:szCs w:val="17"/>
                <w:color w:val="auto"/>
              </w:rPr>
              <w:t>2,453</w:t>
            </w:r>
          </w:p>
        </w:tc>
        <w:tc>
          <w:tcPr>
            <w:tcW w:w="1000" w:type="dxa"/>
            <w:vAlign w:val="bottom"/>
          </w:tcPr>
          <w:p>
            <w:pPr>
              <w:jc w:val="right"/>
              <w:ind w:right="96"/>
              <w:spacing w:after="0"/>
              <w:rPr>
                <w:sz w:val="20"/>
                <w:szCs w:val="20"/>
                <w:color w:val="auto"/>
              </w:rPr>
            </w:pPr>
            <w:r>
              <w:rPr>
                <w:rFonts w:ascii="Arial" w:cs="Arial" w:eastAsia="Arial" w:hAnsi="Arial"/>
                <w:sz w:val="17"/>
                <w:szCs w:val="17"/>
                <w:color w:val="auto"/>
              </w:rPr>
              <w:t>1,572</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476"/>
              <w:spacing w:after="0"/>
              <w:rPr>
                <w:sz w:val="20"/>
                <w:szCs w:val="20"/>
                <w:color w:val="auto"/>
              </w:rPr>
            </w:pPr>
            <w:r>
              <w:rPr>
                <w:rFonts w:ascii="Arial" w:cs="Arial" w:eastAsia="Arial" w:hAnsi="Arial"/>
                <w:sz w:val="17"/>
                <w:szCs w:val="17"/>
                <w:color w:val="auto"/>
              </w:rPr>
              <w:t>2,246</w:t>
            </w:r>
          </w:p>
        </w:tc>
      </w:tr>
      <w:tr>
        <w:trPr>
          <w:trHeight w:val="100"/>
        </w:trPr>
        <w:tc>
          <w:tcPr>
            <w:tcW w:w="626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r>
      <w:tr>
        <w:trPr>
          <w:trHeight w:val="99"/>
        </w:trPr>
        <w:tc>
          <w:tcPr>
            <w:tcW w:w="6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12"/>
        </w:trPr>
        <w:tc>
          <w:tcPr>
            <w:tcW w:w="626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$7,756</w:t>
            </w:r>
          </w:p>
        </w:tc>
        <w:tc>
          <w:tcPr>
            <w:tcW w:w="1000" w:type="dxa"/>
            <w:vAlign w:val="bottom"/>
            <w:shd w:val="clear" w:color="auto" w:fill="EEEEEE"/>
          </w:tcPr>
          <w:p>
            <w:pPr>
              <w:jc w:val="right"/>
              <w:ind w:right="96"/>
              <w:spacing w:after="0"/>
              <w:rPr>
                <w:sz w:val="20"/>
                <w:szCs w:val="20"/>
                <w:color w:val="auto"/>
              </w:rPr>
            </w:pPr>
            <w:r>
              <w:rPr>
                <w:rFonts w:ascii="Arial" w:cs="Arial" w:eastAsia="Arial" w:hAnsi="Arial"/>
                <w:sz w:val="17"/>
                <w:szCs w:val="17"/>
                <w:color w:val="auto"/>
              </w:rPr>
              <w:t>$9,659</w:t>
            </w:r>
          </w:p>
        </w:tc>
        <w:tc>
          <w:tcPr>
            <w:tcW w:w="98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EEEEEE"/>
          </w:tcPr>
          <w:p>
            <w:pPr>
              <w:jc w:val="right"/>
              <w:ind w:right="476"/>
              <w:spacing w:after="0"/>
              <w:rPr>
                <w:sz w:val="20"/>
                <w:szCs w:val="20"/>
                <w:color w:val="auto"/>
              </w:rPr>
            </w:pPr>
            <w:r>
              <w:rPr>
                <w:rFonts w:ascii="Arial" w:cs="Arial" w:eastAsia="Arial" w:hAnsi="Arial"/>
                <w:sz w:val="17"/>
                <w:szCs w:val="17"/>
                <w:color w:val="auto"/>
                <w:w w:val="88"/>
              </w:rPr>
              <w:t>12,096</w:t>
            </w:r>
          </w:p>
        </w:tc>
      </w:tr>
      <w:tr>
        <w:trPr>
          <w:trHeight w:val="106"/>
        </w:trPr>
        <w:tc>
          <w:tcPr>
            <w:tcW w:w="62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r>
    </w:tbl>
    <w:p>
      <w:pPr>
        <w:spacing w:after="0" w:line="290" w:lineRule="exact"/>
        <w:rPr>
          <w:sz w:val="20"/>
          <w:szCs w:val="20"/>
          <w:color w:val="auto"/>
        </w:rPr>
      </w:pPr>
    </w:p>
    <w:p>
      <w:pPr>
        <w:ind w:left="480" w:hanging="474"/>
        <w:spacing w:after="0"/>
        <w:tabs>
          <w:tab w:leader="none" w:pos="48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color w:val="auto"/>
        </w:rPr>
        <w:t>Deferred revenue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consisted of the following as of December 31, 2002 and 2003 and September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jc w:val="right"/>
              <w:ind w:right="721"/>
              <w:spacing w:after="0"/>
              <w:rPr>
                <w:sz w:val="20"/>
                <w:szCs w:val="20"/>
                <w:color w:val="auto"/>
              </w:rPr>
            </w:pPr>
            <w:r>
              <w:rPr>
                <w:rFonts w:ascii="Arial" w:cs="Arial" w:eastAsia="Arial" w:hAnsi="Arial"/>
                <w:sz w:val="13"/>
                <w:szCs w:val="13"/>
                <w:b w:val="1"/>
                <w:bCs w:val="1"/>
                <w:color w:val="auto"/>
                <w:w w:val="89"/>
              </w:rPr>
              <w:t>December 31,</w:t>
            </w:r>
          </w:p>
        </w:tc>
        <w:tc>
          <w:tcPr>
            <w:tcW w:w="28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2"/>
              </w:rPr>
              <w:t>September 30,</w:t>
            </w:r>
          </w:p>
        </w:tc>
        <w:tc>
          <w:tcPr>
            <w:tcW w:w="560" w:type="dxa"/>
            <w:vAlign w:val="bottom"/>
          </w:tcPr>
          <w:p>
            <w:pPr>
              <w:spacing w:after="0"/>
              <w:rPr>
                <w:sz w:val="14"/>
                <w:szCs w:val="14"/>
                <w:color w:val="auto"/>
              </w:rPr>
            </w:pPr>
          </w:p>
        </w:tc>
      </w:tr>
      <w:tr>
        <w:trPr>
          <w:trHeight w:val="94"/>
        </w:trPr>
        <w:tc>
          <w:tcPr>
            <w:tcW w:w="58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56"/>
        </w:trPr>
        <w:tc>
          <w:tcPr>
            <w:tcW w:w="580" w:type="dxa"/>
            <w:vAlign w:val="bottom"/>
          </w:tcPr>
          <w:p>
            <w:pPr>
              <w:spacing w:after="0"/>
              <w:rPr>
                <w:sz w:val="22"/>
                <w:szCs w:val="22"/>
                <w:color w:val="auto"/>
              </w:rPr>
            </w:pPr>
          </w:p>
        </w:tc>
        <w:tc>
          <w:tcPr>
            <w:tcW w:w="4100" w:type="dxa"/>
            <w:vAlign w:val="bottom"/>
          </w:tcPr>
          <w:p>
            <w:pPr>
              <w:ind w:left="2420"/>
              <w:spacing w:after="0"/>
              <w:rPr>
                <w:sz w:val="20"/>
                <w:szCs w:val="20"/>
                <w:color w:val="auto"/>
              </w:rPr>
            </w:pPr>
            <w:r>
              <w:rPr>
                <w:rFonts w:ascii="Arial" w:cs="Arial" w:eastAsia="Arial" w:hAnsi="Arial"/>
                <w:sz w:val="13"/>
                <w:szCs w:val="13"/>
                <w:b w:val="1"/>
                <w:bCs w:val="1"/>
                <w:color w:val="auto"/>
              </w:rPr>
              <w:t>(in thousands)</w:t>
            </w:r>
          </w:p>
        </w:tc>
        <w:tc>
          <w:tcPr>
            <w:tcW w:w="26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2002</w:t>
            </w:r>
          </w:p>
        </w:tc>
        <w:tc>
          <w:tcPr>
            <w:tcW w:w="1580" w:type="dxa"/>
            <w:vAlign w:val="bottom"/>
          </w:tcPr>
          <w:p>
            <w:pPr>
              <w:jc w:val="right"/>
              <w:ind w:right="321"/>
              <w:spacing w:after="0"/>
              <w:rPr>
                <w:sz w:val="20"/>
                <w:szCs w:val="20"/>
                <w:color w:val="auto"/>
              </w:rPr>
            </w:pPr>
            <w:r>
              <w:rPr>
                <w:rFonts w:ascii="Arial" w:cs="Arial" w:eastAsia="Arial" w:hAnsi="Arial"/>
                <w:sz w:val="13"/>
                <w:szCs w:val="13"/>
                <w:b w:val="1"/>
                <w:bCs w:val="1"/>
                <w:color w:val="auto"/>
              </w:rPr>
              <w:t>2003</w:t>
            </w:r>
          </w:p>
        </w:tc>
        <w:tc>
          <w:tcPr>
            <w:tcW w:w="2000" w:type="dxa"/>
            <w:vAlign w:val="bottom"/>
            <w:gridSpan w:val="2"/>
          </w:tcPr>
          <w:p>
            <w:pPr>
              <w:jc w:val="center"/>
              <w:ind w:left="178"/>
              <w:spacing w:after="0"/>
              <w:rPr>
                <w:sz w:val="20"/>
                <w:szCs w:val="20"/>
                <w:color w:val="auto"/>
              </w:rPr>
            </w:pPr>
            <w:r>
              <w:rPr>
                <w:rFonts w:ascii="Arial" w:cs="Arial" w:eastAsia="Arial" w:hAnsi="Arial"/>
                <w:sz w:val="13"/>
                <w:szCs w:val="13"/>
                <w:b w:val="1"/>
                <w:bCs w:val="1"/>
                <w:color w:val="auto"/>
                <w:w w:val="89"/>
              </w:rPr>
              <w:t>2004</w:t>
            </w:r>
          </w:p>
        </w:tc>
        <w:tc>
          <w:tcPr>
            <w:tcW w:w="560" w:type="dxa"/>
            <w:vAlign w:val="bottom"/>
          </w:tcPr>
          <w:p>
            <w:pPr>
              <w:spacing w:after="0"/>
              <w:rPr>
                <w:sz w:val="22"/>
                <w:szCs w:val="22"/>
                <w:color w:val="auto"/>
              </w:rPr>
            </w:pPr>
          </w:p>
        </w:tc>
      </w:tr>
      <w:tr>
        <w:trPr>
          <w:trHeight w:val="94"/>
        </w:trPr>
        <w:tc>
          <w:tcPr>
            <w:tcW w:w="58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45"/>
        </w:trPr>
        <w:tc>
          <w:tcPr>
            <w:tcW w:w="5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3"/>
                <w:szCs w:val="13"/>
                <w:b w:val="1"/>
                <w:bCs w:val="1"/>
                <w:color w:val="auto"/>
                <w:w w:val="93"/>
              </w:rPr>
              <w:t>(unaudited)</w:t>
            </w:r>
          </w:p>
        </w:tc>
        <w:tc>
          <w:tcPr>
            <w:tcW w:w="560" w:type="dxa"/>
            <w:vAlign w:val="bottom"/>
          </w:tcPr>
          <w:p>
            <w:pPr>
              <w:spacing w:after="0"/>
              <w:rPr>
                <w:sz w:val="21"/>
                <w:szCs w:val="21"/>
                <w:color w:val="auto"/>
              </w:rPr>
            </w:pPr>
          </w:p>
        </w:tc>
      </w:tr>
      <w:tr>
        <w:trPr>
          <w:trHeight w:val="212"/>
        </w:trPr>
        <w:tc>
          <w:tcPr>
            <w:tcW w:w="58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7"/>
                <w:szCs w:val="17"/>
                <w:color w:val="auto"/>
              </w:rPr>
              <w:t>Maintenance and subscriptions</w:t>
            </w:r>
          </w:p>
        </w:tc>
        <w:tc>
          <w:tcPr>
            <w:tcW w:w="2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$33,187</w:t>
            </w:r>
          </w:p>
        </w:tc>
        <w:tc>
          <w:tcPr>
            <w:tcW w:w="1580" w:type="dxa"/>
            <w:vAlign w:val="bottom"/>
            <w:shd w:val="clear" w:color="auto" w:fill="EEEEEE"/>
          </w:tcPr>
          <w:p>
            <w:pPr>
              <w:jc w:val="right"/>
              <w:ind w:right="201"/>
              <w:spacing w:after="0"/>
              <w:rPr>
                <w:sz w:val="20"/>
                <w:szCs w:val="20"/>
                <w:color w:val="auto"/>
              </w:rPr>
            </w:pPr>
            <w:r>
              <w:rPr>
                <w:rFonts w:ascii="Arial" w:cs="Arial" w:eastAsia="Arial" w:hAnsi="Arial"/>
                <w:sz w:val="17"/>
                <w:szCs w:val="17"/>
                <w:color w:val="auto"/>
              </w:rPr>
              <w:t>$37,077</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$41,820</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Services</w:t>
            </w:r>
          </w:p>
        </w:tc>
        <w:tc>
          <w:tcPr>
            <w:tcW w:w="2600" w:type="dxa"/>
            <w:vAlign w:val="bottom"/>
            <w:gridSpan w:val="2"/>
          </w:tcPr>
          <w:p>
            <w:pPr>
              <w:jc w:val="right"/>
              <w:ind w:right="20"/>
              <w:spacing w:after="0"/>
              <w:rPr>
                <w:sz w:val="20"/>
                <w:szCs w:val="20"/>
                <w:color w:val="auto"/>
              </w:rPr>
            </w:pPr>
            <w:r>
              <w:rPr>
                <w:rFonts w:ascii="Arial" w:cs="Arial" w:eastAsia="Arial" w:hAnsi="Arial"/>
                <w:sz w:val="17"/>
                <w:szCs w:val="17"/>
                <w:color w:val="auto"/>
              </w:rPr>
              <w:t>5,787</w:t>
            </w:r>
          </w:p>
        </w:tc>
        <w:tc>
          <w:tcPr>
            <w:tcW w:w="1580" w:type="dxa"/>
            <w:vAlign w:val="bottom"/>
          </w:tcPr>
          <w:p>
            <w:pPr>
              <w:jc w:val="right"/>
              <w:ind w:right="201"/>
              <w:spacing w:after="0"/>
              <w:rPr>
                <w:sz w:val="20"/>
                <w:szCs w:val="20"/>
                <w:color w:val="auto"/>
              </w:rPr>
            </w:pPr>
            <w:r>
              <w:rPr>
                <w:rFonts w:ascii="Arial" w:cs="Arial" w:eastAsia="Arial" w:hAnsi="Arial"/>
                <w:sz w:val="17"/>
                <w:szCs w:val="17"/>
                <w:color w:val="auto"/>
              </w:rPr>
              <w:t>6,594</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9,891</w:t>
            </w:r>
          </w:p>
        </w:tc>
        <w:tc>
          <w:tcPr>
            <w:tcW w:w="560" w:type="dxa"/>
            <w:vAlign w:val="bottom"/>
          </w:tcPr>
          <w:p>
            <w:pPr>
              <w:spacing w:after="0"/>
              <w:rPr>
                <w:sz w:val="18"/>
                <w:szCs w:val="18"/>
                <w:color w:val="auto"/>
              </w:rPr>
            </w:pPr>
          </w:p>
        </w:tc>
      </w:tr>
      <w:tr>
        <w:trPr>
          <w:trHeight w:val="212"/>
        </w:trPr>
        <w:tc>
          <w:tcPr>
            <w:tcW w:w="580" w:type="dxa"/>
            <w:vAlign w:val="bottom"/>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7"/>
                <w:szCs w:val="17"/>
                <w:color w:val="auto"/>
              </w:rPr>
              <w:t>License fees and other</w:t>
            </w:r>
          </w:p>
        </w:tc>
        <w:tc>
          <w:tcPr>
            <w:tcW w:w="2600" w:type="dxa"/>
            <w:vAlign w:val="bottom"/>
            <w:gridSpan w:val="2"/>
            <w:shd w:val="clear" w:color="auto" w:fill="EEEEEE"/>
          </w:tcPr>
          <w:p>
            <w:pPr>
              <w:jc w:val="right"/>
              <w:ind w:right="20"/>
              <w:spacing w:after="0"/>
              <w:rPr>
                <w:sz w:val="20"/>
                <w:szCs w:val="20"/>
                <w:color w:val="auto"/>
              </w:rPr>
            </w:pPr>
            <w:r>
              <w:rPr>
                <w:rFonts w:ascii="Arial" w:cs="Arial" w:eastAsia="Arial" w:hAnsi="Arial"/>
                <w:sz w:val="17"/>
                <w:szCs w:val="17"/>
                <w:color w:val="auto"/>
              </w:rPr>
              <w:t>73</w:t>
            </w:r>
          </w:p>
        </w:tc>
        <w:tc>
          <w:tcPr>
            <w:tcW w:w="1580" w:type="dxa"/>
            <w:vAlign w:val="bottom"/>
            <w:shd w:val="clear" w:color="auto" w:fill="EEEEEE"/>
          </w:tcPr>
          <w:p>
            <w:pPr>
              <w:jc w:val="right"/>
              <w:ind w:right="201"/>
              <w:spacing w:after="0"/>
              <w:rPr>
                <w:sz w:val="20"/>
                <w:szCs w:val="20"/>
                <w:color w:val="auto"/>
              </w:rPr>
            </w:pPr>
            <w:r>
              <w:rPr>
                <w:rFonts w:ascii="Arial" w:cs="Arial" w:eastAsia="Arial" w:hAnsi="Arial"/>
                <w:sz w:val="17"/>
                <w:szCs w:val="17"/>
                <w:color w:val="auto"/>
              </w:rPr>
              <w:t>2</w:t>
            </w:r>
          </w:p>
        </w:tc>
        <w:tc>
          <w:tcPr>
            <w:tcW w:w="2000" w:type="dxa"/>
            <w:vAlign w:val="bottom"/>
            <w:gridSpan w:val="2"/>
            <w:shd w:val="clear" w:color="auto" w:fill="EEEEEE"/>
          </w:tcPr>
          <w:p>
            <w:pPr>
              <w:jc w:val="right"/>
              <w:ind w:right="494"/>
              <w:spacing w:after="0"/>
              <w:rPr>
                <w:sz w:val="20"/>
                <w:szCs w:val="20"/>
                <w:color w:val="auto"/>
              </w:rPr>
            </w:pPr>
            <w:r>
              <w:rPr>
                <w:rFonts w:ascii="Arial" w:cs="Arial" w:eastAsia="Arial" w:hAnsi="Arial"/>
                <w:sz w:val="17"/>
                <w:szCs w:val="17"/>
                <w:color w:val="auto"/>
              </w:rPr>
              <w:t>16</w:t>
            </w:r>
          </w:p>
        </w:tc>
        <w:tc>
          <w:tcPr>
            <w:tcW w:w="560" w:type="dxa"/>
            <w:vAlign w:val="bottom"/>
          </w:tcPr>
          <w:p>
            <w:pPr>
              <w:spacing w:after="0"/>
              <w:rPr>
                <w:sz w:val="18"/>
                <w:szCs w:val="18"/>
                <w:color w:val="auto"/>
              </w:rPr>
            </w:pPr>
          </w:p>
        </w:tc>
      </w:tr>
      <w:tr>
        <w:trPr>
          <w:trHeight w:val="106"/>
        </w:trPr>
        <w:tc>
          <w:tcPr>
            <w:tcW w:w="58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gridSpan w:val="2"/>
          </w:tcPr>
          <w:p>
            <w:pPr>
              <w:spacing w:after="0"/>
              <w:rPr>
                <w:sz w:val="9"/>
                <w:szCs w:val="9"/>
                <w:color w:val="auto"/>
              </w:rPr>
            </w:pPr>
          </w:p>
        </w:tc>
        <w:tc>
          <w:tcPr>
            <w:tcW w:w="560" w:type="dxa"/>
            <w:vAlign w:val="bottom"/>
          </w:tcPr>
          <w:p>
            <w:pPr>
              <w:spacing w:after="0"/>
              <w:rPr>
                <w:sz w:val="9"/>
                <w:szCs w:val="9"/>
                <w:color w:val="auto"/>
              </w:rPr>
            </w:pPr>
          </w:p>
        </w:tc>
      </w:tr>
      <w:tr>
        <w:trPr>
          <w:trHeight w:val="308"/>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0" w:type="dxa"/>
            <w:vAlign w:val="bottom"/>
            <w:gridSpan w:val="2"/>
          </w:tcPr>
          <w:p>
            <w:pPr>
              <w:jc w:val="right"/>
              <w:ind w:right="20"/>
              <w:spacing w:after="0"/>
              <w:rPr>
                <w:sz w:val="20"/>
                <w:szCs w:val="20"/>
                <w:color w:val="auto"/>
              </w:rPr>
            </w:pPr>
            <w:r>
              <w:rPr>
                <w:rFonts w:ascii="Arial" w:cs="Arial" w:eastAsia="Arial" w:hAnsi="Arial"/>
                <w:sz w:val="17"/>
                <w:szCs w:val="17"/>
                <w:color w:val="auto"/>
              </w:rPr>
              <w:t>$39,047</w:t>
            </w:r>
          </w:p>
        </w:tc>
        <w:tc>
          <w:tcPr>
            <w:tcW w:w="1580" w:type="dxa"/>
            <w:vAlign w:val="bottom"/>
          </w:tcPr>
          <w:p>
            <w:pPr>
              <w:jc w:val="right"/>
              <w:ind w:right="201"/>
              <w:spacing w:after="0"/>
              <w:rPr>
                <w:sz w:val="20"/>
                <w:szCs w:val="20"/>
                <w:color w:val="auto"/>
              </w:rPr>
            </w:pPr>
            <w:r>
              <w:rPr>
                <w:rFonts w:ascii="Arial" w:cs="Arial" w:eastAsia="Arial" w:hAnsi="Arial"/>
                <w:sz w:val="17"/>
                <w:szCs w:val="17"/>
                <w:color w:val="auto"/>
              </w:rPr>
              <w:t>$43,673</w:t>
            </w:r>
          </w:p>
        </w:tc>
        <w:tc>
          <w:tcPr>
            <w:tcW w:w="2000" w:type="dxa"/>
            <w:vAlign w:val="bottom"/>
            <w:gridSpan w:val="2"/>
          </w:tcPr>
          <w:p>
            <w:pPr>
              <w:jc w:val="right"/>
              <w:ind w:right="494"/>
              <w:spacing w:after="0"/>
              <w:rPr>
                <w:sz w:val="20"/>
                <w:szCs w:val="20"/>
                <w:color w:val="auto"/>
              </w:rPr>
            </w:pPr>
            <w:r>
              <w:rPr>
                <w:rFonts w:ascii="Arial" w:cs="Arial" w:eastAsia="Arial" w:hAnsi="Arial"/>
                <w:sz w:val="17"/>
                <w:szCs w:val="17"/>
                <w:color w:val="auto"/>
              </w:rPr>
              <w:t>$51,727</w:t>
            </w:r>
          </w:p>
        </w:tc>
        <w:tc>
          <w:tcPr>
            <w:tcW w:w="560" w:type="dxa"/>
            <w:vAlign w:val="bottom"/>
          </w:tcPr>
          <w:p>
            <w:pPr>
              <w:spacing w:after="0"/>
              <w:rPr>
                <w:sz w:val="24"/>
                <w:szCs w:val="24"/>
                <w:color w:val="auto"/>
              </w:rPr>
            </w:pPr>
          </w:p>
        </w:tc>
      </w:tr>
      <w:tr>
        <w:trPr>
          <w:trHeight w:val="109"/>
        </w:trPr>
        <w:tc>
          <w:tcPr>
            <w:tcW w:w="58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2600" w:type="dxa"/>
            <w:vAlign w:val="bottom"/>
            <w:tcBorders>
              <w:bottom w:val="single" w:sz="8" w:color="808080"/>
            </w:tcBorders>
            <w:gridSpan w:val="2"/>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560" w:type="dxa"/>
            <w:vAlign w:val="bottom"/>
          </w:tcPr>
          <w:p>
            <w:pPr>
              <w:spacing w:after="0"/>
              <w:rPr>
                <w:sz w:val="9"/>
                <w:szCs w:val="9"/>
                <w:color w:val="auto"/>
              </w:rPr>
            </w:pPr>
          </w:p>
        </w:tc>
      </w:tr>
      <w:tr>
        <w:trPr>
          <w:trHeight w:val="519"/>
        </w:trPr>
        <w:tc>
          <w:tcPr>
            <w:tcW w:w="5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0" w:type="dxa"/>
            <w:vAlign w:val="bottom"/>
            <w:gridSpan w:val="2"/>
          </w:tcPr>
          <w:p>
            <w:pPr>
              <w:jc w:val="right"/>
              <w:ind w:right="1400"/>
              <w:spacing w:after="0"/>
              <w:rPr>
                <w:sz w:val="20"/>
                <w:szCs w:val="20"/>
                <w:color w:val="auto"/>
              </w:rPr>
            </w:pPr>
            <w:r>
              <w:rPr>
                <w:rFonts w:ascii="Arial" w:cs="Arial" w:eastAsia="Arial" w:hAnsi="Arial"/>
                <w:sz w:val="17"/>
                <w:szCs w:val="17"/>
                <w:color w:val="auto"/>
              </w:rPr>
              <w:t>F-20</w:t>
            </w: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15" w:name="page116"/>
    <w:bookmarkEnd w:id="115"/>
    <w:p>
      <w:pPr>
        <w:ind w:left="480" w:hanging="474"/>
        <w:spacing w:after="0"/>
        <w:tabs>
          <w:tab w:leader="none" w:pos="48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color w:val="auto"/>
        </w:rPr>
        <w:t>Long-term debt</w:t>
      </w:r>
    </w:p>
    <w:p>
      <w:pPr>
        <w:spacing w:after="0" w:line="227"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On October 13, 1999, the Company entered into a $130,000,000 credit agreement with a group of banks. The credit agreement provides for an aggregate availability of $130,000,000, including a $115,000,000 term loan and a $15,000,000 revolving credit facility. Both facilities mature on September 30, 2005. The loans bear interest at the prime rate or Eurodollar rate plus an applicable margin, as defined in the agreement, and are collateralized by all the property of the Company. The Company had no amounts outstanding on the revolving credit facility at December 31, 2002 and 2003 and September 30, 2004. The term loan requires payments of principal quarterly with interest payable in either one-, two-, three-, or six-month periods as defined in the agreement. The interest rate on the term loan was 3.61% as of December 31, 2003. The agreement requires the Company to maintain certain financial covenants. The most restrictive covenants include (1) limitations on indebtedness of the Company; (2) certain restrictions on dividend distributions; (3) limitations on capital expenditures; (4) minimum interest coverage ratio;</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(5) maximum leverage ratio; and (6) minimum consolidated adjusted earnings before interest, taxes, depreciation, and amortization, all of the preceding as defined.</w:t>
      </w:r>
    </w:p>
    <w:p>
      <w:pPr>
        <w:spacing w:after="0" w:line="245"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During 2001, the Company amended its credit agreement. As part of this amendment, Blackbaud LLC (“LLC”), a wholly-owned subsidiary of the Company, was created. In addition, Blackbaud Europe and Blackbaud Pacific were incorporated in the United Kingdom and Australia, respectively. The Company transferred all of its operating assets to the LLC and then pledged both the stock and assets of the LLC, as well as 66% of its stock in both Blackbaud Europe and Blackbaud Pacific, to the bank as collateral for the Company’s outstanding term loan. This amendment also changed certain of the Company’s financial covenants and allowed for (1) up to $2.5 million in expansion expenditures to be incurred by the Company prior to June 30, 2002, as defined, and (2) modified the amount the Company could incur related to acquisition-related expenditures over the term of the agreement. As of December 31, 2003, the Company was in compliance with all of its covenants. The principal balance of the Company’s term loan was paid off during the first calendar quarter of 2004; accordingly, as of September 30, 2004, the Company had no remaining balance on the term loan.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The required future principal payments under the term loan outstanding as of December 31, 2003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351790</wp:posOffset>
            </wp:positionV>
            <wp:extent cx="43427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300" w:type="dxa"/>
        <w:tblCellMar>
          <w:top w:w="0" w:type="dxa"/>
          <w:left w:w="0" w:type="dxa"/>
          <w:bottom w:w="0" w:type="dxa"/>
          <w:right w:w="0" w:type="dxa"/>
        </w:tblCellMar>
      </w:tblPr>
      <w:tr>
        <w:trPr>
          <w:trHeight w:val="212"/>
        </w:trPr>
        <w:tc>
          <w:tcPr>
            <w:tcW w:w="3240" w:type="dxa"/>
            <w:vAlign w:val="bottom"/>
            <w:shd w:val="clear" w:color="auto" w:fill="EEEEEE"/>
          </w:tcPr>
          <w:p>
            <w:pPr>
              <w:jc w:val="right"/>
              <w:ind w:right="2814"/>
              <w:spacing w:after="0"/>
              <w:rPr>
                <w:sz w:val="20"/>
                <w:szCs w:val="20"/>
                <w:color w:val="auto"/>
              </w:rPr>
            </w:pPr>
            <w:r>
              <w:rPr>
                <w:rFonts w:ascii="Arial" w:cs="Arial" w:eastAsia="Arial" w:hAnsi="Arial"/>
                <w:sz w:val="17"/>
                <w:szCs w:val="17"/>
                <w:color w:val="auto"/>
                <w:w w:val="84"/>
              </w:rPr>
              <w:t>2004</w:t>
            </w:r>
          </w:p>
        </w:tc>
        <w:tc>
          <w:tcPr>
            <w:tcW w:w="3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rPr>
              <w:t>—</w:t>
            </w:r>
          </w:p>
        </w:tc>
      </w:tr>
      <w:tr>
        <w:trPr>
          <w:trHeight w:val="217"/>
        </w:trPr>
        <w:tc>
          <w:tcPr>
            <w:tcW w:w="3240" w:type="dxa"/>
            <w:vAlign w:val="bottom"/>
          </w:tcPr>
          <w:p>
            <w:pPr>
              <w:jc w:val="right"/>
              <w:ind w:right="2814"/>
              <w:spacing w:after="0"/>
              <w:rPr>
                <w:sz w:val="20"/>
                <w:szCs w:val="20"/>
                <w:color w:val="auto"/>
              </w:rPr>
            </w:pPr>
            <w:r>
              <w:rPr>
                <w:rFonts w:ascii="Arial" w:cs="Arial" w:eastAsia="Arial" w:hAnsi="Arial"/>
                <w:sz w:val="17"/>
                <w:szCs w:val="17"/>
                <w:color w:val="auto"/>
                <w:w w:val="84"/>
              </w:rPr>
              <w:t>2005</w:t>
            </w:r>
          </w:p>
        </w:tc>
        <w:tc>
          <w:tcPr>
            <w:tcW w:w="30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w w:val="89"/>
              </w:rPr>
              <w:t>5,000</w:t>
            </w:r>
          </w:p>
        </w:tc>
      </w:tr>
      <w:tr>
        <w:trPr>
          <w:trHeight w:val="100"/>
        </w:trPr>
        <w:tc>
          <w:tcPr>
            <w:tcW w:w="32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r>
      <w:tr>
        <w:trPr>
          <w:trHeight w:val="99"/>
        </w:trPr>
        <w:tc>
          <w:tcPr>
            <w:tcW w:w="32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2"/>
        </w:trPr>
        <w:tc>
          <w:tcPr>
            <w:tcW w:w="3240" w:type="dxa"/>
            <w:vAlign w:val="bottom"/>
            <w:shd w:val="clear" w:color="auto" w:fill="EEEEEE"/>
          </w:tcPr>
          <w:p>
            <w:pPr>
              <w:spacing w:after="0"/>
              <w:rPr>
                <w:sz w:val="18"/>
                <w:szCs w:val="18"/>
                <w:color w:val="auto"/>
              </w:rPr>
            </w:pPr>
          </w:p>
        </w:tc>
        <w:tc>
          <w:tcPr>
            <w:tcW w:w="30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EEEEEE"/>
          </w:tcPr>
          <w:p>
            <w:pPr>
              <w:jc w:val="right"/>
              <w:ind w:right="200"/>
              <w:spacing w:after="0"/>
              <w:rPr>
                <w:sz w:val="20"/>
                <w:szCs w:val="20"/>
                <w:color w:val="auto"/>
              </w:rPr>
            </w:pPr>
            <w:r>
              <w:rPr>
                <w:rFonts w:ascii="Arial" w:cs="Arial" w:eastAsia="Arial" w:hAnsi="Arial"/>
                <w:sz w:val="17"/>
                <w:szCs w:val="17"/>
                <w:color w:val="auto"/>
                <w:w w:val="89"/>
              </w:rPr>
              <w:t>5,000</w:t>
            </w:r>
          </w:p>
        </w:tc>
      </w:tr>
      <w:tr>
        <w:trPr>
          <w:trHeight w:val="106"/>
        </w:trPr>
        <w:tc>
          <w:tcPr>
            <w:tcW w:w="324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Amortization expense for deferred financing costs was $513,000, $935,000 and $858,000 for the years ended December 31, 2001, 2002 and 2003, and $702,000 and $156,000 for the nine months ended September 30, 2003 and 2004, respectively. Of these amounts, $0, $422,000 and $345,000 in 2001, 2002 and 2003, respectively, represented charges associated with earlier than required principal repayment. The deferred financing fees have been fully amortized to interest expense as of March 31, 2004 as a result of making the final debt payment.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Revolving Credit Facility (unaudited)</w:t>
      </w:r>
    </w:p>
    <w:p>
      <w:pPr>
        <w:spacing w:after="0" w:line="234"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September 30, 2004, the Company closed a new $30.0 million revolving credit facility, which replaces its prior $15.0 million revolving credit facility that was canceled in July 2004. Amounts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16" w:name="page117"/>
    <w:bookmarkEnd w:id="116"/>
    <w:p>
      <w:pPr>
        <w:ind w:right="100"/>
        <w:spacing w:after="0" w:line="266" w:lineRule="auto"/>
        <w:rPr>
          <w:sz w:val="20"/>
          <w:szCs w:val="20"/>
          <w:color w:val="auto"/>
        </w:rPr>
      </w:pPr>
      <w:r>
        <w:rPr>
          <w:rFonts w:ascii="Arial" w:cs="Arial" w:eastAsia="Arial" w:hAnsi="Arial"/>
          <w:sz w:val="17"/>
          <w:szCs w:val="17"/>
          <w:color w:val="auto"/>
        </w:rPr>
        <w:t>borrowed under the new $30.0 million revolving credit facility bear interest, at the Company’s option, at a variable rate based on either the prime rate, federal funds rate or LIBOR plus a margin of between 0.5% and 2.0% based on the Company’s consolidated leverage ratio. Amounts outstanding under the new facility are not secured by a lien on the Company’s assets, but are guaranteed by the Company’s operating subsidiaries and the facility is subject to certain covenants including a maximum leverage ratio, minimum interest coverage ratio and minimum net worth. There were no principal or interest amounts outstanding under the facility as of September 30, 2004. The termination date of the facility is September 30, 2007.</w:t>
      </w:r>
    </w:p>
    <w:p>
      <w:pPr>
        <w:spacing w:after="0" w:line="168" w:lineRule="exact"/>
        <w:rPr>
          <w:sz w:val="20"/>
          <w:szCs w:val="20"/>
          <w:color w:val="auto"/>
        </w:rPr>
      </w:pPr>
    </w:p>
    <w:p>
      <w:pPr>
        <w:ind w:left="480" w:hanging="474"/>
        <w:spacing w:after="0"/>
        <w:tabs>
          <w:tab w:leader="none" w:pos="48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color w:val="auto"/>
        </w:rPr>
        <w:t>Derivative financial instruments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Company’s only derivative instrument, as defined under the various technical pronouncement discussed in note 1, is its interest rate swap.</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formally documents all relations between its hedging instruments and the hedged items, as well as its risk-management objectives and strategy for undertaking various hedge transactions. The Company formally assesses, both at the hedge’s inception and on an ongoing basis, whether the derivatives that are used in hedging transactions are highly effective in offsetting changes in the hedged items.</w:t>
      </w:r>
    </w:p>
    <w:p>
      <w:pPr>
        <w:spacing w:after="0" w:line="18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 Company has used interest rate swap agreements in the normal course of business to manage its exposure to interest rate changes. Such agreements are considered hedges of specific borrowings, and differences paid and received under the swap agreements are recognized as adjustments to interest expense. At December 31, 2002, the Company had an interest rate swap agreement that carried a total notional amount of $50,000,000, with the Company paying interest at a fixed rate of 2.738% and receiving a variable amount equal to the one-month Eurodollar rate (1.38% at December 31, 2002). The swap matured on December 29, 2003, and the notional amount of the swap decreased over time commensurate with scheduled repayments of the Company’s debt. The Company recorded interest expense in connection with the swap agreement of $750,000, $503,000 and $423,000 and for the years ended December 31, 2001, 2002 and 2003, and $366,000 and $0 for the nine months ended September 30, 2003 and 2004,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no outstanding interest rate swap agreements, or other derivative instruments outstanding as of December 31, 2003 and September 30, 2004.</w:t>
      </w:r>
    </w:p>
    <w:p>
      <w:pPr>
        <w:spacing w:after="0" w:line="232" w:lineRule="exact"/>
        <w:rPr>
          <w:sz w:val="20"/>
          <w:szCs w:val="20"/>
          <w:color w:val="auto"/>
        </w:rPr>
      </w:pPr>
    </w:p>
    <w:p>
      <w:pPr>
        <w:ind w:left="580" w:hanging="574"/>
        <w:spacing w:after="0"/>
        <w:tabs>
          <w:tab w:leader="none" w:pos="58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color w:val="auto"/>
        </w:rPr>
        <w:t>Commitments and contingencies</w:t>
      </w:r>
    </w:p>
    <w:p>
      <w:pPr>
        <w:spacing w:after="0" w:line="227" w:lineRule="exact"/>
        <w:rPr>
          <w:sz w:val="20"/>
          <w:szCs w:val="20"/>
          <w:color w:val="auto"/>
        </w:rPr>
      </w:pPr>
    </w:p>
    <w:p>
      <w:pPr>
        <w:ind w:right="240"/>
        <w:spacing w:after="0" w:line="319" w:lineRule="auto"/>
        <w:rPr>
          <w:sz w:val="20"/>
          <w:szCs w:val="20"/>
          <w:color w:val="auto"/>
        </w:rPr>
      </w:pPr>
      <w:r>
        <w:rPr>
          <w:rFonts w:ascii="Arial" w:cs="Arial" w:eastAsia="Arial" w:hAnsi="Arial"/>
          <w:sz w:val="16"/>
          <w:szCs w:val="16"/>
          <w:color w:val="auto"/>
        </w:rPr>
        <w:t>The Company currently leases office space and various equipment under operating leases and capital leases. Total rental expense was $3,064,000, $3,434,000 and $3,495,000 for the years ended December 31, 2001, 2002 and 2003, and $1,352,499 and $1,690,752 for the nine months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25" w:right="279" w:bottom="1440" w:gutter="0" w:footer="0" w:header="0"/>
        </w:sectPr>
      </w:pPr>
    </w:p>
    <w:bookmarkStart w:id="117" w:name="page118"/>
    <w:bookmarkEnd w:id="117"/>
    <w:p>
      <w:pPr>
        <w:ind w:right="320"/>
        <w:spacing w:after="0" w:line="286" w:lineRule="auto"/>
        <w:rPr>
          <w:sz w:val="20"/>
          <w:szCs w:val="20"/>
          <w:color w:val="auto"/>
        </w:rPr>
      </w:pPr>
      <w:r>
        <w:rPr>
          <w:rFonts w:ascii="Arial" w:cs="Arial" w:eastAsia="Arial" w:hAnsi="Arial"/>
          <w:sz w:val="17"/>
          <w:szCs w:val="17"/>
          <w:color w:val="auto"/>
        </w:rPr>
        <w:t>ended September 30, 2003 and 2004, respectively. The future minimum lease commitments related to these agreements, as well as the lease agreement discussed below,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179705</wp:posOffset>
            </wp:positionV>
            <wp:extent cx="57962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366" w:lineRule="exact"/>
        <w:rPr>
          <w:sz w:val="20"/>
          <w:szCs w:val="20"/>
          <w:color w:val="auto"/>
        </w:rPr>
      </w:pPr>
    </w:p>
    <w:tbl>
      <w:tblPr>
        <w:tblLayout w:type="fixed"/>
        <w:tblInd w:w="1160" w:type="dxa"/>
        <w:tblCellMar>
          <w:top w:w="0" w:type="dxa"/>
          <w:left w:w="0" w:type="dxa"/>
          <w:bottom w:w="0" w:type="dxa"/>
          <w:right w:w="0" w:type="dxa"/>
        </w:tblCellMar>
      </w:tblPr>
      <w:tr>
        <w:trPr>
          <w:trHeight w:val="149"/>
        </w:trPr>
        <w:tc>
          <w:tcPr>
            <w:tcW w:w="6480" w:type="dxa"/>
            <w:vAlign w:val="bottom"/>
            <w:gridSpan w:val="2"/>
          </w:tcPr>
          <w:p>
            <w:pPr>
              <w:spacing w:after="0"/>
              <w:rPr>
                <w:sz w:val="20"/>
                <w:szCs w:val="20"/>
                <w:color w:val="auto"/>
              </w:rPr>
            </w:pPr>
            <w:r>
              <w:rPr>
                <w:rFonts w:ascii="Arial" w:cs="Arial" w:eastAsia="Arial" w:hAnsi="Arial"/>
                <w:sz w:val="13"/>
                <w:szCs w:val="13"/>
                <w:b w:val="1"/>
                <w:bCs w:val="1"/>
                <w:color w:val="auto"/>
              </w:rPr>
              <w:t>Year ending December 31,</w:t>
            </w:r>
          </w:p>
        </w:tc>
        <w:tc>
          <w:tcPr>
            <w:tcW w:w="1460" w:type="dxa"/>
            <w:vAlign w:val="bottom"/>
            <w:gridSpan w:val="2"/>
          </w:tcPr>
          <w:p>
            <w:pPr>
              <w:ind w:left="400"/>
              <w:spacing w:after="0"/>
              <w:rPr>
                <w:sz w:val="20"/>
                <w:szCs w:val="20"/>
                <w:color w:val="auto"/>
              </w:rPr>
            </w:pPr>
            <w:r>
              <w:rPr>
                <w:rFonts w:ascii="Arial" w:cs="Arial" w:eastAsia="Arial" w:hAnsi="Arial"/>
                <w:sz w:val="13"/>
                <w:szCs w:val="13"/>
                <w:b w:val="1"/>
                <w:bCs w:val="1"/>
                <w:color w:val="auto"/>
              </w:rPr>
              <w:t>Operating</w:t>
            </w:r>
          </w:p>
        </w:tc>
        <w:tc>
          <w:tcPr>
            <w:tcW w:w="1180" w:type="dxa"/>
            <w:vAlign w:val="bottom"/>
            <w:gridSpan w:val="3"/>
          </w:tcPr>
          <w:p>
            <w:pPr>
              <w:ind w:left="480"/>
              <w:spacing w:after="0"/>
              <w:rPr>
                <w:sz w:val="20"/>
                <w:szCs w:val="20"/>
                <w:color w:val="auto"/>
              </w:rPr>
            </w:pPr>
            <w:r>
              <w:rPr>
                <w:rFonts w:ascii="Arial" w:cs="Arial" w:eastAsia="Arial" w:hAnsi="Arial"/>
                <w:sz w:val="13"/>
                <w:szCs w:val="13"/>
                <w:b w:val="1"/>
                <w:bCs w:val="1"/>
                <w:color w:val="auto"/>
              </w:rPr>
              <w:t>Capital</w:t>
            </w:r>
          </w:p>
        </w:tc>
        <w:tc>
          <w:tcPr>
            <w:tcW w:w="0" w:type="dxa"/>
            <w:vAlign w:val="bottom"/>
          </w:tcPr>
          <w:p>
            <w:pPr>
              <w:spacing w:after="0"/>
              <w:rPr>
                <w:sz w:val="1"/>
                <w:szCs w:val="1"/>
                <w:color w:val="auto"/>
              </w:rPr>
            </w:pPr>
          </w:p>
        </w:tc>
      </w:tr>
      <w:tr>
        <w:trPr>
          <w:trHeight w:val="170"/>
        </w:trPr>
        <w:tc>
          <w:tcPr>
            <w:tcW w:w="648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500" w:type="dxa"/>
            <w:vAlign w:val="bottom"/>
          </w:tcPr>
          <w:p>
            <w:pPr>
              <w:spacing w:after="0"/>
              <w:rPr>
                <w:sz w:val="14"/>
                <w:szCs w:val="14"/>
                <w:color w:val="auto"/>
              </w:rPr>
            </w:pPr>
          </w:p>
        </w:tc>
        <w:tc>
          <w:tcPr>
            <w:tcW w:w="960" w:type="dxa"/>
            <w:vAlign w:val="bottom"/>
          </w:tcPr>
          <w:p>
            <w:pPr>
              <w:jc w:val="right"/>
              <w:ind w:right="516"/>
              <w:spacing w:after="0"/>
              <w:rPr>
                <w:sz w:val="20"/>
                <w:szCs w:val="20"/>
                <w:color w:val="auto"/>
              </w:rPr>
            </w:pPr>
            <w:r>
              <w:rPr>
                <w:rFonts w:ascii="Arial" w:cs="Arial" w:eastAsia="Arial" w:hAnsi="Arial"/>
                <w:sz w:val="13"/>
                <w:szCs w:val="13"/>
                <w:b w:val="1"/>
                <w:bCs w:val="1"/>
                <w:color w:val="auto"/>
                <w:w w:val="85"/>
              </w:rPr>
              <w:t>leases</w:t>
            </w:r>
          </w:p>
        </w:tc>
        <w:tc>
          <w:tcPr>
            <w:tcW w:w="118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leases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2004</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4,105</w:t>
            </w:r>
          </w:p>
        </w:tc>
        <w:tc>
          <w:tcPr>
            <w:tcW w:w="560" w:type="dxa"/>
            <w:vAlign w:val="bottom"/>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153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2005</w:t>
            </w:r>
          </w:p>
        </w:tc>
        <w:tc>
          <w:tcPr>
            <w:tcW w:w="500" w:type="dxa"/>
            <w:vAlign w:val="bottom"/>
          </w:tcPr>
          <w:p>
            <w:pPr>
              <w:spacing w:after="0"/>
              <w:rPr>
                <w:sz w:val="18"/>
                <w:szCs w:val="18"/>
                <w:color w:val="auto"/>
              </w:rPr>
            </w:pPr>
          </w:p>
        </w:tc>
        <w:tc>
          <w:tcPr>
            <w:tcW w:w="960" w:type="dxa"/>
            <w:vAlign w:val="bottom"/>
          </w:tcPr>
          <w:p>
            <w:pPr>
              <w:jc w:val="right"/>
              <w:ind w:right="396"/>
              <w:spacing w:after="0"/>
              <w:rPr>
                <w:sz w:val="20"/>
                <w:szCs w:val="20"/>
                <w:color w:val="auto"/>
              </w:rPr>
            </w:pPr>
            <w:r>
              <w:rPr>
                <w:rFonts w:ascii="Arial" w:cs="Arial" w:eastAsia="Arial" w:hAnsi="Arial"/>
                <w:sz w:val="17"/>
                <w:szCs w:val="17"/>
                <w:color w:val="auto"/>
              </w:rPr>
              <w:t>4,282</w:t>
            </w: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2006</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4,373</w:t>
            </w:r>
          </w:p>
        </w:tc>
        <w:tc>
          <w:tcPr>
            <w:tcW w:w="5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2007</w:t>
            </w:r>
          </w:p>
        </w:tc>
        <w:tc>
          <w:tcPr>
            <w:tcW w:w="500" w:type="dxa"/>
            <w:vAlign w:val="bottom"/>
          </w:tcPr>
          <w:p>
            <w:pPr>
              <w:spacing w:after="0"/>
              <w:rPr>
                <w:sz w:val="18"/>
                <w:szCs w:val="18"/>
                <w:color w:val="auto"/>
              </w:rPr>
            </w:pPr>
          </w:p>
        </w:tc>
        <w:tc>
          <w:tcPr>
            <w:tcW w:w="960" w:type="dxa"/>
            <w:vAlign w:val="bottom"/>
          </w:tcPr>
          <w:p>
            <w:pPr>
              <w:jc w:val="right"/>
              <w:ind w:right="396"/>
              <w:spacing w:after="0"/>
              <w:rPr>
                <w:sz w:val="20"/>
                <w:szCs w:val="20"/>
                <w:color w:val="auto"/>
              </w:rPr>
            </w:pPr>
            <w:r>
              <w:rPr>
                <w:rFonts w:ascii="Arial" w:cs="Arial" w:eastAsia="Arial" w:hAnsi="Arial"/>
                <w:sz w:val="17"/>
                <w:szCs w:val="17"/>
                <w:color w:val="auto"/>
              </w:rPr>
              <w:t>4,385</w:t>
            </w:r>
          </w:p>
        </w:tc>
        <w:tc>
          <w:tcPr>
            <w:tcW w:w="5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2008</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rPr>
              <w:t>4,779</w:t>
            </w:r>
          </w:p>
        </w:tc>
        <w:tc>
          <w:tcPr>
            <w:tcW w:w="5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Thereafter</w:t>
            </w:r>
          </w:p>
        </w:tc>
        <w:tc>
          <w:tcPr>
            <w:tcW w:w="500" w:type="dxa"/>
            <w:vAlign w:val="bottom"/>
          </w:tcPr>
          <w:p>
            <w:pPr>
              <w:spacing w:after="0"/>
              <w:rPr>
                <w:sz w:val="18"/>
                <w:szCs w:val="18"/>
                <w:color w:val="auto"/>
              </w:rPr>
            </w:pPr>
          </w:p>
        </w:tc>
        <w:tc>
          <w:tcPr>
            <w:tcW w:w="960" w:type="dxa"/>
            <w:vAlign w:val="bottom"/>
          </w:tcPr>
          <w:p>
            <w:pPr>
              <w:jc w:val="right"/>
              <w:ind w:right="396"/>
              <w:spacing w:after="0"/>
              <w:rPr>
                <w:sz w:val="20"/>
                <w:szCs w:val="20"/>
                <w:color w:val="auto"/>
              </w:rPr>
            </w:pPr>
            <w:r>
              <w:rPr>
                <w:rFonts w:ascii="Arial" w:cs="Arial" w:eastAsia="Arial" w:hAnsi="Arial"/>
                <w:sz w:val="17"/>
                <w:szCs w:val="17"/>
                <w:color w:val="auto"/>
              </w:rPr>
              <w:t>7,930</w:t>
            </w:r>
          </w:p>
        </w:tc>
        <w:tc>
          <w:tcPr>
            <w:tcW w:w="5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Total minimum lease payments</w:t>
            </w:r>
          </w:p>
        </w:tc>
        <w:tc>
          <w:tcPr>
            <w:tcW w:w="500" w:type="dxa"/>
            <w:vAlign w:val="bottom"/>
            <w:shd w:val="clear" w:color="auto" w:fill="EEEEEE"/>
          </w:tcPr>
          <w:p>
            <w:pPr>
              <w:ind w:left="42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ind w:right="396"/>
              <w:spacing w:after="0"/>
              <w:rPr>
                <w:sz w:val="20"/>
                <w:szCs w:val="20"/>
                <w:color w:val="auto"/>
              </w:rPr>
            </w:pPr>
            <w:r>
              <w:rPr>
                <w:rFonts w:ascii="Arial" w:cs="Arial" w:eastAsia="Arial" w:hAnsi="Arial"/>
                <w:sz w:val="17"/>
                <w:szCs w:val="17"/>
                <w:color w:val="auto"/>
                <w:w w:val="88"/>
              </w:rPr>
              <w:t>29,854</w:t>
            </w: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197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Less: portion representing interest</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11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EEEEEE"/>
            </w:tcBorders>
            <w:shd w:val="clear" w:color="auto" w:fill="EEEEEE"/>
          </w:tcPr>
          <w:p>
            <w:pPr>
              <w:spacing w:after="0"/>
              <w:rPr>
                <w:sz w:val="9"/>
                <w:szCs w:val="9"/>
                <w:color w:val="auto"/>
              </w:rPr>
            </w:pPr>
          </w:p>
        </w:tc>
        <w:tc>
          <w:tcPr>
            <w:tcW w:w="500" w:type="dxa"/>
            <w:vAlign w:val="bottom"/>
            <w:tcBorders>
              <w:bottom w:val="single" w:sz="8" w:color="EEEEEE"/>
            </w:tcBorders>
            <w:shd w:val="clear" w:color="auto" w:fill="EEEEEE"/>
          </w:tcPr>
          <w:p>
            <w:pPr>
              <w:spacing w:after="0"/>
              <w:rPr>
                <w:sz w:val="9"/>
                <w:szCs w:val="9"/>
                <w:color w:val="auto"/>
              </w:rPr>
            </w:pPr>
          </w:p>
        </w:tc>
        <w:tc>
          <w:tcPr>
            <w:tcW w:w="960" w:type="dxa"/>
            <w:vAlign w:val="bottom"/>
            <w:tcBorders>
              <w:bottom w:val="single" w:sz="8" w:color="EEEEEE"/>
            </w:tcBorders>
            <w:shd w:val="clear" w:color="auto" w:fill="EEEEEE"/>
          </w:tcPr>
          <w:p>
            <w:pPr>
              <w:spacing w:after="0"/>
              <w:rPr>
                <w:sz w:val="9"/>
                <w:szCs w:val="9"/>
                <w:color w:val="auto"/>
              </w:rPr>
            </w:pPr>
          </w:p>
        </w:tc>
        <w:tc>
          <w:tcPr>
            <w:tcW w:w="560" w:type="dxa"/>
            <w:vAlign w:val="bottom"/>
            <w:tcBorders>
              <w:bottom w:val="single" w:sz="8" w:color="EEEEEE"/>
            </w:tcBorders>
            <w:shd w:val="clear" w:color="auto" w:fill="EEEEEE"/>
          </w:tcPr>
          <w:p>
            <w:pPr>
              <w:spacing w:after="0"/>
              <w:rPr>
                <w:sz w:val="9"/>
                <w:szCs w:val="9"/>
                <w:color w:val="auto"/>
              </w:rPr>
            </w:pPr>
          </w:p>
        </w:tc>
        <w:tc>
          <w:tcPr>
            <w:tcW w:w="260" w:type="dxa"/>
            <w:vAlign w:val="bottom"/>
            <w:tcBorders>
              <w:bottom w:val="single" w:sz="8" w:color="808080"/>
            </w:tcBorders>
            <w:shd w:val="clear" w:color="auto" w:fill="EEEEEE"/>
          </w:tcPr>
          <w:p>
            <w:pPr>
              <w:spacing w:after="0"/>
              <w:rPr>
                <w:sz w:val="9"/>
                <w:szCs w:val="9"/>
                <w:color w:val="auto"/>
              </w:rPr>
            </w:pPr>
          </w:p>
        </w:tc>
        <w:tc>
          <w:tcPr>
            <w:tcW w:w="360" w:type="dxa"/>
            <w:vAlign w:val="bottom"/>
            <w:tcBorders>
              <w:bottom w:val="single" w:sz="8" w:color="EEEEEE"/>
            </w:tcBorders>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shd w:val="clear" w:color="auto" w:fill="EEEEEE"/>
          </w:tcPr>
          <w:p>
            <w:pPr>
              <w:spacing w:after="0"/>
              <w:rPr>
                <w:sz w:val="8"/>
                <w:szCs w:val="8"/>
                <w:color w:val="auto"/>
              </w:rPr>
            </w:pPr>
          </w:p>
        </w:tc>
        <w:tc>
          <w:tcPr>
            <w:tcW w:w="500" w:type="dxa"/>
            <w:vAlign w:val="bottom"/>
            <w:shd w:val="clear" w:color="auto" w:fill="EEEEEE"/>
          </w:tcPr>
          <w:p>
            <w:pPr>
              <w:spacing w:after="0"/>
              <w:rPr>
                <w:sz w:val="8"/>
                <w:szCs w:val="8"/>
                <w:color w:val="auto"/>
              </w:rPr>
            </w:pPr>
          </w:p>
        </w:tc>
        <w:tc>
          <w:tcPr>
            <w:tcW w:w="960" w:type="dxa"/>
            <w:vAlign w:val="bottom"/>
            <w:shd w:val="clear" w:color="auto" w:fill="EEEEEE"/>
          </w:tcPr>
          <w:p>
            <w:pPr>
              <w:spacing w:after="0"/>
              <w:rPr>
                <w:sz w:val="8"/>
                <w:szCs w:val="8"/>
                <w:color w:val="auto"/>
              </w:rPr>
            </w:pPr>
          </w:p>
        </w:tc>
        <w:tc>
          <w:tcPr>
            <w:tcW w:w="560" w:type="dxa"/>
            <w:vAlign w:val="bottom"/>
            <w:shd w:val="clear" w:color="auto" w:fill="EEEEEE"/>
          </w:tcPr>
          <w:p>
            <w:pPr>
              <w:spacing w:after="0"/>
              <w:rPr>
                <w:sz w:val="8"/>
                <w:szCs w:val="8"/>
                <w:color w:val="auto"/>
              </w:rPr>
            </w:pPr>
          </w:p>
        </w:tc>
        <w:tc>
          <w:tcPr>
            <w:tcW w:w="260" w:type="dxa"/>
            <w:vAlign w:val="bottom"/>
            <w:shd w:val="clear" w:color="auto" w:fill="EEEEEE"/>
          </w:tcPr>
          <w:p>
            <w:pPr>
              <w:spacing w:after="0"/>
              <w:rPr>
                <w:sz w:val="8"/>
                <w:szCs w:val="8"/>
                <w:color w:val="auto"/>
              </w:rPr>
            </w:pPr>
          </w:p>
        </w:tc>
        <w:tc>
          <w:tcPr>
            <w:tcW w:w="36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Present value of net minimum lease payments</w:t>
            </w: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186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Less: current maturities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4"/>
              </w:rPr>
              <w:t>142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9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460" w:type="dxa"/>
            <w:vAlign w:val="bottom"/>
            <w:shd w:val="clear" w:color="auto" w:fill="EEEEEE"/>
          </w:tcPr>
          <w:p>
            <w:pPr>
              <w:spacing w:after="0"/>
              <w:rPr>
                <w:sz w:val="20"/>
                <w:szCs w:val="20"/>
                <w:color w:val="auto"/>
              </w:rPr>
            </w:pPr>
            <w:r>
              <w:rPr>
                <w:rFonts w:ascii="Arial" w:cs="Arial" w:eastAsia="Arial" w:hAnsi="Arial"/>
                <w:sz w:val="17"/>
                <w:szCs w:val="17"/>
                <w:color w:val="auto"/>
              </w:rPr>
              <w:t>Long-term maturities</w:t>
            </w:r>
          </w:p>
        </w:tc>
        <w:tc>
          <w:tcPr>
            <w:tcW w:w="5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560" w:type="dxa"/>
            <w:vAlign w:val="bottom"/>
            <w:shd w:val="clear" w:color="auto" w:fill="EEEEEE"/>
          </w:tcPr>
          <w:p>
            <w:pPr>
              <w:ind w:left="4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4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 agreement</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October 13, 1999, the Company entered into a lease agreement for office space with Duck Pond Creek, LLC, which is owned by certain minority shareholders of the Company. The term of the lease is for ten years with two five-year renewal options by the Company. The annual base rent of the lease is $4,316,000 payable in equal monthly installments and is included in the above table. The base rate escalates annually at a rate equal to the change in the consumer price index, as defined in the agreement.</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has subleased a portion of its headquarters facility under various agreements extending through 2007. Under these agreements, rent expense was reduced by $1,171,000, $477,000 and $441,000 in 2001, 2002 and 2003 and $341,000 and $346,000 for the nine months ended September 30, 2003 and 2004, respectively. The operating lease commitments above will be reduced by minimum aggregate sublease commitments of $497,000, $393,000, $402,000, $395,000, $54,000 and $0 for the periods 2004, 2005, 2006, 2007 and 2008 and thereafter, respectively. The Company has also received and expects to receive through 2015 quarterly South Carolina state incentive payments as a result of locating its headquarters facility in Berkley County, South Carolina. These amounts are recorded as a reduction of rent expense and were $0, $848,000 and $1,077,000 in 2001, 2002 and 2003, and $852,000 and $804,000 for the nine months ended September 30, 2003 and 2004,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w:t>
      </w:r>
    </w:p>
    <w:p>
      <w:pPr>
        <w:spacing w:after="0" w:line="234"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The Company has a commitment of $200,000 payable annually through 2009 for certain naming rights with an entity owned by a minority shareholder of the Company. The Company incurred expense under this agreement of $200,000 per year for each of the three years ended December 31, 2001, 2002 and 2003 and $150,000 for the nine month period ending September 30, 2004.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5" w:right="259" w:bottom="1440" w:gutter="0" w:footer="0" w:header="0"/>
        </w:sectPr>
      </w:pPr>
    </w:p>
    <w:bookmarkStart w:id="118" w:name="page119"/>
    <w:bookmarkEnd w:id="118"/>
    <w:p>
      <w:pPr>
        <w:ind w:right="260"/>
        <w:spacing w:after="0" w:line="356" w:lineRule="auto"/>
        <w:rPr>
          <w:sz w:val="20"/>
          <w:szCs w:val="20"/>
          <w:color w:val="auto"/>
        </w:rPr>
      </w:pPr>
      <w:r>
        <w:rPr>
          <w:rFonts w:ascii="Arial" w:cs="Arial" w:eastAsia="Arial" w:hAnsi="Arial"/>
          <w:sz w:val="15"/>
          <w:szCs w:val="15"/>
          <w:color w:val="auto"/>
        </w:rPr>
        <w:t>The Company utilizes third party relationships in conjunction with its products. The contractual arrangements vary in length from one to three years. One of these arrangements requires a minimum annual purchase commitment of $50,000, an amount which the Company has exceeded in each of the past three years.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contingencies</w:t>
      </w:r>
    </w:p>
    <w:p>
      <w:pPr>
        <w:spacing w:after="0" w:line="234" w:lineRule="exact"/>
        <w:rPr>
          <w:sz w:val="20"/>
          <w:szCs w:val="20"/>
          <w:color w:val="auto"/>
        </w:rPr>
      </w:pPr>
    </w:p>
    <w:p>
      <w:pPr>
        <w:ind w:right="20"/>
        <w:spacing w:after="0" w:line="319" w:lineRule="auto"/>
        <w:rPr>
          <w:sz w:val="20"/>
          <w:szCs w:val="20"/>
          <w:color w:val="auto"/>
        </w:rPr>
      </w:pPr>
      <w:r>
        <w:rPr>
          <w:rFonts w:ascii="Arial" w:cs="Arial" w:eastAsia="Arial" w:hAnsi="Arial"/>
          <w:sz w:val="16"/>
          <w:szCs w:val="16"/>
          <w:color w:val="auto"/>
        </w:rPr>
        <w:t>The Company is subject to legal proceedings and claims which have arisen in the ordinary course of business. The Company does not believe the amount of potential liability with respect to these actions will have a material adverse effect upon the Company’s financial position or results of operations.</w:t>
      </w:r>
    </w:p>
    <w:p>
      <w:pPr>
        <w:spacing w:after="0" w:line="127" w:lineRule="exact"/>
        <w:rPr>
          <w:sz w:val="20"/>
          <w:szCs w:val="20"/>
          <w:color w:val="auto"/>
        </w:rPr>
      </w:pPr>
    </w:p>
    <w:p>
      <w:pPr>
        <w:ind w:left="580" w:hanging="574"/>
        <w:spacing w:after="0"/>
        <w:tabs>
          <w:tab w:leader="none" w:pos="580" w:val="left"/>
        </w:tabs>
        <w:numPr>
          <w:ilvl w:val="0"/>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Income taxes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components of the income tax expense:</w:t>
      </w:r>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820" w:type="dxa"/>
            <w:vAlign w:val="bottom"/>
          </w:tcPr>
          <w:p>
            <w:pPr>
              <w:ind w:left="238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22"/>
                <w:szCs w:val="22"/>
                <w:color w:val="auto"/>
              </w:rPr>
            </w:pPr>
          </w:p>
        </w:tc>
        <w:tc>
          <w:tcPr>
            <w:tcW w:w="720" w:type="dxa"/>
            <w:vAlign w:val="bottom"/>
          </w:tcPr>
          <w:p>
            <w:pPr>
              <w:jc w:val="right"/>
              <w:ind w:right="319"/>
              <w:spacing w:after="0"/>
              <w:rPr>
                <w:sz w:val="20"/>
                <w:szCs w:val="20"/>
                <w:color w:val="auto"/>
              </w:rPr>
            </w:pPr>
            <w:r>
              <w:rPr>
                <w:rFonts w:ascii="Arial" w:cs="Arial" w:eastAsia="Arial" w:hAnsi="Arial"/>
                <w:sz w:val="13"/>
                <w:szCs w:val="13"/>
                <w:b w:val="1"/>
                <w:bCs w:val="1"/>
                <w:color w:val="auto"/>
              </w:rPr>
              <w:t>2001</w:t>
            </w:r>
          </w:p>
        </w:tc>
        <w:tc>
          <w:tcPr>
            <w:tcW w:w="42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rPr>
              <w:t>2002</w:t>
            </w:r>
          </w:p>
        </w:tc>
        <w:tc>
          <w:tcPr>
            <w:tcW w:w="1460" w:type="dxa"/>
            <w:vAlign w:val="bottom"/>
          </w:tcPr>
          <w:p>
            <w:pPr>
              <w:jc w:val="right"/>
              <w:ind w:right="282"/>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7"/>
                <w:szCs w:val="17"/>
                <w:color w:val="auto"/>
              </w:rPr>
              <w:t>Current provision</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EEEEE"/>
          </w:tcPr>
          <w:p>
            <w:pPr>
              <w:jc w:val="right"/>
              <w:ind w:right="259"/>
              <w:spacing w:after="0"/>
              <w:rPr>
                <w:sz w:val="20"/>
                <w:szCs w:val="20"/>
                <w:color w:val="auto"/>
              </w:rPr>
            </w:pPr>
            <w:r>
              <w:rPr>
                <w:rFonts w:ascii="Arial" w:cs="Arial" w:eastAsia="Arial" w:hAnsi="Arial"/>
                <w:sz w:val="17"/>
                <w:szCs w:val="17"/>
                <w:color w:val="auto"/>
              </w:rPr>
              <w:t>88</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156</w:t>
            </w:r>
          </w:p>
        </w:tc>
        <w:tc>
          <w:tcPr>
            <w:tcW w:w="1460" w:type="dxa"/>
            <w:vAlign w:val="bottom"/>
            <w:shd w:val="clear" w:color="auto" w:fill="EEEEEE"/>
          </w:tcPr>
          <w:p>
            <w:pPr>
              <w:jc w:val="right"/>
              <w:ind w:right="182"/>
              <w:spacing w:after="0"/>
              <w:rPr>
                <w:sz w:val="20"/>
                <w:szCs w:val="20"/>
                <w:color w:val="auto"/>
              </w:rPr>
            </w:pPr>
            <w:r>
              <w:rPr>
                <w:rFonts w:ascii="Arial" w:cs="Arial" w:eastAsia="Arial" w:hAnsi="Arial"/>
                <w:sz w:val="17"/>
                <w:szCs w:val="17"/>
                <w:color w:val="auto"/>
              </w:rPr>
              <w:t>$1,769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7"/>
                <w:szCs w:val="17"/>
                <w:color w:val="auto"/>
              </w:rPr>
              <w:t>Deferred provision</w:t>
            </w:r>
          </w:p>
        </w:tc>
        <w:tc>
          <w:tcPr>
            <w:tcW w:w="26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7"/>
                <w:szCs w:val="17"/>
                <w:color w:val="auto"/>
                <w:w w:val="84"/>
              </w:rPr>
              <w:t>5,400</w:t>
            </w:r>
          </w:p>
        </w:tc>
        <w:tc>
          <w:tcPr>
            <w:tcW w:w="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89"/>
              </w:rPr>
              <w:t>9,010</w:t>
            </w:r>
          </w:p>
        </w:tc>
        <w:tc>
          <w:tcPr>
            <w:tcW w:w="1460" w:type="dxa"/>
            <w:vAlign w:val="bottom"/>
          </w:tcPr>
          <w:p>
            <w:pPr>
              <w:jc w:val="right"/>
              <w:ind w:right="182"/>
              <w:spacing w:after="0"/>
              <w:rPr>
                <w:sz w:val="20"/>
                <w:szCs w:val="20"/>
                <w:color w:val="auto"/>
              </w:rPr>
            </w:pPr>
            <w:r>
              <w:rPr>
                <w:rFonts w:ascii="Arial" w:cs="Arial" w:eastAsia="Arial" w:hAnsi="Arial"/>
                <w:sz w:val="17"/>
                <w:szCs w:val="17"/>
                <w:color w:val="auto"/>
              </w:rPr>
              <w:t>2,178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8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820" w:type="dxa"/>
            <w:vAlign w:val="bottom"/>
            <w:shd w:val="clear" w:color="auto" w:fill="EEEEEE"/>
          </w:tcPr>
          <w:p>
            <w:pPr>
              <w:spacing w:after="0"/>
              <w:rPr>
                <w:sz w:val="20"/>
                <w:szCs w:val="20"/>
                <w:color w:val="auto"/>
              </w:rPr>
            </w:pPr>
            <w:r>
              <w:rPr>
                <w:rFonts w:ascii="Arial" w:cs="Arial" w:eastAsia="Arial" w:hAnsi="Arial"/>
                <w:sz w:val="17"/>
                <w:szCs w:val="17"/>
                <w:color w:val="auto"/>
              </w:rPr>
              <w:t>Total provision</w:t>
            </w:r>
          </w:p>
        </w:tc>
        <w:tc>
          <w:tcPr>
            <w:tcW w:w="2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EEEEEE"/>
          </w:tcPr>
          <w:p>
            <w:pPr>
              <w:jc w:val="right"/>
              <w:ind w:right="259"/>
              <w:spacing w:after="0"/>
              <w:rPr>
                <w:sz w:val="20"/>
                <w:szCs w:val="20"/>
                <w:color w:val="auto"/>
              </w:rPr>
            </w:pPr>
            <w:r>
              <w:rPr>
                <w:rFonts w:ascii="Arial" w:cs="Arial" w:eastAsia="Arial" w:hAnsi="Arial"/>
                <w:sz w:val="17"/>
                <w:szCs w:val="17"/>
                <w:color w:val="auto"/>
                <w:w w:val="84"/>
              </w:rPr>
              <w:t>5,488</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9"/>
              </w:rPr>
              <w:t>9,166</w:t>
            </w:r>
          </w:p>
        </w:tc>
        <w:tc>
          <w:tcPr>
            <w:tcW w:w="1460" w:type="dxa"/>
            <w:vAlign w:val="bottom"/>
            <w:shd w:val="clear" w:color="auto" w:fill="EEEEEE"/>
          </w:tcPr>
          <w:p>
            <w:pPr>
              <w:jc w:val="right"/>
              <w:ind w:right="182"/>
              <w:spacing w:after="0"/>
              <w:rPr>
                <w:sz w:val="20"/>
                <w:szCs w:val="20"/>
                <w:color w:val="auto"/>
              </w:rPr>
            </w:pPr>
            <w:r>
              <w:rPr>
                <w:rFonts w:ascii="Arial" w:cs="Arial" w:eastAsia="Arial" w:hAnsi="Arial"/>
                <w:sz w:val="17"/>
                <w:szCs w:val="17"/>
                <w:color w:val="auto"/>
              </w:rPr>
              <w:t>$3,947</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 reconciliation of the effect of applying the federal statutory rate and the effective income tax rate used to calculate the Company’s income tax provision is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w w:val="94"/>
              </w:rPr>
              <w:t>Year ended December 31,</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2320" w:type="dxa"/>
            <w:vAlign w:val="bottom"/>
            <w:gridSpan w:val="2"/>
          </w:tcPr>
          <w:p>
            <w:pPr>
              <w:jc w:val="right"/>
              <w:ind w:right="374"/>
              <w:spacing w:after="0"/>
              <w:rPr>
                <w:sz w:val="20"/>
                <w:szCs w:val="20"/>
                <w:color w:val="auto"/>
              </w:rPr>
            </w:pPr>
            <w:r>
              <w:rPr>
                <w:rFonts w:ascii="Arial" w:cs="Arial" w:eastAsia="Arial" w:hAnsi="Arial"/>
                <w:sz w:val="13"/>
                <w:szCs w:val="13"/>
                <w:b w:val="1"/>
                <w:bCs w:val="1"/>
                <w:color w:val="auto"/>
              </w:rPr>
              <w:t>2001</w:t>
            </w:r>
          </w:p>
        </w:tc>
        <w:tc>
          <w:tcPr>
            <w:tcW w:w="920" w:type="dxa"/>
            <w:vAlign w:val="bottom"/>
          </w:tcPr>
          <w:p>
            <w:pPr>
              <w:jc w:val="right"/>
              <w:ind w:right="137"/>
              <w:spacing w:after="0"/>
              <w:rPr>
                <w:sz w:val="20"/>
                <w:szCs w:val="20"/>
                <w:color w:val="auto"/>
              </w:rPr>
            </w:pPr>
            <w:r>
              <w:rPr>
                <w:rFonts w:ascii="Arial" w:cs="Arial" w:eastAsia="Arial" w:hAnsi="Arial"/>
                <w:sz w:val="13"/>
                <w:szCs w:val="13"/>
                <w:b w:val="1"/>
                <w:bCs w:val="1"/>
                <w:color w:val="auto"/>
              </w:rPr>
              <w:t>2002</w:t>
            </w:r>
          </w:p>
        </w:tc>
        <w:tc>
          <w:tcPr>
            <w:tcW w:w="1520" w:type="dxa"/>
            <w:vAlign w:val="bottom"/>
          </w:tcPr>
          <w:p>
            <w:pPr>
              <w:jc w:val="right"/>
              <w:ind w:right="379"/>
              <w:spacing w:after="0"/>
              <w:rPr>
                <w:sz w:val="20"/>
                <w:szCs w:val="20"/>
                <w:color w:val="auto"/>
              </w:rPr>
            </w:pPr>
            <w:r>
              <w:rPr>
                <w:rFonts w:ascii="Arial" w:cs="Arial" w:eastAsia="Arial" w:hAnsi="Arial"/>
                <w:sz w:val="13"/>
                <w:szCs w:val="13"/>
                <w:b w:val="1"/>
                <w:bCs w:val="1"/>
                <w:color w:val="auto"/>
              </w:rPr>
              <w:t>2003</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436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color w:val="auto"/>
              </w:rPr>
              <w:t>Statutory federal income tax rate</w:t>
            </w:r>
          </w:p>
        </w:tc>
        <w:tc>
          <w:tcPr>
            <w:tcW w:w="2320" w:type="dxa"/>
            <w:vAlign w:val="bottom"/>
            <w:gridSpan w:val="2"/>
            <w:shd w:val="clear" w:color="auto" w:fill="EEEEEE"/>
          </w:tcPr>
          <w:p>
            <w:pPr>
              <w:jc w:val="right"/>
              <w:ind w:right="274"/>
              <w:spacing w:after="0"/>
              <w:rPr>
                <w:sz w:val="20"/>
                <w:szCs w:val="20"/>
                <w:color w:val="auto"/>
              </w:rPr>
            </w:pPr>
            <w:r>
              <w:rPr>
                <w:rFonts w:ascii="Arial" w:cs="Arial" w:eastAsia="Arial" w:hAnsi="Arial"/>
                <w:sz w:val="17"/>
                <w:szCs w:val="17"/>
                <w:color w:val="auto"/>
              </w:rPr>
              <w:t>34.0%</w:t>
            </w:r>
          </w:p>
        </w:tc>
        <w:tc>
          <w:tcPr>
            <w:tcW w:w="920" w:type="dxa"/>
            <w:vAlign w:val="bottom"/>
            <w:shd w:val="clear" w:color="auto" w:fill="EEEEEE"/>
          </w:tcPr>
          <w:p>
            <w:pPr>
              <w:jc w:val="right"/>
              <w:ind w:right="37"/>
              <w:spacing w:after="0"/>
              <w:rPr>
                <w:sz w:val="20"/>
                <w:szCs w:val="20"/>
                <w:color w:val="auto"/>
              </w:rPr>
            </w:pPr>
            <w:r>
              <w:rPr>
                <w:rFonts w:ascii="Arial" w:cs="Arial" w:eastAsia="Arial" w:hAnsi="Arial"/>
                <w:sz w:val="17"/>
                <w:szCs w:val="17"/>
                <w:color w:val="auto"/>
              </w:rPr>
              <w:t>34.0%</w:t>
            </w:r>
          </w:p>
        </w:tc>
        <w:tc>
          <w:tcPr>
            <w:tcW w:w="1520" w:type="dxa"/>
            <w:vAlign w:val="bottom"/>
            <w:shd w:val="clear" w:color="auto" w:fill="EEEEEE"/>
          </w:tcPr>
          <w:p>
            <w:pPr>
              <w:jc w:val="right"/>
              <w:ind w:right="239"/>
              <w:spacing w:after="0"/>
              <w:rPr>
                <w:sz w:val="20"/>
                <w:szCs w:val="20"/>
                <w:color w:val="auto"/>
              </w:rPr>
            </w:pPr>
            <w:r>
              <w:rPr>
                <w:rFonts w:ascii="Arial" w:cs="Arial" w:eastAsia="Arial" w:hAnsi="Arial"/>
                <w:sz w:val="17"/>
                <w:szCs w:val="17"/>
                <w:color w:val="auto"/>
              </w:rPr>
              <w:t>34.0%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State income taxes</w:t>
            </w:r>
          </w:p>
        </w:tc>
        <w:tc>
          <w:tcPr>
            <w:tcW w:w="2320" w:type="dxa"/>
            <w:vAlign w:val="bottom"/>
            <w:gridSpan w:val="2"/>
          </w:tcPr>
          <w:p>
            <w:pPr>
              <w:jc w:val="right"/>
              <w:ind w:right="274"/>
              <w:spacing w:after="0"/>
              <w:rPr>
                <w:sz w:val="20"/>
                <w:szCs w:val="20"/>
                <w:color w:val="auto"/>
              </w:rPr>
            </w:pPr>
            <w:r>
              <w:rPr>
                <w:rFonts w:ascii="Arial" w:cs="Arial" w:eastAsia="Arial" w:hAnsi="Arial"/>
                <w:sz w:val="17"/>
                <w:szCs w:val="17"/>
                <w:color w:val="auto"/>
              </w:rPr>
              <w:t>4.0</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5.3</w:t>
            </w:r>
          </w:p>
        </w:tc>
        <w:tc>
          <w:tcPr>
            <w:tcW w:w="1520" w:type="dxa"/>
            <w:vAlign w:val="bottom"/>
          </w:tcPr>
          <w:p>
            <w:pPr>
              <w:jc w:val="right"/>
              <w:ind w:right="239"/>
              <w:spacing w:after="0"/>
              <w:rPr>
                <w:sz w:val="20"/>
                <w:szCs w:val="20"/>
                <w:color w:val="auto"/>
              </w:rPr>
            </w:pPr>
            <w:r>
              <w:rPr>
                <w:rFonts w:ascii="Arial" w:cs="Arial" w:eastAsia="Arial" w:hAnsi="Arial"/>
                <w:sz w:val="17"/>
                <w:szCs w:val="17"/>
                <w:color w:val="auto"/>
              </w:rPr>
              <w:t>10.5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color w:val="auto"/>
                <w:w w:val="92"/>
              </w:rPr>
              <w:t>Effect of variable accounting applied to incentive stock options</w:t>
            </w:r>
          </w:p>
        </w:tc>
        <w:tc>
          <w:tcPr>
            <w:tcW w:w="128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274"/>
              <w:spacing w:after="0"/>
              <w:rPr>
                <w:sz w:val="20"/>
                <w:szCs w:val="20"/>
                <w:color w:val="auto"/>
              </w:rPr>
            </w:pPr>
            <w:r>
              <w:rPr>
                <w:rFonts w:ascii="Arial" w:cs="Arial" w:eastAsia="Arial" w:hAnsi="Arial"/>
                <w:sz w:val="17"/>
                <w:szCs w:val="17"/>
                <w:color w:val="auto"/>
              </w:rPr>
              <w:t>—</w:t>
            </w:r>
          </w:p>
        </w:tc>
        <w:tc>
          <w:tcPr>
            <w:tcW w:w="920" w:type="dxa"/>
            <w:vAlign w:val="bottom"/>
            <w:shd w:val="clear" w:color="auto" w:fill="EEEEEE"/>
          </w:tcPr>
          <w:p>
            <w:pPr>
              <w:jc w:val="right"/>
              <w:ind w:right="37"/>
              <w:spacing w:after="0"/>
              <w:rPr>
                <w:sz w:val="20"/>
                <w:szCs w:val="20"/>
                <w:color w:val="auto"/>
              </w:rPr>
            </w:pPr>
            <w:r>
              <w:rPr>
                <w:rFonts w:ascii="Arial" w:cs="Arial" w:eastAsia="Arial" w:hAnsi="Arial"/>
                <w:sz w:val="17"/>
                <w:szCs w:val="17"/>
                <w:color w:val="auto"/>
              </w:rPr>
              <w:t>—</w:t>
            </w:r>
          </w:p>
        </w:tc>
        <w:tc>
          <w:tcPr>
            <w:tcW w:w="1520" w:type="dxa"/>
            <w:vAlign w:val="bottom"/>
            <w:shd w:val="clear" w:color="auto" w:fill="EEEEEE"/>
          </w:tcPr>
          <w:p>
            <w:pPr>
              <w:jc w:val="right"/>
              <w:ind w:right="239"/>
              <w:spacing w:after="0"/>
              <w:rPr>
                <w:sz w:val="20"/>
                <w:szCs w:val="20"/>
                <w:color w:val="auto"/>
              </w:rPr>
            </w:pPr>
            <w:r>
              <w:rPr>
                <w:rFonts w:ascii="Arial" w:cs="Arial" w:eastAsia="Arial" w:hAnsi="Arial"/>
                <w:sz w:val="17"/>
                <w:szCs w:val="17"/>
                <w:color w:val="auto"/>
              </w:rPr>
              <w:t>73.7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280" w:type="dxa"/>
            <w:vAlign w:val="bottom"/>
          </w:tcPr>
          <w:p>
            <w:pPr>
              <w:spacing w:after="0"/>
              <w:rPr>
                <w:sz w:val="18"/>
                <w:szCs w:val="18"/>
                <w:color w:val="auto"/>
              </w:rPr>
            </w:pPr>
          </w:p>
        </w:tc>
        <w:tc>
          <w:tcPr>
            <w:tcW w:w="104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(4.7)</w:t>
            </w:r>
          </w:p>
        </w:tc>
        <w:tc>
          <w:tcPr>
            <w:tcW w:w="1520" w:type="dxa"/>
            <w:vAlign w:val="bottom"/>
          </w:tcPr>
          <w:p>
            <w:pPr>
              <w:jc w:val="right"/>
              <w:ind w:right="239"/>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360" w:type="dxa"/>
            <w:vAlign w:val="bottom"/>
            <w:shd w:val="clear" w:color="auto" w:fill="EEEEEE"/>
          </w:tcPr>
          <w:p>
            <w:pPr>
              <w:spacing w:after="0"/>
              <w:rPr>
                <w:sz w:val="20"/>
                <w:szCs w:val="20"/>
                <w:color w:val="auto"/>
              </w:rPr>
            </w:pPr>
            <w:r>
              <w:rPr>
                <w:rFonts w:ascii="Arial" w:cs="Arial" w:eastAsia="Arial" w:hAnsi="Arial"/>
                <w:sz w:val="17"/>
                <w:szCs w:val="17"/>
                <w:color w:val="auto"/>
              </w:rPr>
              <w:t>Other</w:t>
            </w:r>
          </w:p>
        </w:tc>
        <w:tc>
          <w:tcPr>
            <w:tcW w:w="2320" w:type="dxa"/>
            <w:vAlign w:val="bottom"/>
            <w:gridSpan w:val="2"/>
            <w:shd w:val="clear" w:color="auto" w:fill="EEEEEE"/>
          </w:tcPr>
          <w:p>
            <w:pPr>
              <w:jc w:val="right"/>
              <w:ind w:right="274"/>
              <w:spacing w:after="0"/>
              <w:rPr>
                <w:sz w:val="20"/>
                <w:szCs w:val="20"/>
                <w:color w:val="auto"/>
              </w:rPr>
            </w:pPr>
            <w:r>
              <w:rPr>
                <w:rFonts w:ascii="Arial" w:cs="Arial" w:eastAsia="Arial" w:hAnsi="Arial"/>
                <w:sz w:val="17"/>
                <w:szCs w:val="17"/>
                <w:color w:val="auto"/>
              </w:rPr>
              <w:t>0.1</w:t>
            </w:r>
          </w:p>
        </w:tc>
        <w:tc>
          <w:tcPr>
            <w:tcW w:w="920" w:type="dxa"/>
            <w:vAlign w:val="bottom"/>
            <w:shd w:val="clear" w:color="auto" w:fill="EEEEEE"/>
          </w:tcPr>
          <w:p>
            <w:pPr>
              <w:jc w:val="right"/>
              <w:ind w:right="37"/>
              <w:spacing w:after="0"/>
              <w:rPr>
                <w:sz w:val="20"/>
                <w:szCs w:val="20"/>
                <w:color w:val="auto"/>
              </w:rPr>
            </w:pPr>
            <w:r>
              <w:rPr>
                <w:rFonts w:ascii="Arial" w:cs="Arial" w:eastAsia="Arial" w:hAnsi="Arial"/>
                <w:sz w:val="17"/>
                <w:szCs w:val="17"/>
                <w:color w:val="auto"/>
              </w:rPr>
              <w:t>2.4</w:t>
            </w:r>
          </w:p>
        </w:tc>
        <w:tc>
          <w:tcPr>
            <w:tcW w:w="1520" w:type="dxa"/>
            <w:vAlign w:val="bottom"/>
            <w:shd w:val="clear" w:color="auto" w:fill="EEEEEE"/>
          </w:tcPr>
          <w:p>
            <w:pPr>
              <w:jc w:val="right"/>
              <w:ind w:right="179"/>
              <w:spacing w:after="0"/>
              <w:rPr>
                <w:sz w:val="20"/>
                <w:szCs w:val="20"/>
                <w:color w:val="auto"/>
              </w:rPr>
            </w:pPr>
            <w:r>
              <w:rPr>
                <w:rFonts w:ascii="Arial" w:cs="Arial" w:eastAsia="Arial" w:hAnsi="Arial"/>
                <w:sz w:val="17"/>
                <w:szCs w:val="17"/>
                <w:color w:val="auto"/>
              </w:rPr>
              <w:t>(4.4)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52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520" w:type="dxa"/>
            <w:vAlign w:val="bottom"/>
            <w:gridSpan w:val="2"/>
          </w:tcPr>
          <w:p>
            <w:pPr>
              <w:ind w:left="1160"/>
              <w:spacing w:after="0"/>
              <w:rPr>
                <w:sz w:val="20"/>
                <w:szCs w:val="20"/>
                <w:color w:val="auto"/>
              </w:rPr>
            </w:pPr>
            <w:r>
              <w:rPr>
                <w:rFonts w:ascii="Arial" w:cs="Arial" w:eastAsia="Arial" w:hAnsi="Arial"/>
                <w:sz w:val="17"/>
                <w:szCs w:val="17"/>
                <w:color w:val="auto"/>
              </w:rPr>
              <w:t>Income tax provision</w:t>
            </w:r>
          </w:p>
        </w:tc>
        <w:tc>
          <w:tcPr>
            <w:tcW w:w="2320" w:type="dxa"/>
            <w:vAlign w:val="bottom"/>
            <w:gridSpan w:val="2"/>
          </w:tcPr>
          <w:p>
            <w:pPr>
              <w:jc w:val="right"/>
              <w:ind w:right="274"/>
              <w:spacing w:after="0"/>
              <w:rPr>
                <w:sz w:val="20"/>
                <w:szCs w:val="20"/>
                <w:color w:val="auto"/>
              </w:rPr>
            </w:pPr>
            <w:r>
              <w:rPr>
                <w:rFonts w:ascii="Arial" w:cs="Arial" w:eastAsia="Arial" w:hAnsi="Arial"/>
                <w:sz w:val="17"/>
                <w:szCs w:val="17"/>
                <w:color w:val="auto"/>
              </w:rPr>
              <w:t>38.1%</w:t>
            </w:r>
          </w:p>
        </w:tc>
        <w:tc>
          <w:tcPr>
            <w:tcW w:w="920" w:type="dxa"/>
            <w:vAlign w:val="bottom"/>
          </w:tcPr>
          <w:p>
            <w:pPr>
              <w:jc w:val="right"/>
              <w:ind w:right="37"/>
              <w:spacing w:after="0"/>
              <w:rPr>
                <w:sz w:val="20"/>
                <w:szCs w:val="20"/>
                <w:color w:val="auto"/>
              </w:rPr>
            </w:pPr>
            <w:r>
              <w:rPr>
                <w:rFonts w:ascii="Arial" w:cs="Arial" w:eastAsia="Arial" w:hAnsi="Arial"/>
                <w:sz w:val="17"/>
                <w:szCs w:val="17"/>
                <w:color w:val="auto"/>
              </w:rPr>
              <w:t>37.0%</w:t>
            </w:r>
          </w:p>
        </w:tc>
        <w:tc>
          <w:tcPr>
            <w:tcW w:w="1520" w:type="dxa"/>
            <w:vAlign w:val="bottom"/>
          </w:tcPr>
          <w:p>
            <w:pPr>
              <w:jc w:val="right"/>
              <w:ind w:right="239"/>
              <w:spacing w:after="0"/>
              <w:rPr>
                <w:sz w:val="20"/>
                <w:szCs w:val="20"/>
                <w:color w:val="auto"/>
              </w:rPr>
            </w:pPr>
            <w:r>
              <w:rPr>
                <w:rFonts w:ascii="Arial" w:cs="Arial" w:eastAsia="Arial" w:hAnsi="Arial"/>
                <w:sz w:val="17"/>
                <w:szCs w:val="17"/>
                <w:color w:val="auto"/>
              </w:rPr>
              <w:t>113.8%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60" w:type="dxa"/>
            <w:vAlign w:val="bottom"/>
          </w:tcPr>
          <w:p>
            <w:pPr>
              <w:spacing w:after="0"/>
              <w:rPr>
                <w:sz w:val="9"/>
                <w:szCs w:val="9"/>
                <w:color w:val="auto"/>
              </w:rPr>
            </w:pPr>
          </w:p>
        </w:tc>
        <w:tc>
          <w:tcPr>
            <w:tcW w:w="4360" w:type="dxa"/>
            <w:vAlign w:val="bottom"/>
            <w:tcBorders>
              <w:bottom w:val="single" w:sz="8" w:color="808080"/>
            </w:tcBorders>
          </w:tcPr>
          <w:p>
            <w:pPr>
              <w:spacing w:after="0"/>
              <w:rPr>
                <w:sz w:val="9"/>
                <w:szCs w:val="9"/>
                <w:color w:val="auto"/>
              </w:rPr>
            </w:pPr>
          </w:p>
        </w:tc>
        <w:tc>
          <w:tcPr>
            <w:tcW w:w="2320" w:type="dxa"/>
            <w:vAlign w:val="bottom"/>
            <w:tcBorders>
              <w:bottom w:val="single" w:sz="8" w:color="808080"/>
            </w:tcBorders>
            <w:gridSpan w:val="2"/>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11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gridSpan w:val="2"/>
          </w:tcPr>
          <w:p>
            <w:pPr>
              <w:jc w:val="right"/>
              <w:ind w:right="1874"/>
              <w:spacing w:after="0"/>
              <w:rPr>
                <w:sz w:val="20"/>
                <w:szCs w:val="20"/>
                <w:color w:val="auto"/>
              </w:rPr>
            </w:pPr>
            <w:r>
              <w:rPr>
                <w:rFonts w:ascii="Arial" w:cs="Arial" w:eastAsia="Arial" w:hAnsi="Arial"/>
                <w:sz w:val="17"/>
                <w:szCs w:val="17"/>
                <w:color w:val="auto"/>
                <w:w w:val="97"/>
              </w:rPr>
              <w:t>F-24</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The significant components of the Company’s deferred tax asset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351790</wp:posOffset>
            </wp:positionV>
            <wp:extent cx="50736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jc w:val="right"/>
              <w:ind w:right="758"/>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60" w:type="dxa"/>
            <w:vAlign w:val="bottom"/>
          </w:tcPr>
          <w:p>
            <w:pPr>
              <w:ind w:left="2240"/>
              <w:spacing w:after="0"/>
              <w:rPr>
                <w:sz w:val="20"/>
                <w:szCs w:val="20"/>
                <w:color w:val="auto"/>
              </w:rPr>
            </w:pPr>
            <w:r>
              <w:rPr>
                <w:rFonts w:ascii="Arial" w:cs="Arial" w:eastAsia="Arial" w:hAnsi="Arial"/>
                <w:sz w:val="13"/>
                <w:szCs w:val="13"/>
                <w:b w:val="1"/>
                <w:bCs w:val="1"/>
                <w:color w:val="auto"/>
              </w:rPr>
              <w:t>(in thousands)</w:t>
            </w:r>
          </w:p>
        </w:tc>
        <w:tc>
          <w:tcPr>
            <w:tcW w:w="780" w:type="dxa"/>
            <w:vAlign w:val="bottom"/>
          </w:tcPr>
          <w:p>
            <w:pPr>
              <w:jc w:val="right"/>
              <w:ind w:right="56"/>
              <w:spacing w:after="0"/>
              <w:rPr>
                <w:sz w:val="20"/>
                <w:szCs w:val="20"/>
                <w:color w:val="auto"/>
              </w:rPr>
            </w:pPr>
            <w:r>
              <w:rPr>
                <w:rFonts w:ascii="Arial" w:cs="Arial" w:eastAsia="Arial" w:hAnsi="Arial"/>
                <w:sz w:val="13"/>
                <w:szCs w:val="13"/>
                <w:b w:val="1"/>
                <w:bCs w:val="1"/>
                <w:color w:val="auto"/>
              </w:rPr>
              <w:t>2002</w:t>
            </w:r>
          </w:p>
        </w:tc>
        <w:tc>
          <w:tcPr>
            <w:tcW w:w="1640" w:type="dxa"/>
            <w:vAlign w:val="bottom"/>
          </w:tcPr>
          <w:p>
            <w:pPr>
              <w:jc w:val="right"/>
              <w:ind w:right="358"/>
              <w:spacing w:after="0"/>
              <w:rPr>
                <w:sz w:val="20"/>
                <w:szCs w:val="20"/>
                <w:color w:val="auto"/>
              </w:rPr>
            </w:pPr>
            <w:r>
              <w:rPr>
                <w:rFonts w:ascii="Arial" w:cs="Arial" w:eastAsia="Arial" w:hAnsi="Arial"/>
                <w:sz w:val="13"/>
                <w:szCs w:val="13"/>
                <w:b w:val="1"/>
                <w:bCs w:val="1"/>
                <w:color w:val="auto"/>
              </w:rPr>
              <w:t>2003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Intangible assets</w:t>
            </w:r>
          </w:p>
        </w:tc>
        <w:tc>
          <w:tcPr>
            <w:tcW w:w="7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$86,952</w:t>
            </w:r>
          </w:p>
        </w:tc>
        <w:tc>
          <w:tcPr>
            <w:tcW w:w="16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$78,844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Net operating loss carryforward</w:t>
            </w:r>
          </w:p>
        </w:tc>
        <w:tc>
          <w:tcPr>
            <w:tcW w:w="780" w:type="dxa"/>
            <w:vAlign w:val="bottom"/>
          </w:tcPr>
          <w:p>
            <w:pPr>
              <w:jc w:val="right"/>
              <w:spacing w:after="0"/>
              <w:rPr>
                <w:sz w:val="20"/>
                <w:szCs w:val="20"/>
                <w:color w:val="auto"/>
              </w:rPr>
            </w:pPr>
            <w:r>
              <w:rPr>
                <w:rFonts w:ascii="Arial" w:cs="Arial" w:eastAsia="Arial" w:hAnsi="Arial"/>
                <w:sz w:val="17"/>
                <w:szCs w:val="17"/>
                <w:color w:val="auto"/>
              </w:rPr>
              <w:t>1,691</w:t>
            </w:r>
          </w:p>
        </w:tc>
        <w:tc>
          <w:tcPr>
            <w:tcW w:w="1640" w:type="dxa"/>
            <w:vAlign w:val="bottom"/>
          </w:tcPr>
          <w:p>
            <w:pPr>
              <w:jc w:val="right"/>
              <w:ind w:right="2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Research and other tax credits</w:t>
            </w:r>
          </w:p>
        </w:tc>
        <w:tc>
          <w:tcPr>
            <w:tcW w:w="7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1,202</w:t>
            </w:r>
          </w:p>
        </w:tc>
        <w:tc>
          <w:tcPr>
            <w:tcW w:w="16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921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Effect of variable accounting applied to nonqualified stock options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ind w:right="218"/>
              <w:spacing w:after="0"/>
              <w:rPr>
                <w:sz w:val="20"/>
                <w:szCs w:val="20"/>
                <w:color w:val="auto"/>
              </w:rPr>
            </w:pPr>
            <w:r>
              <w:rPr>
                <w:rFonts w:ascii="Arial" w:cs="Arial" w:eastAsia="Arial" w:hAnsi="Arial"/>
                <w:sz w:val="17"/>
                <w:szCs w:val="17"/>
                <w:color w:val="auto"/>
              </w:rPr>
              <w:t>7,647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Allowance for doubtful accounts</w:t>
            </w:r>
          </w:p>
        </w:tc>
        <w:tc>
          <w:tcPr>
            <w:tcW w:w="7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444</w:t>
            </w:r>
          </w:p>
        </w:tc>
        <w:tc>
          <w:tcPr>
            <w:tcW w:w="16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Other</w:t>
            </w:r>
          </w:p>
        </w:tc>
        <w:tc>
          <w:tcPr>
            <w:tcW w:w="780" w:type="dxa"/>
            <w:vAlign w:val="bottom"/>
          </w:tcPr>
          <w:p>
            <w:pPr>
              <w:jc w:val="right"/>
              <w:spacing w:after="0"/>
              <w:rPr>
                <w:sz w:val="20"/>
                <w:szCs w:val="20"/>
                <w:color w:val="auto"/>
              </w:rPr>
            </w:pPr>
            <w:r>
              <w:rPr>
                <w:rFonts w:ascii="Arial" w:cs="Arial" w:eastAsia="Arial" w:hAnsi="Arial"/>
                <w:sz w:val="17"/>
                <w:szCs w:val="17"/>
                <w:color w:val="auto"/>
              </w:rPr>
              <w:t>654</w:t>
            </w:r>
          </w:p>
        </w:tc>
        <w:tc>
          <w:tcPr>
            <w:tcW w:w="1640" w:type="dxa"/>
            <w:vAlign w:val="bottom"/>
          </w:tcPr>
          <w:p>
            <w:pPr>
              <w:jc w:val="right"/>
              <w:ind w:right="218"/>
              <w:spacing w:after="0"/>
              <w:rPr>
                <w:sz w:val="20"/>
                <w:szCs w:val="20"/>
                <w:color w:val="auto"/>
              </w:rPr>
            </w:pPr>
            <w:r>
              <w:rPr>
                <w:rFonts w:ascii="Arial" w:cs="Arial" w:eastAsia="Arial" w:hAnsi="Arial"/>
                <w:sz w:val="17"/>
                <w:szCs w:val="17"/>
                <w:color w:val="auto"/>
              </w:rPr>
              <w:t>888</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90,943</w:t>
            </w:r>
          </w:p>
        </w:tc>
        <w:tc>
          <w:tcPr>
            <w:tcW w:w="16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88,765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Less: current portion</w:t>
            </w:r>
          </w:p>
        </w:tc>
        <w:tc>
          <w:tcPr>
            <w:tcW w:w="780" w:type="dxa"/>
            <w:vAlign w:val="bottom"/>
          </w:tcPr>
          <w:p>
            <w:pPr>
              <w:jc w:val="right"/>
              <w:spacing w:after="0"/>
              <w:rPr>
                <w:sz w:val="20"/>
                <w:szCs w:val="20"/>
                <w:color w:val="auto"/>
              </w:rPr>
            </w:pPr>
            <w:r>
              <w:rPr>
                <w:rFonts w:ascii="Arial" w:cs="Arial" w:eastAsia="Arial" w:hAnsi="Arial"/>
                <w:sz w:val="17"/>
                <w:szCs w:val="17"/>
                <w:color w:val="auto"/>
              </w:rPr>
              <w:t>2,114</w:t>
            </w:r>
          </w:p>
        </w:tc>
        <w:tc>
          <w:tcPr>
            <w:tcW w:w="1640" w:type="dxa"/>
            <w:vAlign w:val="bottom"/>
          </w:tcPr>
          <w:p>
            <w:pPr>
              <w:jc w:val="right"/>
              <w:ind w:right="218"/>
              <w:spacing w:after="0"/>
              <w:rPr>
                <w:sz w:val="20"/>
                <w:szCs w:val="20"/>
                <w:color w:val="auto"/>
              </w:rPr>
            </w:pPr>
            <w:r>
              <w:rPr>
                <w:rFonts w:ascii="Arial" w:cs="Arial" w:eastAsia="Arial" w:hAnsi="Arial"/>
                <w:sz w:val="17"/>
                <w:szCs w:val="17"/>
                <w:color w:val="auto"/>
              </w:rPr>
              <w:t>1,799</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EEEEEE"/>
          </w:tcPr>
          <w:p>
            <w:pPr>
              <w:spacing w:after="0"/>
              <w:rPr>
                <w:sz w:val="20"/>
                <w:szCs w:val="20"/>
                <w:color w:val="auto"/>
              </w:rPr>
            </w:pPr>
            <w:r>
              <w:rPr>
                <w:rFonts w:ascii="Arial" w:cs="Arial" w:eastAsia="Arial" w:hAnsi="Arial"/>
                <w:sz w:val="17"/>
                <w:szCs w:val="17"/>
                <w:color w:val="auto"/>
              </w:rPr>
              <w:t>Noncurrent portion</w:t>
            </w:r>
          </w:p>
        </w:tc>
        <w:tc>
          <w:tcPr>
            <w:tcW w:w="7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$88,829</w:t>
            </w:r>
          </w:p>
        </w:tc>
        <w:tc>
          <w:tcPr>
            <w:tcW w:w="1640" w:type="dxa"/>
            <w:vAlign w:val="bottom"/>
            <w:shd w:val="clear" w:color="auto" w:fill="EEEEEE"/>
          </w:tcPr>
          <w:p>
            <w:pPr>
              <w:jc w:val="right"/>
              <w:ind w:right="218"/>
              <w:spacing w:after="0"/>
              <w:rPr>
                <w:sz w:val="20"/>
                <w:szCs w:val="20"/>
                <w:color w:val="auto"/>
              </w:rPr>
            </w:pPr>
            <w:r>
              <w:rPr>
                <w:rFonts w:ascii="Arial" w:cs="Arial" w:eastAsia="Arial" w:hAnsi="Arial"/>
                <w:sz w:val="17"/>
                <w:szCs w:val="17"/>
                <w:color w:val="auto"/>
              </w:rPr>
              <w:t>$86,966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5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2003, the Company had utilized all of its net operating loss carryforwards for federal income tax purposes.</w:t>
      </w:r>
    </w:p>
    <w:p>
      <w:pPr>
        <w:spacing w:after="0" w:line="228"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Income taxes for the nine month period ended September 30, 2004 were calculated using the projected effective tax rate for fiscal 2004 in accordance with SFAS No. 109. The Company estimates that in the fiscal year ending December 31, 2004, it will have an effective tax rate of approximately 41%. The Company’s effective tax rate for the nine months ended September 30, 2004 was 40.7%. The Company’s effective tax rate for the nine month period ended September 30, 2003 was 113.8%. The difference from the statutory rate results principally from the non-deductible stock option compensation charge incurred in 2003.</w:t>
      </w:r>
    </w:p>
    <w:p>
      <w:pPr>
        <w:spacing w:after="0" w:line="134" w:lineRule="exact"/>
        <w:rPr>
          <w:sz w:val="20"/>
          <w:szCs w:val="20"/>
          <w:color w:val="auto"/>
        </w:rPr>
      </w:pPr>
    </w:p>
    <w:p>
      <w:pPr>
        <w:ind w:left="580" w:hanging="574"/>
        <w:spacing w:after="0"/>
        <w:tabs>
          <w:tab w:leader="none" w:pos="58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Shareholders’ equity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234" w:lineRule="exact"/>
        <w:rPr>
          <w:sz w:val="20"/>
          <w:szCs w:val="20"/>
          <w:color w:val="auto"/>
        </w:rPr>
      </w:pPr>
    </w:p>
    <w:p>
      <w:pPr>
        <w:ind w:right="480"/>
        <w:spacing w:after="0" w:line="356" w:lineRule="auto"/>
        <w:rPr>
          <w:sz w:val="20"/>
          <w:szCs w:val="20"/>
          <w:color w:val="auto"/>
        </w:rPr>
      </w:pPr>
      <w:r>
        <w:rPr>
          <w:rFonts w:ascii="Arial" w:cs="Arial" w:eastAsia="Arial" w:hAnsi="Arial"/>
          <w:sz w:val="15"/>
          <w:szCs w:val="15"/>
          <w:color w:val="auto"/>
        </w:rPr>
        <w:t>The Company has authorized 5,000,000 shares of preferred stock. No shares were issued and outstanding at December 31, 2003 and September 30, 2004. The Company’s board of directors may fix the relative rights and preferences of each series of preferred stock in a resolution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sale</w:t>
      </w:r>
    </w:p>
    <w:p>
      <w:pPr>
        <w:spacing w:after="0" w:line="23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2001, certain existing shareholders purchased an additional 2,083,334 shares of common stock for a total purchase price of $10,000,002. Proceeds from the sale were used to reduce the Company’s debt, as required in the debt agreement.</w:t>
      </w:r>
    </w:p>
    <w:p>
      <w:pPr>
        <w:spacing w:after="0" w:line="150" w:lineRule="exact"/>
        <w:rPr>
          <w:sz w:val="20"/>
          <w:szCs w:val="20"/>
          <w:color w:val="auto"/>
        </w:rPr>
      </w:pPr>
    </w:p>
    <w:p>
      <w:pPr>
        <w:ind w:left="580" w:hanging="574"/>
        <w:spacing w:after="0"/>
        <w:tabs>
          <w:tab w:leader="none" w:pos="58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Employee profit-sharing and stock option plans</w:t>
      </w:r>
    </w:p>
    <w:p>
      <w:pPr>
        <w:spacing w:after="0" w:line="227" w:lineRule="exact"/>
        <w:rPr>
          <w:sz w:val="20"/>
          <w:szCs w:val="20"/>
          <w:color w:val="auto"/>
        </w:rPr>
      </w:pPr>
    </w:p>
    <w:p>
      <w:pPr>
        <w:ind w:right="40"/>
        <w:spacing w:after="0" w:line="315" w:lineRule="auto"/>
        <w:rPr>
          <w:sz w:val="20"/>
          <w:szCs w:val="20"/>
          <w:color w:val="auto"/>
        </w:rPr>
      </w:pPr>
      <w:r>
        <w:rPr>
          <w:rFonts w:ascii="Arial" w:cs="Arial" w:eastAsia="Arial" w:hAnsi="Arial"/>
          <w:sz w:val="15"/>
          <w:szCs w:val="15"/>
          <w:color w:val="auto"/>
        </w:rPr>
        <w:t>The Company has a 401(k) profit-sharing plan (the “Plan”) covering substantially all employees. Employees can contribute between 1% and 30% of their salaries in 2003, and between 1% and 15% of their salaries in 2002 and 2001, and the Company matches 50% of qualified employees’ contributions up to 6% of their salary. The Plan also provides for additional employer contributions to be made at the Company’s discretion. Total matching contributions to the Plan for the years ended December 31, 2001, 2002 and 2003 were $708,000, $582,000 and $1,015,000, and $813,000 and $1,005,000 for the nine months ended September 30, 2003 and</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120" w:name="page121"/>
    <w:bookmarkEnd w:id="120"/>
    <w:p>
      <w:pPr>
        <w:ind w:right="140"/>
        <w:spacing w:after="0" w:line="297" w:lineRule="auto"/>
        <w:rPr>
          <w:sz w:val="20"/>
          <w:szCs w:val="20"/>
          <w:color w:val="auto"/>
        </w:rPr>
      </w:pPr>
      <w:r>
        <w:rPr>
          <w:rFonts w:ascii="Arial" w:cs="Arial" w:eastAsia="Arial" w:hAnsi="Arial"/>
          <w:sz w:val="16"/>
          <w:szCs w:val="16"/>
          <w:color w:val="auto"/>
        </w:rPr>
        <w:t>2004. These contributions were offset by forfeitures of $0, $401,000 and $83,000 in 2001, 2002 and 2003, and $83,000 and $130,000 for the nine months ended September 30, 2003 and 2004, respectively. There was no discretionary contribution by the Company to the Plan in 2001, 2002 and 2003 and the nine month period ending September 30, 2004 thus, there was no accrued liability for the Plan as of December 31, 2002 and 2003 and September 30, 2004.</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adopted three stock options plans: the 1999 Stock Option Plan (the “1999 Plan”), the 2000 Stock Option Plan (the “2000 Plan”) and the 2001 Stock Option Plan (the “2001 Plan”) on October 13, 1999, May 2, 2000 and July 1, 2001, respectively. The Company’s board of directors administers the above plans and the options are granted at terms determined by them. The total number of authorized stock options under these plans is 10,069,269. All options granted under these plans have a 10-year contractual term.</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option agreements also provide that all unvested options vest upon a change in control of the Company, as defined.</w:t>
      </w:r>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has granted options under the 1999 Plan to purchase shares of common stock at an exercise price of $4.80 per share, of which 1,913,794 and 1,819,563 were outstanding at December 31, 2003 and September 30, 2004, respectively. The options granted under this plan have two vesting schedules. Options totaling 603,078 vest 37.5% after one and a half years following the grant date and the remaining 62.5% vest ratably over two and a half years at six-month intervals. The 1,310,715 remaining options vest ratably over four years at six-month intervals.</w:t>
      </w:r>
    </w:p>
    <w:p>
      <w:pPr>
        <w:spacing w:after="0" w:line="185"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Company has granted options under the 2000 Plan to purchase shares of common stock at an exercise price of $4.80 per share, of which 3,524,244 were outstanding at December 31, 2003 and September 30, 2004. The options vest 25% on the date of grant and the remaining 75% vest in eight equal semi-annual installments beginning on September 30, 2000. In addition to the change in control provision, unvested options also become 50% vested upon consummation of an initial public offering. The option grant under the 2000 Plan also includes a provision whereby the Company will pay certain tax payments of the optionee. The inclusion of this provision requires the Company to account for these options as variable awards and record compensation expense for the difference between the exercise price and the fair market value of the stock at each reporting date.</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accrued cash component of stock option compensation in note 6 represents the tax payments that would be due the optionee under the 2000 Stock Option Plan at December 31, 2003 and September 30, 2004. The amount has been calculated using the same assumptions used in estimating stock option compensation expense under the principles of variable accounting.</w:t>
      </w:r>
    </w:p>
    <w:p>
      <w:pPr>
        <w:spacing w:after="0" w:line="180"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The Company has granted options under the 2001 Plan to purchase shares of common stock at an exercise price of $4.80, $5.44 and $7.20 per share, of which 2,858,677, 1,162,288 and 103,125, respectively, were outstanding at December 31, 2003 and 2,739,067, 1,131,038 and 103,125, respectively, were outstanding at September 30, 2004. Additionally, the Company has granted options under this plan to purchase shares of common stock at an exercise price of $8.00 and $9.04 per share, of which 46,875 and 13,274, respectively, are outstanding at September 30, 2004. The options vest in equal annual installments over four years from the date of grant. The option grants under this plan include a provision whereby the Company has the right to call shares exercised under the grants at a discount from fair market value if the employee is terminated for cause, as defined. This provision expires in the event of an initial public offering. The inclusion of this provision requires the Company to account for all options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21" w:name="page122"/>
    <w:bookmarkEnd w:id="121"/>
    <w:p>
      <w:pPr>
        <w:ind w:right="220"/>
        <w:spacing w:after="0" w:line="286" w:lineRule="auto"/>
        <w:rPr>
          <w:sz w:val="20"/>
          <w:szCs w:val="20"/>
          <w:color w:val="auto"/>
        </w:rPr>
      </w:pPr>
      <w:r>
        <w:rPr>
          <w:rFonts w:ascii="Arial" w:cs="Arial" w:eastAsia="Arial" w:hAnsi="Arial"/>
          <w:sz w:val="17"/>
          <w:szCs w:val="17"/>
          <w:color w:val="auto"/>
        </w:rPr>
        <w:t>issued under this plan after January 18, 2001 as variable awards and record compensation expense for the difference between the exercise price and the fair market value of the stock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has granted options at or above its estimate of fair market value at the date of grant.</w:t>
      </w:r>
    </w:p>
    <w:p>
      <w:pPr>
        <w:spacing w:after="0" w:line="228" w:lineRule="exact"/>
        <w:rPr>
          <w:sz w:val="20"/>
          <w:szCs w:val="20"/>
          <w:color w:val="auto"/>
        </w:rPr>
      </w:pPr>
    </w:p>
    <w:p>
      <w:pPr>
        <w:jc w:val="both"/>
        <w:ind w:right="360"/>
        <w:spacing w:after="0" w:line="273" w:lineRule="auto"/>
        <w:rPr>
          <w:sz w:val="20"/>
          <w:szCs w:val="20"/>
          <w:color w:val="auto"/>
        </w:rPr>
      </w:pPr>
      <w:r>
        <w:rPr>
          <w:rFonts w:ascii="Arial" w:cs="Arial" w:eastAsia="Arial" w:hAnsi="Arial"/>
          <w:sz w:val="17"/>
          <w:szCs w:val="17"/>
          <w:color w:val="auto"/>
        </w:rPr>
        <w:t>The Company adopted the 2004 Stock Plan (the “2004 Plan”) on March 23, 2004. The Company has granted options under the 2004 Plan to purchase shares of common stock at an exercise price of $8.00, $8.60 and $10.59 per share, of which 42,500, 302,240 and 141,250, respectively, were outstanding at September 30, 2004. The options vest in equal annual installments over four years from the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activity in the Company’s stock option plan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351790</wp:posOffset>
            </wp:positionV>
            <wp:extent cx="57962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96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60" w:type="dxa"/>
            <w:vAlign w:val="bottom"/>
          </w:tcPr>
          <w:p>
            <w:pPr>
              <w:jc w:val="center"/>
              <w:ind w:left="78"/>
              <w:spacing w:after="0"/>
              <w:rPr>
                <w:sz w:val="20"/>
                <w:szCs w:val="20"/>
                <w:color w:val="auto"/>
              </w:rPr>
            </w:pPr>
            <w:r>
              <w:rPr>
                <w:rFonts w:ascii="Arial" w:cs="Arial" w:eastAsia="Arial" w:hAnsi="Arial"/>
                <w:sz w:val="13"/>
                <w:szCs w:val="13"/>
                <w:b w:val="1"/>
                <w:bCs w:val="1"/>
                <w:color w:val="auto"/>
                <w:w w:val="92"/>
              </w:rPr>
              <w:t>Weighted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jc w:val="center"/>
              <w:ind w:left="98"/>
              <w:spacing w:after="0" w:line="146" w:lineRule="exact"/>
              <w:rPr>
                <w:sz w:val="20"/>
                <w:szCs w:val="20"/>
                <w:color w:val="auto"/>
              </w:rPr>
            </w:pPr>
            <w:r>
              <w:rPr>
                <w:rFonts w:ascii="Arial" w:cs="Arial" w:eastAsia="Arial" w:hAnsi="Arial"/>
                <w:sz w:val="13"/>
                <w:szCs w:val="13"/>
                <w:b w:val="1"/>
                <w:bCs w:val="1"/>
                <w:color w:val="auto"/>
                <w:w w:val="89"/>
              </w:rPr>
              <w:t>average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16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60" w:type="dxa"/>
            <w:vAlign w:val="bottom"/>
          </w:tcPr>
          <w:p>
            <w:pPr>
              <w:jc w:val="center"/>
              <w:ind w:left="98"/>
              <w:spacing w:after="0" w:line="146" w:lineRule="exact"/>
              <w:rPr>
                <w:sz w:val="20"/>
                <w:szCs w:val="20"/>
                <w:color w:val="auto"/>
              </w:rPr>
            </w:pPr>
            <w:r>
              <w:rPr>
                <w:rFonts w:ascii="Arial" w:cs="Arial" w:eastAsia="Arial" w:hAnsi="Arial"/>
                <w:sz w:val="13"/>
                <w:szCs w:val="13"/>
                <w:b w:val="1"/>
                <w:bCs w:val="1"/>
                <w:color w:val="auto"/>
                <w:w w:val="84"/>
              </w:rPr>
              <w:t>exercise</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jc w:val="right"/>
              <w:ind w:right="574"/>
              <w:spacing w:after="0"/>
              <w:rPr>
                <w:sz w:val="20"/>
                <w:szCs w:val="20"/>
                <w:color w:val="auto"/>
              </w:rPr>
            </w:pPr>
            <w:r>
              <w:rPr>
                <w:rFonts w:ascii="Arial" w:cs="Arial" w:eastAsia="Arial" w:hAnsi="Arial"/>
                <w:sz w:val="13"/>
                <w:szCs w:val="13"/>
                <w:b w:val="1"/>
                <w:bCs w:val="1"/>
                <w:color w:val="auto"/>
              </w:rPr>
              <w:t>Shares</w:t>
            </w:r>
          </w:p>
        </w:tc>
        <w:tc>
          <w:tcPr>
            <w:tcW w:w="1260" w:type="dxa"/>
            <w:vAlign w:val="bottom"/>
          </w:tcPr>
          <w:p>
            <w:pPr>
              <w:jc w:val="center"/>
              <w:ind w:left="98"/>
              <w:spacing w:after="0"/>
              <w:rPr>
                <w:sz w:val="20"/>
                <w:szCs w:val="20"/>
                <w:color w:val="auto"/>
              </w:rPr>
            </w:pPr>
            <w:r>
              <w:rPr>
                <w:rFonts w:ascii="Arial" w:cs="Arial" w:eastAsia="Arial" w:hAnsi="Arial"/>
                <w:sz w:val="13"/>
                <w:szCs w:val="13"/>
                <w:b w:val="1"/>
                <w:bCs w:val="1"/>
                <w:color w:val="auto"/>
                <w:w w:val="89"/>
              </w:rPr>
              <w:t>price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16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Options outstanding at December 31, 2000</w:t>
            </w:r>
          </w:p>
        </w:tc>
        <w:tc>
          <w:tcPr>
            <w:tcW w:w="3640" w:type="dxa"/>
            <w:vAlign w:val="bottom"/>
            <w:gridSpan w:val="2"/>
            <w:shd w:val="clear" w:color="auto" w:fill="EEEEEE"/>
          </w:tcPr>
          <w:p>
            <w:pPr>
              <w:jc w:val="right"/>
              <w:ind w:right="414"/>
              <w:spacing w:after="0"/>
              <w:rPr>
                <w:sz w:val="20"/>
                <w:szCs w:val="20"/>
                <w:color w:val="auto"/>
              </w:rPr>
            </w:pPr>
            <w:r>
              <w:rPr>
                <w:rFonts w:ascii="Arial" w:cs="Arial" w:eastAsia="Arial" w:hAnsi="Arial"/>
                <w:sz w:val="17"/>
                <w:szCs w:val="17"/>
                <w:color w:val="auto"/>
              </w:rPr>
              <w:t>7,953,069</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3640" w:type="dxa"/>
            <w:vAlign w:val="bottom"/>
            <w:gridSpan w:val="2"/>
          </w:tcPr>
          <w:p>
            <w:pPr>
              <w:jc w:val="right"/>
              <w:ind w:right="414"/>
              <w:spacing w:after="0"/>
              <w:rPr>
                <w:sz w:val="20"/>
                <w:szCs w:val="20"/>
                <w:color w:val="auto"/>
              </w:rPr>
            </w:pPr>
            <w:r>
              <w:rPr>
                <w:rFonts w:ascii="Arial" w:cs="Arial" w:eastAsia="Arial" w:hAnsi="Arial"/>
                <w:sz w:val="17"/>
                <w:szCs w:val="17"/>
                <w:color w:val="auto"/>
              </w:rPr>
              <w:t>1,360,388</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color w:val="auto"/>
              </w:rPr>
              <w:t>Forfeited</w:t>
            </w:r>
          </w:p>
        </w:tc>
        <w:tc>
          <w:tcPr>
            <w:tcW w:w="3640" w:type="dxa"/>
            <w:vAlign w:val="bottom"/>
            <w:gridSpan w:val="2"/>
            <w:shd w:val="clear" w:color="auto" w:fill="EEEEEE"/>
          </w:tcPr>
          <w:p>
            <w:pPr>
              <w:jc w:val="right"/>
              <w:ind w:right="374"/>
              <w:spacing w:after="0"/>
              <w:rPr>
                <w:sz w:val="20"/>
                <w:szCs w:val="20"/>
                <w:color w:val="auto"/>
              </w:rPr>
            </w:pPr>
            <w:r>
              <w:rPr>
                <w:rFonts w:ascii="Arial" w:cs="Arial" w:eastAsia="Arial" w:hAnsi="Arial"/>
                <w:sz w:val="17"/>
                <w:szCs w:val="17"/>
                <w:color w:val="auto"/>
              </w:rPr>
              <w:t>(793,716)</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5380" w:type="dxa"/>
            <w:vAlign w:val="bottom"/>
            <w:gridSpan w:val="2"/>
            <w:vMerge w:val="restart"/>
          </w:tcPr>
          <w:p>
            <w:pPr>
              <w:ind w:left="1160"/>
              <w:spacing w:after="0"/>
              <w:rPr>
                <w:sz w:val="20"/>
                <w:szCs w:val="20"/>
                <w:color w:val="auto"/>
              </w:rPr>
            </w:pPr>
            <w:r>
              <w:rPr>
                <w:rFonts w:ascii="Arial" w:cs="Arial" w:eastAsia="Arial" w:hAnsi="Arial"/>
                <w:sz w:val="17"/>
                <w:szCs w:val="17"/>
                <w:b w:val="1"/>
                <w:bCs w:val="1"/>
                <w:color w:val="auto"/>
              </w:rPr>
              <w:t>Options outstanding at December 31, 2001</w:t>
            </w:r>
          </w:p>
        </w:tc>
        <w:tc>
          <w:tcPr>
            <w:tcW w:w="206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5380" w:type="dxa"/>
            <w:vAlign w:val="bottom"/>
            <w:gridSpan w:val="2"/>
            <w:vMerge w:val="continue"/>
          </w:tcPr>
          <w:p>
            <w:pPr>
              <w:spacing w:after="0"/>
              <w:rPr>
                <w:sz w:val="24"/>
                <w:szCs w:val="24"/>
                <w:color w:val="auto"/>
              </w:rPr>
            </w:pPr>
          </w:p>
        </w:tc>
        <w:tc>
          <w:tcPr>
            <w:tcW w:w="3640" w:type="dxa"/>
            <w:vAlign w:val="bottom"/>
            <w:gridSpan w:val="2"/>
          </w:tcPr>
          <w:p>
            <w:pPr>
              <w:jc w:val="right"/>
              <w:ind w:right="414"/>
              <w:spacing w:after="0"/>
              <w:rPr>
                <w:sz w:val="20"/>
                <w:szCs w:val="20"/>
                <w:color w:val="auto"/>
              </w:rPr>
            </w:pPr>
            <w:r>
              <w:rPr>
                <w:rFonts w:ascii="Arial" w:cs="Arial" w:eastAsia="Arial" w:hAnsi="Arial"/>
                <w:sz w:val="17"/>
                <w:szCs w:val="17"/>
                <w:color w:val="auto"/>
              </w:rPr>
              <w:t>8,519,741</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color w:val="auto"/>
              </w:rPr>
              <w:t>Granted</w:t>
            </w:r>
          </w:p>
        </w:tc>
        <w:tc>
          <w:tcPr>
            <w:tcW w:w="3640" w:type="dxa"/>
            <w:vAlign w:val="bottom"/>
            <w:gridSpan w:val="2"/>
            <w:shd w:val="clear" w:color="auto" w:fill="EEEEEE"/>
          </w:tcPr>
          <w:p>
            <w:pPr>
              <w:jc w:val="right"/>
              <w:ind w:right="414"/>
              <w:spacing w:after="0"/>
              <w:rPr>
                <w:sz w:val="20"/>
                <w:szCs w:val="20"/>
                <w:color w:val="auto"/>
              </w:rPr>
            </w:pPr>
            <w:r>
              <w:rPr>
                <w:rFonts w:ascii="Arial" w:cs="Arial" w:eastAsia="Arial" w:hAnsi="Arial"/>
                <w:sz w:val="17"/>
                <w:szCs w:val="17"/>
                <w:color w:val="auto"/>
              </w:rPr>
              <w:t>1,127,359</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5.06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3640" w:type="dxa"/>
            <w:vAlign w:val="bottom"/>
            <w:gridSpan w:val="2"/>
          </w:tcPr>
          <w:p>
            <w:pPr>
              <w:jc w:val="right"/>
              <w:ind w:right="374"/>
              <w:spacing w:after="0"/>
              <w:rPr>
                <w:sz w:val="20"/>
                <w:szCs w:val="20"/>
                <w:color w:val="auto"/>
              </w:rPr>
            </w:pPr>
            <w:r>
              <w:rPr>
                <w:rFonts w:ascii="Arial" w:cs="Arial" w:eastAsia="Arial" w:hAnsi="Arial"/>
                <w:sz w:val="17"/>
                <w:szCs w:val="17"/>
                <w:color w:val="auto"/>
              </w:rPr>
              <w:t>(369,446)</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Options outstanding at December 31, 2002</w:t>
            </w:r>
          </w:p>
        </w:tc>
        <w:tc>
          <w:tcPr>
            <w:tcW w:w="3640" w:type="dxa"/>
            <w:vAlign w:val="bottom"/>
            <w:gridSpan w:val="2"/>
            <w:shd w:val="clear" w:color="auto" w:fill="EEEEEE"/>
          </w:tcPr>
          <w:p>
            <w:pPr>
              <w:jc w:val="right"/>
              <w:ind w:right="414"/>
              <w:spacing w:after="0"/>
              <w:rPr>
                <w:sz w:val="20"/>
                <w:szCs w:val="20"/>
                <w:color w:val="auto"/>
              </w:rPr>
            </w:pPr>
            <w:r>
              <w:rPr>
                <w:rFonts w:ascii="Arial" w:cs="Arial" w:eastAsia="Arial" w:hAnsi="Arial"/>
                <w:sz w:val="17"/>
                <w:szCs w:val="17"/>
                <w:color w:val="auto"/>
              </w:rPr>
              <w:t>9,277,654</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4.83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Granted</w:t>
            </w:r>
          </w:p>
        </w:tc>
        <w:tc>
          <w:tcPr>
            <w:tcW w:w="3640" w:type="dxa"/>
            <w:vAlign w:val="bottom"/>
            <w:gridSpan w:val="2"/>
          </w:tcPr>
          <w:p>
            <w:pPr>
              <w:jc w:val="right"/>
              <w:ind w:right="414"/>
              <w:spacing w:after="0"/>
              <w:rPr>
                <w:sz w:val="20"/>
                <w:szCs w:val="20"/>
                <w:color w:val="auto"/>
              </w:rPr>
            </w:pPr>
            <w:r>
              <w:rPr>
                <w:rFonts w:ascii="Arial" w:cs="Arial" w:eastAsia="Arial" w:hAnsi="Arial"/>
                <w:sz w:val="17"/>
                <w:szCs w:val="17"/>
                <w:color w:val="auto"/>
              </w:rPr>
              <w:t>802,884</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5.66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color w:val="auto"/>
              </w:rPr>
              <w:t>Exercised</w:t>
            </w:r>
          </w:p>
        </w:tc>
        <w:tc>
          <w:tcPr>
            <w:tcW w:w="3640" w:type="dxa"/>
            <w:vAlign w:val="bottom"/>
            <w:gridSpan w:val="2"/>
            <w:shd w:val="clear" w:color="auto" w:fill="EEEEEE"/>
          </w:tcPr>
          <w:p>
            <w:pPr>
              <w:jc w:val="right"/>
              <w:ind w:right="374"/>
              <w:spacing w:after="0"/>
              <w:rPr>
                <w:sz w:val="20"/>
                <w:szCs w:val="20"/>
                <w:color w:val="auto"/>
              </w:rPr>
            </w:pPr>
            <w:r>
              <w:rPr>
                <w:rFonts w:ascii="Arial" w:cs="Arial" w:eastAsia="Arial" w:hAnsi="Arial"/>
                <w:sz w:val="17"/>
                <w:szCs w:val="17"/>
                <w:color w:val="auto"/>
              </w:rPr>
              <w:t>(48,462)</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Forfeited</w:t>
            </w:r>
          </w:p>
        </w:tc>
        <w:tc>
          <w:tcPr>
            <w:tcW w:w="3640" w:type="dxa"/>
            <w:vAlign w:val="bottom"/>
            <w:gridSpan w:val="2"/>
          </w:tcPr>
          <w:p>
            <w:pPr>
              <w:jc w:val="right"/>
              <w:ind w:right="374"/>
              <w:spacing w:after="0"/>
              <w:rPr>
                <w:sz w:val="20"/>
                <w:szCs w:val="20"/>
                <w:color w:val="auto"/>
              </w:rPr>
            </w:pPr>
            <w:r>
              <w:rPr>
                <w:rFonts w:ascii="Arial" w:cs="Arial" w:eastAsia="Arial" w:hAnsi="Arial"/>
                <w:sz w:val="17"/>
                <w:szCs w:val="17"/>
                <w:color w:val="auto"/>
              </w:rPr>
              <w:t>(469,948)</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rPr>
              <w:t>Options outstanding at December 31, 2003</w:t>
            </w:r>
          </w:p>
        </w:tc>
        <w:tc>
          <w:tcPr>
            <w:tcW w:w="3640" w:type="dxa"/>
            <w:vAlign w:val="bottom"/>
            <w:gridSpan w:val="2"/>
            <w:shd w:val="clear" w:color="auto" w:fill="EEEEEE"/>
          </w:tcPr>
          <w:p>
            <w:pPr>
              <w:jc w:val="right"/>
              <w:ind w:right="414"/>
              <w:spacing w:after="0"/>
              <w:rPr>
                <w:sz w:val="20"/>
                <w:szCs w:val="20"/>
                <w:color w:val="auto"/>
              </w:rPr>
            </w:pPr>
            <w:r>
              <w:rPr>
                <w:rFonts w:ascii="Arial" w:cs="Arial" w:eastAsia="Arial" w:hAnsi="Arial"/>
                <w:sz w:val="17"/>
                <w:szCs w:val="17"/>
                <w:color w:val="auto"/>
              </w:rPr>
              <w:t>9,562,128</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4.91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Granted (unaudited)</w:t>
            </w:r>
          </w:p>
        </w:tc>
        <w:tc>
          <w:tcPr>
            <w:tcW w:w="3640" w:type="dxa"/>
            <w:vAlign w:val="bottom"/>
            <w:gridSpan w:val="2"/>
          </w:tcPr>
          <w:p>
            <w:pPr>
              <w:jc w:val="right"/>
              <w:ind w:right="414"/>
              <w:spacing w:after="0"/>
              <w:rPr>
                <w:sz w:val="20"/>
                <w:szCs w:val="20"/>
                <w:color w:val="auto"/>
              </w:rPr>
            </w:pPr>
            <w:r>
              <w:rPr>
                <w:rFonts w:ascii="Arial" w:cs="Arial" w:eastAsia="Arial" w:hAnsi="Arial"/>
                <w:sz w:val="17"/>
                <w:szCs w:val="17"/>
                <w:color w:val="auto"/>
              </w:rPr>
              <w:t>546,139</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9.03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color w:val="auto"/>
              </w:rPr>
              <w:t>Exercised (unaudited)</w:t>
            </w:r>
          </w:p>
        </w:tc>
        <w:tc>
          <w:tcPr>
            <w:tcW w:w="3640" w:type="dxa"/>
            <w:vAlign w:val="bottom"/>
            <w:gridSpan w:val="2"/>
            <w:shd w:val="clear" w:color="auto" w:fill="EEEEEE"/>
          </w:tcPr>
          <w:p>
            <w:pPr>
              <w:jc w:val="right"/>
              <w:ind w:right="374"/>
              <w:spacing w:after="0"/>
              <w:rPr>
                <w:sz w:val="20"/>
                <w:szCs w:val="20"/>
                <w:color w:val="auto"/>
              </w:rPr>
            </w:pPr>
            <w:r>
              <w:rPr>
                <w:rFonts w:ascii="Arial" w:cs="Arial" w:eastAsia="Arial" w:hAnsi="Arial"/>
                <w:sz w:val="17"/>
                <w:szCs w:val="17"/>
                <w:color w:val="auto"/>
              </w:rPr>
              <w:t>(133,828)</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4.80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7"/>
                <w:szCs w:val="17"/>
                <w:color w:val="auto"/>
              </w:rPr>
              <w:t>Forfeited (unaudited)</w:t>
            </w:r>
          </w:p>
        </w:tc>
        <w:tc>
          <w:tcPr>
            <w:tcW w:w="3640" w:type="dxa"/>
            <w:vAlign w:val="bottom"/>
            <w:gridSpan w:val="2"/>
          </w:tcPr>
          <w:p>
            <w:pPr>
              <w:jc w:val="right"/>
              <w:ind w:right="374"/>
              <w:spacing w:after="0"/>
              <w:rPr>
                <w:sz w:val="20"/>
                <w:szCs w:val="20"/>
                <w:color w:val="auto"/>
              </w:rPr>
            </w:pPr>
            <w:r>
              <w:rPr>
                <w:rFonts w:ascii="Arial" w:cs="Arial" w:eastAsia="Arial" w:hAnsi="Arial"/>
                <w:sz w:val="17"/>
                <w:szCs w:val="17"/>
                <w:color w:val="auto"/>
              </w:rPr>
              <w:t>(111,263)</w:t>
            </w:r>
          </w:p>
        </w:tc>
        <w:tc>
          <w:tcPr>
            <w:tcW w:w="1260" w:type="dxa"/>
            <w:vAlign w:val="bottom"/>
          </w:tcPr>
          <w:p>
            <w:pPr>
              <w:jc w:val="right"/>
              <w:ind w:right="258"/>
              <w:spacing w:after="0"/>
              <w:rPr>
                <w:sz w:val="20"/>
                <w:szCs w:val="20"/>
                <w:color w:val="auto"/>
              </w:rPr>
            </w:pPr>
            <w:r>
              <w:rPr>
                <w:rFonts w:ascii="Arial" w:cs="Arial" w:eastAsia="Arial" w:hAnsi="Arial"/>
                <w:sz w:val="17"/>
                <w:szCs w:val="17"/>
                <w:color w:val="auto"/>
              </w:rPr>
              <w:t>4.98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16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116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3"/>
              </w:rPr>
              <w:t>Options outstanding at September 30, 2004 (unaudited)</w:t>
            </w:r>
          </w:p>
        </w:tc>
        <w:tc>
          <w:tcPr>
            <w:tcW w:w="3640" w:type="dxa"/>
            <w:vAlign w:val="bottom"/>
            <w:gridSpan w:val="2"/>
            <w:shd w:val="clear" w:color="auto" w:fill="EEEEEE"/>
          </w:tcPr>
          <w:p>
            <w:pPr>
              <w:jc w:val="right"/>
              <w:ind w:right="414"/>
              <w:spacing w:after="0"/>
              <w:rPr>
                <w:sz w:val="20"/>
                <w:szCs w:val="20"/>
                <w:color w:val="auto"/>
              </w:rPr>
            </w:pPr>
            <w:r>
              <w:rPr>
                <w:rFonts w:ascii="Arial" w:cs="Arial" w:eastAsia="Arial" w:hAnsi="Arial"/>
                <w:sz w:val="17"/>
                <w:szCs w:val="17"/>
                <w:color w:val="auto"/>
              </w:rPr>
              <w:t>9,863,176</w:t>
            </w:r>
          </w:p>
        </w:tc>
        <w:tc>
          <w:tcPr>
            <w:tcW w:w="1260" w:type="dxa"/>
            <w:vAlign w:val="bottom"/>
            <w:shd w:val="clear" w:color="auto" w:fill="EEEEEE"/>
          </w:tcPr>
          <w:p>
            <w:pPr>
              <w:jc w:val="right"/>
              <w:ind w:right="258"/>
              <w:spacing w:after="0"/>
              <w:rPr>
                <w:sz w:val="20"/>
                <w:szCs w:val="20"/>
                <w:color w:val="auto"/>
              </w:rPr>
            </w:pPr>
            <w:r>
              <w:rPr>
                <w:rFonts w:ascii="Arial" w:cs="Arial" w:eastAsia="Arial" w:hAnsi="Arial"/>
                <w:sz w:val="17"/>
                <w:szCs w:val="17"/>
                <w:color w:val="auto"/>
              </w:rPr>
              <w:t>$5.13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116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364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40" w:type="dxa"/>
            <w:vAlign w:val="bottom"/>
            <w:gridSpan w:val="2"/>
          </w:tcPr>
          <w:p>
            <w:pPr>
              <w:jc w:val="right"/>
              <w:ind w:right="3074"/>
              <w:spacing w:after="0"/>
              <w:rPr>
                <w:sz w:val="20"/>
                <w:szCs w:val="20"/>
                <w:color w:val="auto"/>
              </w:rPr>
            </w:pPr>
            <w:r>
              <w:rPr>
                <w:rFonts w:ascii="Arial" w:cs="Arial" w:eastAsia="Arial" w:hAnsi="Arial"/>
                <w:sz w:val="17"/>
                <w:szCs w:val="17"/>
                <w:color w:val="auto"/>
              </w:rPr>
              <w:t>F-27</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6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auto"/>
        </w:rPr>
        <w:t>The following table summarizes information about stock options outstanding at 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351790</wp:posOffset>
            </wp:positionV>
            <wp:extent cx="50736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Options outstanding</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gridSpan w:val="2"/>
          </w:tcPr>
          <w:p>
            <w:pPr>
              <w:jc w:val="right"/>
              <w:ind w:right="404"/>
              <w:spacing w:after="0"/>
              <w:rPr>
                <w:sz w:val="20"/>
                <w:szCs w:val="20"/>
                <w:color w:val="auto"/>
              </w:rPr>
            </w:pPr>
            <w:r>
              <w:rPr>
                <w:rFonts w:ascii="Arial" w:cs="Arial" w:eastAsia="Arial" w:hAnsi="Arial"/>
                <w:sz w:val="13"/>
                <w:szCs w:val="13"/>
                <w:b w:val="1"/>
                <w:bCs w:val="1"/>
                <w:color w:val="auto"/>
              </w:rPr>
              <w:t>Options exercisable</w:t>
            </w:r>
          </w:p>
        </w:tc>
      </w:tr>
      <w:tr>
        <w:trPr>
          <w:trHeight w:val="94"/>
        </w:trPr>
        <w:tc>
          <w:tcPr>
            <w:tcW w:w="2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32"/>
        </w:trPr>
        <w:tc>
          <w:tcPr>
            <w:tcW w:w="2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146"/>
        </w:trPr>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480" w:type="dxa"/>
            <w:vAlign w:val="bottom"/>
          </w:tcPr>
          <w:p>
            <w:pPr>
              <w:spacing w:after="0"/>
              <w:rPr>
                <w:sz w:val="12"/>
                <w:szCs w:val="12"/>
                <w:color w:val="auto"/>
              </w:rPr>
            </w:pPr>
          </w:p>
        </w:tc>
        <w:tc>
          <w:tcPr>
            <w:tcW w:w="1040" w:type="dxa"/>
            <w:vAlign w:val="bottom"/>
          </w:tcPr>
          <w:p>
            <w:pPr>
              <w:jc w:val="center"/>
              <w:ind w:right="24"/>
              <w:spacing w:after="0" w:line="146" w:lineRule="exact"/>
              <w:rPr>
                <w:sz w:val="20"/>
                <w:szCs w:val="20"/>
                <w:color w:val="auto"/>
              </w:rPr>
            </w:pPr>
            <w:r>
              <w:rPr>
                <w:rFonts w:ascii="Arial" w:cs="Arial" w:eastAsia="Arial" w:hAnsi="Arial"/>
                <w:sz w:val="13"/>
                <w:szCs w:val="13"/>
                <w:b w:val="1"/>
                <w:bCs w:val="1"/>
                <w:color w:val="auto"/>
                <w:w w:val="92"/>
              </w:rPr>
              <w:t>Weighted</w:t>
            </w:r>
          </w:p>
        </w:tc>
        <w:tc>
          <w:tcPr>
            <w:tcW w:w="12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2"/>
              </w:rPr>
              <w:t>Weighted</w:t>
            </w:r>
          </w:p>
        </w:tc>
      </w:tr>
      <w:tr>
        <w:trPr>
          <w:trHeight w:val="146"/>
        </w:trPr>
        <w:tc>
          <w:tcPr>
            <w:tcW w:w="2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remaining</w:t>
            </w:r>
          </w:p>
        </w:tc>
        <w:tc>
          <w:tcPr>
            <w:tcW w:w="480" w:type="dxa"/>
            <w:vAlign w:val="bottom"/>
          </w:tcPr>
          <w:p>
            <w:pPr>
              <w:spacing w:after="0"/>
              <w:rPr>
                <w:sz w:val="12"/>
                <w:szCs w:val="12"/>
                <w:color w:val="auto"/>
              </w:rPr>
            </w:pPr>
          </w:p>
        </w:tc>
        <w:tc>
          <w:tcPr>
            <w:tcW w:w="1040" w:type="dxa"/>
            <w:vAlign w:val="bottom"/>
          </w:tcPr>
          <w:p>
            <w:pPr>
              <w:jc w:val="center"/>
              <w:ind w:right="4"/>
              <w:spacing w:after="0" w:line="146" w:lineRule="exact"/>
              <w:rPr>
                <w:sz w:val="20"/>
                <w:szCs w:val="20"/>
                <w:color w:val="auto"/>
              </w:rPr>
            </w:pPr>
            <w:r>
              <w:rPr>
                <w:rFonts w:ascii="Arial" w:cs="Arial" w:eastAsia="Arial" w:hAnsi="Arial"/>
                <w:sz w:val="13"/>
                <w:szCs w:val="13"/>
                <w:b w:val="1"/>
                <w:bCs w:val="1"/>
                <w:color w:val="auto"/>
                <w:w w:val="89"/>
              </w:rPr>
              <w:t>average</w:t>
            </w:r>
          </w:p>
        </w:tc>
        <w:tc>
          <w:tcPr>
            <w:tcW w:w="12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r>
      <w:tr>
        <w:trPr>
          <w:trHeight w:val="146"/>
        </w:trPr>
        <w:tc>
          <w:tcPr>
            <w:tcW w:w="2140" w:type="dxa"/>
            <w:vAlign w:val="bottom"/>
          </w:tcPr>
          <w:p>
            <w:pPr>
              <w:jc w:val="right"/>
              <w:ind w:right="842"/>
              <w:spacing w:after="0" w:line="146" w:lineRule="exact"/>
              <w:rPr>
                <w:sz w:val="20"/>
                <w:szCs w:val="20"/>
                <w:color w:val="auto"/>
              </w:rPr>
            </w:pPr>
            <w:r>
              <w:rPr>
                <w:rFonts w:ascii="Arial" w:cs="Arial" w:eastAsia="Arial" w:hAnsi="Arial"/>
                <w:sz w:val="13"/>
                <w:szCs w:val="13"/>
                <w:b w:val="1"/>
                <w:bCs w:val="1"/>
                <w:color w:val="auto"/>
              </w:rPr>
              <w:t>Range of</w:t>
            </w:r>
          </w:p>
        </w:tc>
        <w:tc>
          <w:tcPr>
            <w:tcW w:w="1320" w:type="dxa"/>
            <w:vAlign w:val="bottom"/>
          </w:tcPr>
          <w:p>
            <w:pPr>
              <w:spacing w:after="0"/>
              <w:rPr>
                <w:sz w:val="12"/>
                <w:szCs w:val="12"/>
                <w:color w:val="auto"/>
              </w:rPr>
            </w:pPr>
          </w:p>
        </w:tc>
        <w:tc>
          <w:tcPr>
            <w:tcW w:w="82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1"/>
              </w:rPr>
              <w:t>contractual</w:t>
            </w:r>
          </w:p>
        </w:tc>
        <w:tc>
          <w:tcPr>
            <w:tcW w:w="480" w:type="dxa"/>
            <w:vAlign w:val="bottom"/>
          </w:tcPr>
          <w:p>
            <w:pPr>
              <w:spacing w:after="0"/>
              <w:rPr>
                <w:sz w:val="12"/>
                <w:szCs w:val="12"/>
                <w:color w:val="auto"/>
              </w:rPr>
            </w:pPr>
          </w:p>
        </w:tc>
        <w:tc>
          <w:tcPr>
            <w:tcW w:w="1040" w:type="dxa"/>
            <w:vAlign w:val="bottom"/>
          </w:tcPr>
          <w:p>
            <w:pPr>
              <w:jc w:val="center"/>
              <w:ind w:right="4"/>
              <w:spacing w:after="0" w:line="146" w:lineRule="exact"/>
              <w:rPr>
                <w:sz w:val="20"/>
                <w:szCs w:val="20"/>
                <w:color w:val="auto"/>
              </w:rPr>
            </w:pPr>
            <w:r>
              <w:rPr>
                <w:rFonts w:ascii="Arial" w:cs="Arial" w:eastAsia="Arial" w:hAnsi="Arial"/>
                <w:sz w:val="13"/>
                <w:szCs w:val="13"/>
                <w:b w:val="1"/>
                <w:bCs w:val="1"/>
                <w:color w:val="auto"/>
                <w:w w:val="84"/>
              </w:rPr>
              <w:t>exercise</w:t>
            </w:r>
          </w:p>
        </w:tc>
        <w:tc>
          <w:tcPr>
            <w:tcW w:w="1200" w:type="dxa"/>
            <w:vAlign w:val="bottom"/>
          </w:tcPr>
          <w:p>
            <w:pPr>
              <w:spacing w:after="0"/>
              <w:rPr>
                <w:sz w:val="12"/>
                <w:szCs w:val="12"/>
                <w:color w:val="auto"/>
              </w:rPr>
            </w:pPr>
          </w:p>
        </w:tc>
        <w:tc>
          <w:tcPr>
            <w:tcW w:w="10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4"/>
              </w:rPr>
              <w:t>exercise</w:t>
            </w:r>
          </w:p>
        </w:tc>
      </w:tr>
      <w:tr>
        <w:trPr>
          <w:trHeight w:val="170"/>
        </w:trPr>
        <w:tc>
          <w:tcPr>
            <w:tcW w:w="2140" w:type="dxa"/>
            <w:vAlign w:val="bottom"/>
          </w:tcPr>
          <w:p>
            <w:pPr>
              <w:jc w:val="right"/>
              <w:ind w:right="662"/>
              <w:spacing w:after="0"/>
              <w:rPr>
                <w:sz w:val="20"/>
                <w:szCs w:val="20"/>
                <w:color w:val="auto"/>
              </w:rPr>
            </w:pPr>
            <w:r>
              <w:rPr>
                <w:rFonts w:ascii="Arial" w:cs="Arial" w:eastAsia="Arial" w:hAnsi="Arial"/>
                <w:sz w:val="13"/>
                <w:szCs w:val="13"/>
                <w:b w:val="1"/>
                <w:bCs w:val="1"/>
                <w:color w:val="auto"/>
              </w:rPr>
              <w:t>Exercise Prices</w:t>
            </w:r>
          </w:p>
        </w:tc>
        <w:tc>
          <w:tcPr>
            <w:tcW w:w="1320" w:type="dxa"/>
            <w:vAlign w:val="bottom"/>
          </w:tcPr>
          <w:p>
            <w:pPr>
              <w:jc w:val="right"/>
              <w:ind w:right="641"/>
              <w:spacing w:after="0"/>
              <w:rPr>
                <w:sz w:val="20"/>
                <w:szCs w:val="20"/>
                <w:color w:val="auto"/>
              </w:rPr>
            </w:pPr>
            <w:r>
              <w:rPr>
                <w:rFonts w:ascii="Arial" w:cs="Arial" w:eastAsia="Arial" w:hAnsi="Arial"/>
                <w:sz w:val="13"/>
                <w:szCs w:val="13"/>
                <w:b w:val="1"/>
                <w:bCs w:val="1"/>
                <w:color w:val="auto"/>
              </w:rPr>
              <w:t>Shares</w:t>
            </w: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2"/>
              </w:rPr>
              <w:t>life (in years)</w:t>
            </w:r>
          </w:p>
        </w:tc>
        <w:tc>
          <w:tcPr>
            <w:tcW w:w="480" w:type="dxa"/>
            <w:vAlign w:val="bottom"/>
          </w:tcPr>
          <w:p>
            <w:pPr>
              <w:spacing w:after="0"/>
              <w:rPr>
                <w:sz w:val="14"/>
                <w:szCs w:val="14"/>
                <w:color w:val="auto"/>
              </w:rPr>
            </w:pPr>
          </w:p>
        </w:tc>
        <w:tc>
          <w:tcPr>
            <w:tcW w:w="1040" w:type="dxa"/>
            <w:vAlign w:val="bottom"/>
          </w:tcPr>
          <w:p>
            <w:pPr>
              <w:jc w:val="center"/>
              <w:ind w:right="4"/>
              <w:spacing w:after="0"/>
              <w:rPr>
                <w:sz w:val="20"/>
                <w:szCs w:val="20"/>
                <w:color w:val="auto"/>
              </w:rPr>
            </w:pPr>
            <w:r>
              <w:rPr>
                <w:rFonts w:ascii="Arial" w:cs="Arial" w:eastAsia="Arial" w:hAnsi="Arial"/>
                <w:sz w:val="13"/>
                <w:szCs w:val="13"/>
                <w:b w:val="1"/>
                <w:bCs w:val="1"/>
                <w:color w:val="auto"/>
                <w:w w:val="89"/>
              </w:rPr>
              <w:t>price</w:t>
            </w:r>
          </w:p>
        </w:tc>
        <w:tc>
          <w:tcPr>
            <w:tcW w:w="1200" w:type="dxa"/>
            <w:vAlign w:val="bottom"/>
          </w:tcPr>
          <w:p>
            <w:pPr>
              <w:jc w:val="right"/>
              <w:ind w:right="361"/>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price</w:t>
            </w:r>
          </w:p>
        </w:tc>
      </w:tr>
      <w:tr>
        <w:trPr>
          <w:trHeight w:val="94"/>
        </w:trPr>
        <w:tc>
          <w:tcPr>
            <w:tcW w:w="21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99"/>
        </w:trPr>
        <w:tc>
          <w:tcPr>
            <w:tcW w:w="2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2"/>
        </w:trPr>
        <w:tc>
          <w:tcPr>
            <w:tcW w:w="2140" w:type="dxa"/>
            <w:vAlign w:val="bottom"/>
            <w:shd w:val="clear" w:color="auto" w:fill="EEEEEE"/>
          </w:tcPr>
          <w:p>
            <w:pPr>
              <w:jc w:val="right"/>
              <w:ind w:right="882"/>
              <w:spacing w:after="0"/>
              <w:rPr>
                <w:sz w:val="20"/>
                <w:szCs w:val="20"/>
                <w:color w:val="auto"/>
              </w:rPr>
            </w:pPr>
            <w:r>
              <w:rPr>
                <w:rFonts w:ascii="Arial" w:cs="Arial" w:eastAsia="Arial" w:hAnsi="Arial"/>
                <w:sz w:val="17"/>
                <w:szCs w:val="17"/>
                <w:color w:val="auto"/>
              </w:rPr>
              <w:t>$ 4.80</w:t>
            </w:r>
          </w:p>
        </w:tc>
        <w:tc>
          <w:tcPr>
            <w:tcW w:w="1320" w:type="dxa"/>
            <w:vAlign w:val="bottom"/>
            <w:shd w:val="clear" w:color="auto" w:fill="EEEEEE"/>
          </w:tcPr>
          <w:p>
            <w:pPr>
              <w:jc w:val="right"/>
              <w:ind w:right="401"/>
              <w:spacing w:after="0"/>
              <w:rPr>
                <w:sz w:val="20"/>
                <w:szCs w:val="20"/>
                <w:color w:val="auto"/>
              </w:rPr>
            </w:pPr>
            <w:r>
              <w:rPr>
                <w:rFonts w:ascii="Arial" w:cs="Arial" w:eastAsia="Arial" w:hAnsi="Arial"/>
                <w:sz w:val="17"/>
                <w:szCs w:val="17"/>
                <w:color w:val="auto"/>
              </w:rPr>
              <w:t>8,296,715</w:t>
            </w:r>
          </w:p>
        </w:tc>
        <w:tc>
          <w:tcPr>
            <w:tcW w:w="82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6.4</w:t>
            </w:r>
          </w:p>
        </w:tc>
        <w:tc>
          <w:tcPr>
            <w:tcW w:w="1040" w:type="dxa"/>
            <w:vAlign w:val="bottom"/>
            <w:shd w:val="clear" w:color="auto" w:fill="EEEEEE"/>
          </w:tcPr>
          <w:p>
            <w:pPr>
              <w:jc w:val="right"/>
              <w:ind w:right="304"/>
              <w:spacing w:after="0"/>
              <w:rPr>
                <w:sz w:val="20"/>
                <w:szCs w:val="20"/>
                <w:color w:val="auto"/>
              </w:rPr>
            </w:pPr>
            <w:r>
              <w:rPr>
                <w:rFonts w:ascii="Arial" w:cs="Arial" w:eastAsia="Arial" w:hAnsi="Arial"/>
                <w:sz w:val="17"/>
                <w:szCs w:val="17"/>
                <w:color w:val="auto"/>
              </w:rPr>
              <w:t>$4.80</w:t>
            </w:r>
          </w:p>
        </w:tc>
        <w:tc>
          <w:tcPr>
            <w:tcW w:w="120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6,627,016</w:t>
            </w:r>
          </w:p>
        </w:tc>
        <w:tc>
          <w:tcPr>
            <w:tcW w:w="1000" w:type="dxa"/>
            <w:vAlign w:val="bottom"/>
            <w:shd w:val="clear" w:color="auto" w:fill="EEEEEE"/>
          </w:tcPr>
          <w:p>
            <w:pPr>
              <w:jc w:val="right"/>
              <w:ind w:right="244"/>
              <w:spacing w:after="0"/>
              <w:rPr>
                <w:sz w:val="20"/>
                <w:szCs w:val="20"/>
                <w:color w:val="auto"/>
              </w:rPr>
            </w:pPr>
            <w:r>
              <w:rPr>
                <w:rFonts w:ascii="Arial" w:cs="Arial" w:eastAsia="Arial" w:hAnsi="Arial"/>
                <w:sz w:val="17"/>
                <w:szCs w:val="17"/>
                <w:color w:val="auto"/>
              </w:rPr>
              <w:t>$4.80</w:t>
            </w:r>
          </w:p>
        </w:tc>
      </w:tr>
      <w:tr>
        <w:trPr>
          <w:trHeight w:val="212"/>
        </w:trPr>
        <w:tc>
          <w:tcPr>
            <w:tcW w:w="2140" w:type="dxa"/>
            <w:vAlign w:val="bottom"/>
          </w:tcPr>
          <w:p>
            <w:pPr>
              <w:jc w:val="right"/>
              <w:ind w:right="882"/>
              <w:spacing w:after="0"/>
              <w:rPr>
                <w:sz w:val="20"/>
                <w:szCs w:val="20"/>
                <w:color w:val="auto"/>
              </w:rPr>
            </w:pPr>
            <w:r>
              <w:rPr>
                <w:rFonts w:ascii="Arial" w:cs="Arial" w:eastAsia="Arial" w:hAnsi="Arial"/>
                <w:sz w:val="17"/>
                <w:szCs w:val="17"/>
                <w:color w:val="auto"/>
              </w:rPr>
              <w:t>5.44</w:t>
            </w:r>
          </w:p>
        </w:tc>
        <w:tc>
          <w:tcPr>
            <w:tcW w:w="1320" w:type="dxa"/>
            <w:vAlign w:val="bottom"/>
          </w:tcPr>
          <w:p>
            <w:pPr>
              <w:jc w:val="right"/>
              <w:ind w:right="401"/>
              <w:spacing w:after="0"/>
              <w:rPr>
                <w:sz w:val="20"/>
                <w:szCs w:val="20"/>
                <w:color w:val="auto"/>
              </w:rPr>
            </w:pPr>
            <w:r>
              <w:rPr>
                <w:rFonts w:ascii="Arial" w:cs="Arial" w:eastAsia="Arial" w:hAnsi="Arial"/>
                <w:sz w:val="17"/>
                <w:szCs w:val="17"/>
                <w:color w:val="auto"/>
              </w:rPr>
              <w:t>1,162,288</w:t>
            </w:r>
          </w:p>
        </w:tc>
        <w:tc>
          <w:tcPr>
            <w:tcW w:w="820" w:type="dxa"/>
            <w:vAlign w:val="bottom"/>
          </w:tcPr>
          <w:p>
            <w:pPr>
              <w:spacing w:after="0"/>
              <w:rPr>
                <w:sz w:val="18"/>
                <w:szCs w:val="18"/>
                <w:color w:val="auto"/>
              </w:rPr>
            </w:pPr>
          </w:p>
        </w:tc>
        <w:tc>
          <w:tcPr>
            <w:tcW w:w="480" w:type="dxa"/>
            <w:vAlign w:val="bottom"/>
          </w:tcPr>
          <w:p>
            <w:pPr>
              <w:jc w:val="right"/>
              <w:ind w:right="134"/>
              <w:spacing w:after="0"/>
              <w:rPr>
                <w:sz w:val="20"/>
                <w:szCs w:val="20"/>
                <w:color w:val="auto"/>
              </w:rPr>
            </w:pPr>
            <w:r>
              <w:rPr>
                <w:rFonts w:ascii="Arial" w:cs="Arial" w:eastAsia="Arial" w:hAnsi="Arial"/>
                <w:sz w:val="17"/>
                <w:szCs w:val="17"/>
                <w:color w:val="auto"/>
              </w:rPr>
              <w:t>9.2</w:t>
            </w:r>
          </w:p>
        </w:tc>
        <w:tc>
          <w:tcPr>
            <w:tcW w:w="1040" w:type="dxa"/>
            <w:vAlign w:val="bottom"/>
          </w:tcPr>
          <w:p>
            <w:pPr>
              <w:jc w:val="right"/>
              <w:ind w:right="304"/>
              <w:spacing w:after="0"/>
              <w:rPr>
                <w:sz w:val="20"/>
                <w:szCs w:val="20"/>
                <w:color w:val="auto"/>
              </w:rPr>
            </w:pPr>
            <w:r>
              <w:rPr>
                <w:rFonts w:ascii="Arial" w:cs="Arial" w:eastAsia="Arial" w:hAnsi="Arial"/>
                <w:sz w:val="17"/>
                <w:szCs w:val="17"/>
                <w:color w:val="auto"/>
              </w:rPr>
              <w:t>5.44</w:t>
            </w:r>
          </w:p>
        </w:tc>
        <w:tc>
          <w:tcPr>
            <w:tcW w:w="1200" w:type="dxa"/>
            <w:vAlign w:val="bottom"/>
          </w:tcPr>
          <w:p>
            <w:pPr>
              <w:jc w:val="right"/>
              <w:ind w:right="141"/>
              <w:spacing w:after="0"/>
              <w:rPr>
                <w:sz w:val="20"/>
                <w:szCs w:val="20"/>
                <w:color w:val="auto"/>
              </w:rPr>
            </w:pPr>
            <w:r>
              <w:rPr>
                <w:rFonts w:ascii="Arial" w:cs="Arial" w:eastAsia="Arial" w:hAnsi="Arial"/>
                <w:sz w:val="17"/>
                <w:szCs w:val="17"/>
                <w:color w:val="auto"/>
              </w:rPr>
              <w:t>113,256</w:t>
            </w:r>
          </w:p>
        </w:tc>
        <w:tc>
          <w:tcPr>
            <w:tcW w:w="1000" w:type="dxa"/>
            <w:vAlign w:val="bottom"/>
          </w:tcPr>
          <w:p>
            <w:pPr>
              <w:jc w:val="right"/>
              <w:ind w:right="244"/>
              <w:spacing w:after="0"/>
              <w:rPr>
                <w:sz w:val="20"/>
                <w:szCs w:val="20"/>
                <w:color w:val="auto"/>
              </w:rPr>
            </w:pPr>
            <w:r>
              <w:rPr>
                <w:rFonts w:ascii="Arial" w:cs="Arial" w:eastAsia="Arial" w:hAnsi="Arial"/>
                <w:sz w:val="17"/>
                <w:szCs w:val="17"/>
                <w:color w:val="auto"/>
              </w:rPr>
              <w:t>5.44</w:t>
            </w:r>
          </w:p>
        </w:tc>
      </w:tr>
      <w:tr>
        <w:trPr>
          <w:trHeight w:val="212"/>
        </w:trPr>
        <w:tc>
          <w:tcPr>
            <w:tcW w:w="2140" w:type="dxa"/>
            <w:vAlign w:val="bottom"/>
            <w:shd w:val="clear" w:color="auto" w:fill="EEEEEE"/>
          </w:tcPr>
          <w:p>
            <w:pPr>
              <w:jc w:val="right"/>
              <w:ind w:right="882"/>
              <w:spacing w:after="0"/>
              <w:rPr>
                <w:sz w:val="20"/>
                <w:szCs w:val="20"/>
                <w:color w:val="auto"/>
              </w:rPr>
            </w:pPr>
            <w:r>
              <w:rPr>
                <w:rFonts w:ascii="Arial" w:cs="Arial" w:eastAsia="Arial" w:hAnsi="Arial"/>
                <w:sz w:val="17"/>
                <w:szCs w:val="17"/>
                <w:color w:val="auto"/>
              </w:rPr>
              <w:t>7.20</w:t>
            </w:r>
          </w:p>
        </w:tc>
        <w:tc>
          <w:tcPr>
            <w:tcW w:w="1320" w:type="dxa"/>
            <w:vAlign w:val="bottom"/>
            <w:shd w:val="clear" w:color="auto" w:fill="EEEEEE"/>
          </w:tcPr>
          <w:p>
            <w:pPr>
              <w:jc w:val="right"/>
              <w:ind w:right="401"/>
              <w:spacing w:after="0"/>
              <w:rPr>
                <w:sz w:val="20"/>
                <w:szCs w:val="20"/>
                <w:color w:val="auto"/>
              </w:rPr>
            </w:pPr>
            <w:r>
              <w:rPr>
                <w:rFonts w:ascii="Arial" w:cs="Arial" w:eastAsia="Arial" w:hAnsi="Arial"/>
                <w:sz w:val="17"/>
                <w:szCs w:val="17"/>
                <w:color w:val="auto"/>
              </w:rPr>
              <w:t>103,125</w:t>
            </w:r>
          </w:p>
        </w:tc>
        <w:tc>
          <w:tcPr>
            <w:tcW w:w="82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9.7</w:t>
            </w:r>
          </w:p>
        </w:tc>
        <w:tc>
          <w:tcPr>
            <w:tcW w:w="1040" w:type="dxa"/>
            <w:vAlign w:val="bottom"/>
            <w:shd w:val="clear" w:color="auto" w:fill="EEEEEE"/>
          </w:tcPr>
          <w:p>
            <w:pPr>
              <w:jc w:val="right"/>
              <w:ind w:right="304"/>
              <w:spacing w:after="0"/>
              <w:rPr>
                <w:sz w:val="20"/>
                <w:szCs w:val="20"/>
                <w:color w:val="auto"/>
              </w:rPr>
            </w:pPr>
            <w:r>
              <w:rPr>
                <w:rFonts w:ascii="Arial" w:cs="Arial" w:eastAsia="Arial" w:hAnsi="Arial"/>
                <w:sz w:val="17"/>
                <w:szCs w:val="17"/>
                <w:color w:val="auto"/>
              </w:rPr>
              <w:t>7.20</w:t>
            </w:r>
          </w:p>
        </w:tc>
        <w:tc>
          <w:tcPr>
            <w:tcW w:w="120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w:t>
            </w:r>
          </w:p>
        </w:tc>
        <w:tc>
          <w:tcPr>
            <w:tcW w:w="1000" w:type="dxa"/>
            <w:vAlign w:val="bottom"/>
            <w:shd w:val="clear" w:color="auto" w:fill="EEEEEE"/>
          </w:tcPr>
          <w:p>
            <w:pPr>
              <w:jc w:val="right"/>
              <w:ind w:right="244"/>
              <w:spacing w:after="0"/>
              <w:rPr>
                <w:sz w:val="20"/>
                <w:szCs w:val="20"/>
                <w:color w:val="auto"/>
              </w:rPr>
            </w:pPr>
            <w:r>
              <w:rPr>
                <w:rFonts w:ascii="Arial" w:cs="Arial" w:eastAsia="Arial" w:hAnsi="Arial"/>
                <w:sz w:val="17"/>
                <w:szCs w:val="17"/>
                <w:color w:val="auto"/>
              </w:rPr>
              <w:t>7.20</w:t>
            </w:r>
          </w:p>
        </w:tc>
      </w:tr>
      <w:tr>
        <w:trPr>
          <w:trHeight w:val="106"/>
        </w:trPr>
        <w:tc>
          <w:tcPr>
            <w:tcW w:w="214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r>
        <w:trPr>
          <w:trHeight w:val="99"/>
        </w:trPr>
        <w:tc>
          <w:tcPr>
            <w:tcW w:w="2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12"/>
        </w:trPr>
        <w:tc>
          <w:tcPr>
            <w:tcW w:w="2140" w:type="dxa"/>
            <w:vAlign w:val="bottom"/>
            <w:shd w:val="clear" w:color="auto" w:fill="EEEEEE"/>
          </w:tcPr>
          <w:p>
            <w:pPr>
              <w:spacing w:after="0"/>
              <w:rPr>
                <w:sz w:val="18"/>
                <w:szCs w:val="18"/>
                <w:color w:val="auto"/>
              </w:rPr>
            </w:pPr>
          </w:p>
        </w:tc>
        <w:tc>
          <w:tcPr>
            <w:tcW w:w="1320" w:type="dxa"/>
            <w:vAlign w:val="bottom"/>
            <w:shd w:val="clear" w:color="auto" w:fill="EEEEEE"/>
          </w:tcPr>
          <w:p>
            <w:pPr>
              <w:jc w:val="right"/>
              <w:ind w:right="401"/>
              <w:spacing w:after="0"/>
              <w:rPr>
                <w:sz w:val="20"/>
                <w:szCs w:val="20"/>
                <w:color w:val="auto"/>
              </w:rPr>
            </w:pPr>
            <w:r>
              <w:rPr>
                <w:rFonts w:ascii="Arial" w:cs="Arial" w:eastAsia="Arial" w:hAnsi="Arial"/>
                <w:sz w:val="17"/>
                <w:szCs w:val="17"/>
                <w:color w:val="auto"/>
              </w:rPr>
              <w:t>9,562,128</w:t>
            </w:r>
          </w:p>
        </w:tc>
        <w:tc>
          <w:tcPr>
            <w:tcW w:w="820" w:type="dxa"/>
            <w:vAlign w:val="bottom"/>
            <w:shd w:val="clear" w:color="auto" w:fill="EEEEEE"/>
          </w:tcPr>
          <w:p>
            <w:pPr>
              <w:spacing w:after="0"/>
              <w:rPr>
                <w:sz w:val="18"/>
                <w:szCs w:val="18"/>
                <w:color w:val="auto"/>
              </w:rPr>
            </w:pPr>
          </w:p>
        </w:tc>
        <w:tc>
          <w:tcPr>
            <w:tcW w:w="48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6.7</w:t>
            </w:r>
          </w:p>
        </w:tc>
        <w:tc>
          <w:tcPr>
            <w:tcW w:w="1040" w:type="dxa"/>
            <w:vAlign w:val="bottom"/>
            <w:shd w:val="clear" w:color="auto" w:fill="EEEEEE"/>
          </w:tcPr>
          <w:p>
            <w:pPr>
              <w:jc w:val="right"/>
              <w:ind w:right="304"/>
              <w:spacing w:after="0"/>
              <w:rPr>
                <w:sz w:val="20"/>
                <w:szCs w:val="20"/>
                <w:color w:val="auto"/>
              </w:rPr>
            </w:pPr>
            <w:r>
              <w:rPr>
                <w:rFonts w:ascii="Arial" w:cs="Arial" w:eastAsia="Arial" w:hAnsi="Arial"/>
                <w:sz w:val="17"/>
                <w:szCs w:val="17"/>
                <w:color w:val="auto"/>
              </w:rPr>
              <w:t>$4.91</w:t>
            </w:r>
          </w:p>
        </w:tc>
        <w:tc>
          <w:tcPr>
            <w:tcW w:w="1200" w:type="dxa"/>
            <w:vAlign w:val="bottom"/>
            <w:shd w:val="clear" w:color="auto" w:fill="EEEEEE"/>
          </w:tcPr>
          <w:p>
            <w:pPr>
              <w:jc w:val="right"/>
              <w:ind w:right="141"/>
              <w:spacing w:after="0"/>
              <w:rPr>
                <w:sz w:val="20"/>
                <w:szCs w:val="20"/>
                <w:color w:val="auto"/>
              </w:rPr>
            </w:pPr>
            <w:r>
              <w:rPr>
                <w:rFonts w:ascii="Arial" w:cs="Arial" w:eastAsia="Arial" w:hAnsi="Arial"/>
                <w:sz w:val="17"/>
                <w:szCs w:val="17"/>
                <w:color w:val="auto"/>
              </w:rPr>
              <w:t>6,740,271</w:t>
            </w:r>
          </w:p>
        </w:tc>
        <w:tc>
          <w:tcPr>
            <w:tcW w:w="1000" w:type="dxa"/>
            <w:vAlign w:val="bottom"/>
            <w:shd w:val="clear" w:color="auto" w:fill="EEEEEE"/>
          </w:tcPr>
          <w:p>
            <w:pPr>
              <w:jc w:val="right"/>
              <w:ind w:right="244"/>
              <w:spacing w:after="0"/>
              <w:rPr>
                <w:sz w:val="20"/>
                <w:szCs w:val="20"/>
                <w:color w:val="auto"/>
              </w:rPr>
            </w:pPr>
            <w:r>
              <w:rPr>
                <w:rFonts w:ascii="Arial" w:cs="Arial" w:eastAsia="Arial" w:hAnsi="Arial"/>
                <w:sz w:val="17"/>
                <w:szCs w:val="17"/>
                <w:color w:val="auto"/>
              </w:rPr>
              <w:t>$4.82</w:t>
            </w:r>
          </w:p>
        </w:tc>
      </w:tr>
      <w:tr>
        <w:trPr>
          <w:trHeight w:val="106"/>
        </w:trPr>
        <w:tc>
          <w:tcPr>
            <w:tcW w:w="21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stock options outstanding at September 30, 2004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1096010</wp:posOffset>
            </wp:positionH>
            <wp:positionV relativeFrom="paragraph">
              <wp:posOffset>351790</wp:posOffset>
            </wp:positionV>
            <wp:extent cx="50736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73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72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w w:val="99"/>
              </w:rPr>
              <w:t>Options outstanding</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gridSpan w:val="3"/>
          </w:tcPr>
          <w:p>
            <w:pPr>
              <w:jc w:val="right"/>
              <w:ind w:right="394"/>
              <w:spacing w:after="0"/>
              <w:rPr>
                <w:sz w:val="20"/>
                <w:szCs w:val="20"/>
                <w:color w:val="auto"/>
              </w:rPr>
            </w:pPr>
            <w:r>
              <w:rPr>
                <w:rFonts w:ascii="Arial" w:cs="Arial" w:eastAsia="Arial" w:hAnsi="Arial"/>
                <w:sz w:val="13"/>
                <w:szCs w:val="13"/>
                <w:b w:val="1"/>
                <w:bCs w:val="1"/>
                <w:color w:val="auto"/>
              </w:rPr>
              <w:t>Options exercisable</w:t>
            </w:r>
          </w:p>
        </w:tc>
      </w:tr>
      <w:tr>
        <w:trPr>
          <w:trHeight w:val="94"/>
        </w:trPr>
        <w:tc>
          <w:tcPr>
            <w:tcW w:w="8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232"/>
        </w:trPr>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146"/>
        </w:trPr>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520" w:type="dxa"/>
            <w:vAlign w:val="bottom"/>
          </w:tcPr>
          <w:p>
            <w:pPr>
              <w:spacing w:after="0"/>
              <w:rPr>
                <w:sz w:val="12"/>
                <w:szCs w:val="12"/>
                <w:color w:val="auto"/>
              </w:rPr>
            </w:pPr>
          </w:p>
        </w:tc>
        <w:tc>
          <w:tcPr>
            <w:tcW w:w="10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92"/>
              </w:rPr>
              <w:t>Weighted</w:t>
            </w:r>
          </w:p>
        </w:tc>
        <w:tc>
          <w:tcPr>
            <w:tcW w:w="1200" w:type="dxa"/>
            <w:vAlign w:val="bottom"/>
          </w:tcPr>
          <w:p>
            <w:pPr>
              <w:spacing w:after="0"/>
              <w:rPr>
                <w:sz w:val="12"/>
                <w:szCs w:val="12"/>
                <w:color w:val="auto"/>
              </w:rPr>
            </w:pPr>
          </w:p>
        </w:tc>
        <w:tc>
          <w:tcPr>
            <w:tcW w:w="98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8"/>
              </w:rPr>
              <w:t>Weighted</w:t>
            </w:r>
          </w:p>
        </w:tc>
      </w:tr>
      <w:tr>
        <w:trPr>
          <w:trHeight w:val="146"/>
        </w:trPr>
        <w:tc>
          <w:tcPr>
            <w:tcW w:w="8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3"/>
              </w:rPr>
              <w:t>remaining</w:t>
            </w:r>
          </w:p>
        </w:tc>
        <w:tc>
          <w:tcPr>
            <w:tcW w:w="520" w:type="dxa"/>
            <w:vAlign w:val="bottom"/>
          </w:tcPr>
          <w:p>
            <w:pPr>
              <w:spacing w:after="0"/>
              <w:rPr>
                <w:sz w:val="12"/>
                <w:szCs w:val="12"/>
                <w:color w:val="auto"/>
              </w:rPr>
            </w:pPr>
          </w:p>
        </w:tc>
        <w:tc>
          <w:tcPr>
            <w:tcW w:w="10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9"/>
              </w:rPr>
              <w:t>average</w:t>
            </w:r>
          </w:p>
        </w:tc>
        <w:tc>
          <w:tcPr>
            <w:tcW w:w="1200" w:type="dxa"/>
            <w:vAlign w:val="bottom"/>
          </w:tcPr>
          <w:p>
            <w:pPr>
              <w:spacing w:after="0"/>
              <w:rPr>
                <w:sz w:val="12"/>
                <w:szCs w:val="12"/>
                <w:color w:val="auto"/>
              </w:rPr>
            </w:pPr>
          </w:p>
        </w:tc>
        <w:tc>
          <w:tcPr>
            <w:tcW w:w="980" w:type="dxa"/>
            <w:vAlign w:val="bottom"/>
            <w:gridSpan w:val="2"/>
          </w:tcPr>
          <w:p>
            <w:pPr>
              <w:ind w:left="260"/>
              <w:spacing w:after="0" w:line="146" w:lineRule="exact"/>
              <w:rPr>
                <w:sz w:val="20"/>
                <w:szCs w:val="20"/>
                <w:color w:val="auto"/>
              </w:rPr>
            </w:pPr>
            <w:r>
              <w:rPr>
                <w:rFonts w:ascii="Arial" w:cs="Arial" w:eastAsia="Arial" w:hAnsi="Arial"/>
                <w:sz w:val="13"/>
                <w:szCs w:val="13"/>
                <w:b w:val="1"/>
                <w:bCs w:val="1"/>
                <w:color w:val="auto"/>
              </w:rPr>
              <w:t>average</w:t>
            </w:r>
          </w:p>
        </w:tc>
      </w:tr>
      <w:tr>
        <w:trPr>
          <w:trHeight w:val="146"/>
        </w:trPr>
        <w:tc>
          <w:tcPr>
            <w:tcW w:w="2180" w:type="dxa"/>
            <w:vAlign w:val="bottom"/>
            <w:gridSpan w:val="2"/>
          </w:tcPr>
          <w:p>
            <w:pPr>
              <w:ind w:left="740"/>
              <w:spacing w:after="0" w:line="146" w:lineRule="exact"/>
              <w:rPr>
                <w:sz w:val="20"/>
                <w:szCs w:val="20"/>
                <w:color w:val="auto"/>
              </w:rPr>
            </w:pPr>
            <w:r>
              <w:rPr>
                <w:rFonts w:ascii="Arial" w:cs="Arial" w:eastAsia="Arial" w:hAnsi="Arial"/>
                <w:sz w:val="13"/>
                <w:szCs w:val="13"/>
                <w:b w:val="1"/>
                <w:bCs w:val="1"/>
                <w:color w:val="auto"/>
              </w:rPr>
              <w:t>Range of</w:t>
            </w:r>
          </w:p>
        </w:tc>
        <w:tc>
          <w:tcPr>
            <w:tcW w:w="130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94"/>
              </w:rPr>
              <w:t>contractual</w:t>
            </w:r>
          </w:p>
        </w:tc>
        <w:tc>
          <w:tcPr>
            <w:tcW w:w="520" w:type="dxa"/>
            <w:vAlign w:val="bottom"/>
          </w:tcPr>
          <w:p>
            <w:pPr>
              <w:spacing w:after="0"/>
              <w:rPr>
                <w:sz w:val="12"/>
                <w:szCs w:val="12"/>
                <w:color w:val="auto"/>
              </w:rPr>
            </w:pPr>
          </w:p>
        </w:tc>
        <w:tc>
          <w:tcPr>
            <w:tcW w:w="1040" w:type="dxa"/>
            <w:vAlign w:val="bottom"/>
            <w:gridSpan w:val="2"/>
          </w:tcPr>
          <w:p>
            <w:pPr>
              <w:jc w:val="center"/>
              <w:spacing w:after="0" w:line="146" w:lineRule="exact"/>
              <w:rPr>
                <w:sz w:val="20"/>
                <w:szCs w:val="20"/>
                <w:color w:val="auto"/>
              </w:rPr>
            </w:pPr>
            <w:r>
              <w:rPr>
                <w:rFonts w:ascii="Arial" w:cs="Arial" w:eastAsia="Arial" w:hAnsi="Arial"/>
                <w:sz w:val="13"/>
                <w:szCs w:val="13"/>
                <w:b w:val="1"/>
                <w:bCs w:val="1"/>
                <w:color w:val="auto"/>
                <w:w w:val="84"/>
              </w:rPr>
              <w:t>exercise</w:t>
            </w:r>
          </w:p>
        </w:tc>
        <w:tc>
          <w:tcPr>
            <w:tcW w:w="1200" w:type="dxa"/>
            <w:vAlign w:val="bottom"/>
          </w:tcPr>
          <w:p>
            <w:pPr>
              <w:spacing w:after="0"/>
              <w:rPr>
                <w:sz w:val="12"/>
                <w:szCs w:val="12"/>
                <w:color w:val="auto"/>
              </w:rPr>
            </w:pPr>
          </w:p>
        </w:tc>
        <w:tc>
          <w:tcPr>
            <w:tcW w:w="980" w:type="dxa"/>
            <w:vAlign w:val="bottom"/>
            <w:gridSpan w:val="2"/>
          </w:tcPr>
          <w:p>
            <w:pPr>
              <w:ind w:left="260"/>
              <w:spacing w:after="0" w:line="146" w:lineRule="exact"/>
              <w:rPr>
                <w:sz w:val="20"/>
                <w:szCs w:val="20"/>
                <w:color w:val="auto"/>
              </w:rPr>
            </w:pPr>
            <w:r>
              <w:rPr>
                <w:rFonts w:ascii="Arial" w:cs="Arial" w:eastAsia="Arial" w:hAnsi="Arial"/>
                <w:sz w:val="13"/>
                <w:szCs w:val="13"/>
                <w:b w:val="1"/>
                <w:bCs w:val="1"/>
                <w:color w:val="auto"/>
              </w:rPr>
              <w:t>exercise</w:t>
            </w:r>
          </w:p>
        </w:tc>
      </w:tr>
      <w:tr>
        <w:trPr>
          <w:trHeight w:val="170"/>
        </w:trPr>
        <w:tc>
          <w:tcPr>
            <w:tcW w:w="2180" w:type="dxa"/>
            <w:vAlign w:val="bottom"/>
            <w:gridSpan w:val="2"/>
          </w:tcPr>
          <w:p>
            <w:pPr>
              <w:ind w:left="560"/>
              <w:spacing w:after="0"/>
              <w:rPr>
                <w:sz w:val="20"/>
                <w:szCs w:val="20"/>
                <w:color w:val="auto"/>
              </w:rPr>
            </w:pPr>
            <w:r>
              <w:rPr>
                <w:rFonts w:ascii="Arial" w:cs="Arial" w:eastAsia="Arial" w:hAnsi="Arial"/>
                <w:sz w:val="13"/>
                <w:szCs w:val="13"/>
                <w:b w:val="1"/>
                <w:bCs w:val="1"/>
                <w:color w:val="auto"/>
              </w:rPr>
              <w:t>Exercise Prices</w:t>
            </w:r>
          </w:p>
        </w:tc>
        <w:tc>
          <w:tcPr>
            <w:tcW w:w="1300" w:type="dxa"/>
            <w:vAlign w:val="bottom"/>
          </w:tcPr>
          <w:p>
            <w:pPr>
              <w:jc w:val="right"/>
              <w:ind w:right="618"/>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life (in years)</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center"/>
              <w:ind w:right="336"/>
              <w:spacing w:after="0"/>
              <w:rPr>
                <w:sz w:val="20"/>
                <w:szCs w:val="20"/>
                <w:color w:val="auto"/>
              </w:rPr>
            </w:pPr>
            <w:r>
              <w:rPr>
                <w:rFonts w:ascii="Arial" w:cs="Arial" w:eastAsia="Arial" w:hAnsi="Arial"/>
                <w:sz w:val="13"/>
                <w:szCs w:val="13"/>
                <w:b w:val="1"/>
                <w:bCs w:val="1"/>
                <w:color w:val="auto"/>
                <w:w w:val="89"/>
              </w:rPr>
              <w:t>price</w:t>
            </w:r>
          </w:p>
        </w:tc>
        <w:tc>
          <w:tcPr>
            <w:tcW w:w="1200" w:type="dxa"/>
            <w:vAlign w:val="bottom"/>
          </w:tcPr>
          <w:p>
            <w:pPr>
              <w:jc w:val="right"/>
              <w:ind w:right="358"/>
              <w:spacing w:after="0"/>
              <w:rPr>
                <w:sz w:val="20"/>
                <w:szCs w:val="20"/>
                <w:color w:val="auto"/>
              </w:rPr>
            </w:pPr>
            <w:r>
              <w:rPr>
                <w:rFonts w:ascii="Arial" w:cs="Arial" w:eastAsia="Arial" w:hAnsi="Arial"/>
                <w:sz w:val="13"/>
                <w:szCs w:val="13"/>
                <w:b w:val="1"/>
                <w:bCs w:val="1"/>
                <w:color w:val="auto"/>
              </w:rPr>
              <w:t>Shares</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price</w:t>
            </w:r>
          </w:p>
        </w:tc>
      </w:tr>
      <w:tr>
        <w:trPr>
          <w:trHeight w:val="94"/>
        </w:trPr>
        <w:tc>
          <w:tcPr>
            <w:tcW w:w="82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r>
      <w:tr>
        <w:trPr>
          <w:trHeight w:val="99"/>
        </w:trPr>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2"/>
        </w:trPr>
        <w:tc>
          <w:tcPr>
            <w:tcW w:w="820" w:type="dxa"/>
            <w:vAlign w:val="bottom"/>
            <w:shd w:val="clear" w:color="auto" w:fill="EEEEEE"/>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874"/>
              <w:spacing w:after="0"/>
              <w:rPr>
                <w:sz w:val="20"/>
                <w:szCs w:val="20"/>
                <w:color w:val="auto"/>
              </w:rPr>
            </w:pPr>
            <w:r>
              <w:rPr>
                <w:rFonts w:ascii="Arial" w:cs="Arial" w:eastAsia="Arial" w:hAnsi="Arial"/>
                <w:sz w:val="17"/>
                <w:szCs w:val="17"/>
                <w:color w:val="auto"/>
              </w:rPr>
              <w:t>4.80</w:t>
            </w:r>
          </w:p>
        </w:tc>
        <w:tc>
          <w:tcPr>
            <w:tcW w:w="130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8,082,874</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5.7</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4.80</w:t>
            </w:r>
          </w:p>
        </w:tc>
        <w:tc>
          <w:tcPr>
            <w:tcW w:w="120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7,359,115</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234"/>
              <w:spacing w:after="0"/>
              <w:rPr>
                <w:sz w:val="20"/>
                <w:szCs w:val="20"/>
                <w:color w:val="auto"/>
              </w:rPr>
            </w:pPr>
            <w:r>
              <w:rPr>
                <w:rFonts w:ascii="Arial" w:cs="Arial" w:eastAsia="Arial" w:hAnsi="Arial"/>
                <w:sz w:val="17"/>
                <w:szCs w:val="17"/>
                <w:color w:val="auto"/>
                <w:w w:val="84"/>
              </w:rPr>
              <w:t>4.80</w:t>
            </w:r>
          </w:p>
        </w:tc>
      </w:tr>
      <w:tr>
        <w:trPr>
          <w:trHeight w:val="212"/>
        </w:trPr>
        <w:tc>
          <w:tcPr>
            <w:tcW w:w="82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874"/>
              <w:spacing w:after="0"/>
              <w:rPr>
                <w:sz w:val="20"/>
                <w:szCs w:val="20"/>
                <w:color w:val="auto"/>
              </w:rPr>
            </w:pPr>
            <w:r>
              <w:rPr>
                <w:rFonts w:ascii="Arial" w:cs="Arial" w:eastAsia="Arial" w:hAnsi="Arial"/>
                <w:sz w:val="17"/>
                <w:szCs w:val="17"/>
                <w:color w:val="auto"/>
              </w:rPr>
              <w:t>5.44</w:t>
            </w:r>
          </w:p>
        </w:tc>
        <w:tc>
          <w:tcPr>
            <w:tcW w:w="1300" w:type="dxa"/>
            <w:vAlign w:val="bottom"/>
          </w:tcPr>
          <w:p>
            <w:pPr>
              <w:jc w:val="right"/>
              <w:ind w:right="378"/>
              <w:spacing w:after="0"/>
              <w:rPr>
                <w:sz w:val="20"/>
                <w:szCs w:val="20"/>
                <w:color w:val="auto"/>
              </w:rPr>
            </w:pPr>
            <w:r>
              <w:rPr>
                <w:rFonts w:ascii="Arial" w:cs="Arial" w:eastAsia="Arial" w:hAnsi="Arial"/>
                <w:sz w:val="17"/>
                <w:szCs w:val="17"/>
                <w:color w:val="auto"/>
              </w:rPr>
              <w:t>1,131,038</w:t>
            </w:r>
          </w:p>
        </w:tc>
        <w:tc>
          <w:tcPr>
            <w:tcW w:w="78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8.2</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36"/>
              <w:spacing w:after="0"/>
              <w:rPr>
                <w:sz w:val="20"/>
                <w:szCs w:val="20"/>
                <w:color w:val="auto"/>
              </w:rPr>
            </w:pPr>
            <w:r>
              <w:rPr>
                <w:rFonts w:ascii="Arial" w:cs="Arial" w:eastAsia="Arial" w:hAnsi="Arial"/>
                <w:sz w:val="17"/>
                <w:szCs w:val="17"/>
                <w:color w:val="auto"/>
              </w:rPr>
              <w:t>5.44</w:t>
            </w: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280,372</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34"/>
              <w:spacing w:after="0"/>
              <w:rPr>
                <w:sz w:val="20"/>
                <w:szCs w:val="20"/>
                <w:color w:val="auto"/>
              </w:rPr>
            </w:pPr>
            <w:r>
              <w:rPr>
                <w:rFonts w:ascii="Arial" w:cs="Arial" w:eastAsia="Arial" w:hAnsi="Arial"/>
                <w:sz w:val="17"/>
                <w:szCs w:val="17"/>
                <w:color w:val="auto"/>
                <w:w w:val="84"/>
              </w:rPr>
              <w:t>5.44</w:t>
            </w:r>
          </w:p>
        </w:tc>
      </w:tr>
      <w:tr>
        <w:trPr>
          <w:trHeight w:val="212"/>
        </w:trPr>
        <w:tc>
          <w:tcPr>
            <w:tcW w:w="820" w:type="dxa"/>
            <w:vAlign w:val="bottom"/>
            <w:shd w:val="clear" w:color="auto" w:fill="EEEEEE"/>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874"/>
              <w:spacing w:after="0"/>
              <w:rPr>
                <w:sz w:val="20"/>
                <w:szCs w:val="20"/>
                <w:color w:val="auto"/>
              </w:rPr>
            </w:pPr>
            <w:r>
              <w:rPr>
                <w:rFonts w:ascii="Arial" w:cs="Arial" w:eastAsia="Arial" w:hAnsi="Arial"/>
                <w:sz w:val="17"/>
                <w:szCs w:val="17"/>
                <w:color w:val="auto"/>
              </w:rPr>
              <w:t>7.20</w:t>
            </w:r>
          </w:p>
        </w:tc>
        <w:tc>
          <w:tcPr>
            <w:tcW w:w="130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103,125</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8.9</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7.20</w:t>
            </w:r>
          </w:p>
        </w:tc>
        <w:tc>
          <w:tcPr>
            <w:tcW w:w="120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17,967</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234"/>
              <w:spacing w:after="0"/>
              <w:rPr>
                <w:sz w:val="20"/>
                <w:szCs w:val="20"/>
                <w:color w:val="auto"/>
              </w:rPr>
            </w:pPr>
            <w:r>
              <w:rPr>
                <w:rFonts w:ascii="Arial" w:cs="Arial" w:eastAsia="Arial" w:hAnsi="Arial"/>
                <w:sz w:val="17"/>
                <w:szCs w:val="17"/>
                <w:color w:val="auto"/>
                <w:w w:val="84"/>
              </w:rPr>
              <w:t>7.20</w:t>
            </w:r>
          </w:p>
        </w:tc>
      </w:tr>
      <w:tr>
        <w:trPr>
          <w:trHeight w:val="212"/>
        </w:trPr>
        <w:tc>
          <w:tcPr>
            <w:tcW w:w="82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874"/>
              <w:spacing w:after="0"/>
              <w:rPr>
                <w:sz w:val="20"/>
                <w:szCs w:val="20"/>
                <w:color w:val="auto"/>
              </w:rPr>
            </w:pPr>
            <w:r>
              <w:rPr>
                <w:rFonts w:ascii="Arial" w:cs="Arial" w:eastAsia="Arial" w:hAnsi="Arial"/>
                <w:sz w:val="17"/>
                <w:szCs w:val="17"/>
                <w:color w:val="auto"/>
              </w:rPr>
              <w:t>8.00</w:t>
            </w:r>
          </w:p>
        </w:tc>
        <w:tc>
          <w:tcPr>
            <w:tcW w:w="1300" w:type="dxa"/>
            <w:vAlign w:val="bottom"/>
          </w:tcPr>
          <w:p>
            <w:pPr>
              <w:jc w:val="right"/>
              <w:ind w:right="378"/>
              <w:spacing w:after="0"/>
              <w:rPr>
                <w:sz w:val="20"/>
                <w:szCs w:val="20"/>
                <w:color w:val="auto"/>
              </w:rPr>
            </w:pPr>
            <w:r>
              <w:rPr>
                <w:rFonts w:ascii="Arial" w:cs="Arial" w:eastAsia="Arial" w:hAnsi="Arial"/>
                <w:sz w:val="17"/>
                <w:szCs w:val="17"/>
                <w:color w:val="auto"/>
              </w:rPr>
              <w:t>89,375</w:t>
            </w:r>
          </w:p>
        </w:tc>
        <w:tc>
          <w:tcPr>
            <w:tcW w:w="78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9.6</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36"/>
              <w:spacing w:after="0"/>
              <w:rPr>
                <w:sz w:val="20"/>
                <w:szCs w:val="20"/>
                <w:color w:val="auto"/>
              </w:rPr>
            </w:pPr>
            <w:r>
              <w:rPr>
                <w:rFonts w:ascii="Arial" w:cs="Arial" w:eastAsia="Arial" w:hAnsi="Arial"/>
                <w:sz w:val="17"/>
                <w:szCs w:val="17"/>
                <w:color w:val="auto"/>
              </w:rPr>
              <w:t>8.00</w:t>
            </w: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34"/>
              <w:spacing w:after="0"/>
              <w:rPr>
                <w:sz w:val="20"/>
                <w:szCs w:val="20"/>
                <w:color w:val="auto"/>
              </w:rPr>
            </w:pPr>
            <w:r>
              <w:rPr>
                <w:rFonts w:ascii="Arial" w:cs="Arial" w:eastAsia="Arial" w:hAnsi="Arial"/>
                <w:sz w:val="17"/>
                <w:szCs w:val="17"/>
                <w:color w:val="auto"/>
              </w:rPr>
              <w:t>—</w:t>
            </w:r>
          </w:p>
        </w:tc>
      </w:tr>
      <w:tr>
        <w:trPr>
          <w:trHeight w:val="212"/>
        </w:trPr>
        <w:tc>
          <w:tcPr>
            <w:tcW w:w="820" w:type="dxa"/>
            <w:vAlign w:val="bottom"/>
            <w:shd w:val="clear" w:color="auto" w:fill="EEEEEE"/>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874"/>
              <w:spacing w:after="0"/>
              <w:rPr>
                <w:sz w:val="20"/>
                <w:szCs w:val="20"/>
                <w:color w:val="auto"/>
              </w:rPr>
            </w:pPr>
            <w:r>
              <w:rPr>
                <w:rFonts w:ascii="Arial" w:cs="Arial" w:eastAsia="Arial" w:hAnsi="Arial"/>
                <w:sz w:val="17"/>
                <w:szCs w:val="17"/>
                <w:color w:val="auto"/>
              </w:rPr>
              <w:t>8.60</w:t>
            </w:r>
          </w:p>
        </w:tc>
        <w:tc>
          <w:tcPr>
            <w:tcW w:w="130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302,240</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9.5</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8.60</w:t>
            </w:r>
          </w:p>
        </w:tc>
        <w:tc>
          <w:tcPr>
            <w:tcW w:w="120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234"/>
              <w:spacing w:after="0"/>
              <w:rPr>
                <w:sz w:val="20"/>
                <w:szCs w:val="20"/>
                <w:color w:val="auto"/>
              </w:rPr>
            </w:pPr>
            <w:r>
              <w:rPr>
                <w:rFonts w:ascii="Arial" w:cs="Arial" w:eastAsia="Arial" w:hAnsi="Arial"/>
                <w:sz w:val="17"/>
                <w:szCs w:val="17"/>
                <w:color w:val="auto"/>
              </w:rPr>
              <w:t>—</w:t>
            </w:r>
          </w:p>
        </w:tc>
      </w:tr>
      <w:tr>
        <w:trPr>
          <w:trHeight w:val="212"/>
        </w:trPr>
        <w:tc>
          <w:tcPr>
            <w:tcW w:w="820" w:type="dxa"/>
            <w:vAlign w:val="bottom"/>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ind w:right="874"/>
              <w:spacing w:after="0"/>
              <w:rPr>
                <w:sz w:val="20"/>
                <w:szCs w:val="20"/>
                <w:color w:val="auto"/>
              </w:rPr>
            </w:pPr>
            <w:r>
              <w:rPr>
                <w:rFonts w:ascii="Arial" w:cs="Arial" w:eastAsia="Arial" w:hAnsi="Arial"/>
                <w:sz w:val="17"/>
                <w:szCs w:val="17"/>
                <w:color w:val="auto"/>
              </w:rPr>
              <w:t>9.04</w:t>
            </w:r>
          </w:p>
        </w:tc>
        <w:tc>
          <w:tcPr>
            <w:tcW w:w="1300" w:type="dxa"/>
            <w:vAlign w:val="bottom"/>
          </w:tcPr>
          <w:p>
            <w:pPr>
              <w:jc w:val="right"/>
              <w:ind w:right="378"/>
              <w:spacing w:after="0"/>
              <w:rPr>
                <w:sz w:val="20"/>
                <w:szCs w:val="20"/>
                <w:color w:val="auto"/>
              </w:rPr>
            </w:pPr>
            <w:r>
              <w:rPr>
                <w:rFonts w:ascii="Arial" w:cs="Arial" w:eastAsia="Arial" w:hAnsi="Arial"/>
                <w:sz w:val="17"/>
                <w:szCs w:val="17"/>
                <w:color w:val="auto"/>
              </w:rPr>
              <w:t>13,274</w:t>
            </w:r>
          </w:p>
        </w:tc>
        <w:tc>
          <w:tcPr>
            <w:tcW w:w="780" w:type="dxa"/>
            <w:vAlign w:val="bottom"/>
          </w:tcPr>
          <w:p>
            <w:pPr>
              <w:spacing w:after="0"/>
              <w:rPr>
                <w:sz w:val="18"/>
                <w:szCs w:val="18"/>
                <w:color w:val="auto"/>
              </w:rPr>
            </w:pPr>
          </w:p>
        </w:tc>
        <w:tc>
          <w:tcPr>
            <w:tcW w:w="520" w:type="dxa"/>
            <w:vAlign w:val="bottom"/>
          </w:tcPr>
          <w:p>
            <w:pPr>
              <w:jc w:val="right"/>
              <w:ind w:right="134"/>
              <w:spacing w:after="0"/>
              <w:rPr>
                <w:sz w:val="20"/>
                <w:szCs w:val="20"/>
                <w:color w:val="auto"/>
              </w:rPr>
            </w:pPr>
            <w:r>
              <w:rPr>
                <w:rFonts w:ascii="Arial" w:cs="Arial" w:eastAsia="Arial" w:hAnsi="Arial"/>
                <w:sz w:val="17"/>
                <w:szCs w:val="17"/>
                <w:color w:val="auto"/>
              </w:rPr>
              <w:t>9.4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36"/>
              <w:spacing w:after="0"/>
              <w:rPr>
                <w:sz w:val="20"/>
                <w:szCs w:val="20"/>
                <w:color w:val="auto"/>
              </w:rPr>
            </w:pPr>
            <w:r>
              <w:rPr>
                <w:rFonts w:ascii="Arial" w:cs="Arial" w:eastAsia="Arial" w:hAnsi="Arial"/>
                <w:sz w:val="17"/>
                <w:szCs w:val="17"/>
                <w:color w:val="auto"/>
              </w:rPr>
              <w:t>9.04</w:t>
            </w: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234"/>
              <w:spacing w:after="0"/>
              <w:rPr>
                <w:sz w:val="20"/>
                <w:szCs w:val="20"/>
                <w:color w:val="auto"/>
              </w:rPr>
            </w:pPr>
            <w:r>
              <w:rPr>
                <w:rFonts w:ascii="Arial" w:cs="Arial" w:eastAsia="Arial" w:hAnsi="Arial"/>
                <w:sz w:val="17"/>
                <w:szCs w:val="17"/>
                <w:color w:val="auto"/>
              </w:rPr>
              <w:t>—</w:t>
            </w:r>
          </w:p>
        </w:tc>
      </w:tr>
      <w:tr>
        <w:trPr>
          <w:trHeight w:val="212"/>
        </w:trPr>
        <w:tc>
          <w:tcPr>
            <w:tcW w:w="820" w:type="dxa"/>
            <w:vAlign w:val="bottom"/>
            <w:shd w:val="clear" w:color="auto" w:fill="EEEEEE"/>
          </w:tcPr>
          <w:p>
            <w:pPr>
              <w:ind w:left="74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ind w:right="874"/>
              <w:spacing w:after="0"/>
              <w:rPr>
                <w:sz w:val="20"/>
                <w:szCs w:val="20"/>
                <w:color w:val="auto"/>
              </w:rPr>
            </w:pPr>
            <w:r>
              <w:rPr>
                <w:rFonts w:ascii="Arial" w:cs="Arial" w:eastAsia="Arial" w:hAnsi="Arial"/>
                <w:sz w:val="17"/>
                <w:szCs w:val="17"/>
                <w:color w:val="auto"/>
                <w:w w:val="89"/>
              </w:rPr>
              <w:t>10.59</w:t>
            </w:r>
          </w:p>
        </w:tc>
        <w:tc>
          <w:tcPr>
            <w:tcW w:w="130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141,250</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w w:val="84"/>
              </w:rPr>
              <w:t>10.0</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w w:val="84"/>
              </w:rPr>
              <w:t>10.59</w:t>
            </w:r>
          </w:p>
        </w:tc>
        <w:tc>
          <w:tcPr>
            <w:tcW w:w="120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234"/>
              <w:spacing w:after="0"/>
              <w:rPr>
                <w:sz w:val="20"/>
                <w:szCs w:val="20"/>
                <w:color w:val="auto"/>
              </w:rPr>
            </w:pPr>
            <w:r>
              <w:rPr>
                <w:rFonts w:ascii="Arial" w:cs="Arial" w:eastAsia="Arial" w:hAnsi="Arial"/>
                <w:sz w:val="17"/>
                <w:szCs w:val="17"/>
                <w:color w:val="auto"/>
              </w:rPr>
              <w:t>—</w:t>
            </w:r>
          </w:p>
        </w:tc>
      </w:tr>
      <w:tr>
        <w:trPr>
          <w:trHeight w:val="106"/>
        </w:trPr>
        <w:tc>
          <w:tcPr>
            <w:tcW w:w="8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r>
        <w:trPr>
          <w:trHeight w:val="99"/>
        </w:trPr>
        <w:tc>
          <w:tcPr>
            <w:tcW w:w="8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12"/>
        </w:trPr>
        <w:tc>
          <w:tcPr>
            <w:tcW w:w="8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300" w:type="dxa"/>
            <w:vAlign w:val="bottom"/>
            <w:shd w:val="clear" w:color="auto" w:fill="EEEEEE"/>
          </w:tcPr>
          <w:p>
            <w:pPr>
              <w:jc w:val="right"/>
              <w:ind w:right="378"/>
              <w:spacing w:after="0"/>
              <w:rPr>
                <w:sz w:val="20"/>
                <w:szCs w:val="20"/>
                <w:color w:val="auto"/>
              </w:rPr>
            </w:pPr>
            <w:r>
              <w:rPr>
                <w:rFonts w:ascii="Arial" w:cs="Arial" w:eastAsia="Arial" w:hAnsi="Arial"/>
                <w:sz w:val="17"/>
                <w:szCs w:val="17"/>
                <w:color w:val="auto"/>
              </w:rPr>
              <w:t>9,863,176</w:t>
            </w:r>
          </w:p>
        </w:tc>
        <w:tc>
          <w:tcPr>
            <w:tcW w:w="78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134"/>
              <w:spacing w:after="0"/>
              <w:rPr>
                <w:sz w:val="20"/>
                <w:szCs w:val="20"/>
                <w:color w:val="auto"/>
              </w:rPr>
            </w:pPr>
            <w:r>
              <w:rPr>
                <w:rFonts w:ascii="Arial" w:cs="Arial" w:eastAsia="Arial" w:hAnsi="Arial"/>
                <w:sz w:val="17"/>
                <w:szCs w:val="17"/>
                <w:color w:val="auto"/>
              </w:rPr>
              <w:t>6.2</w:t>
            </w:r>
          </w:p>
        </w:tc>
        <w:tc>
          <w:tcPr>
            <w:tcW w:w="3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36"/>
              <w:spacing w:after="0"/>
              <w:rPr>
                <w:sz w:val="20"/>
                <w:szCs w:val="20"/>
                <w:color w:val="auto"/>
              </w:rPr>
            </w:pPr>
            <w:r>
              <w:rPr>
                <w:rFonts w:ascii="Arial" w:cs="Arial" w:eastAsia="Arial" w:hAnsi="Arial"/>
                <w:sz w:val="17"/>
                <w:szCs w:val="17"/>
                <w:color w:val="auto"/>
              </w:rPr>
              <w:t>5.13</w:t>
            </w:r>
          </w:p>
        </w:tc>
        <w:tc>
          <w:tcPr>
            <w:tcW w:w="1200" w:type="dxa"/>
            <w:vAlign w:val="bottom"/>
            <w:shd w:val="clear" w:color="auto" w:fill="EEEEEE"/>
          </w:tcPr>
          <w:p>
            <w:pPr>
              <w:jc w:val="right"/>
              <w:ind w:right="138"/>
              <w:spacing w:after="0"/>
              <w:rPr>
                <w:sz w:val="20"/>
                <w:szCs w:val="20"/>
                <w:color w:val="auto"/>
              </w:rPr>
            </w:pPr>
            <w:r>
              <w:rPr>
                <w:rFonts w:ascii="Arial" w:cs="Arial" w:eastAsia="Arial" w:hAnsi="Arial"/>
                <w:sz w:val="17"/>
                <w:szCs w:val="17"/>
                <w:color w:val="auto"/>
              </w:rPr>
              <w:t>7,657,454</w:t>
            </w:r>
          </w:p>
        </w:tc>
        <w:tc>
          <w:tcPr>
            <w:tcW w:w="360" w:type="dxa"/>
            <w:vAlign w:val="bottom"/>
            <w:shd w:val="clear" w:color="auto" w:fill="EEEEEE"/>
          </w:tcPr>
          <w:p>
            <w:pPr>
              <w:ind w:left="28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EEEEEE"/>
          </w:tcPr>
          <w:p>
            <w:pPr>
              <w:jc w:val="right"/>
              <w:ind w:right="234"/>
              <w:spacing w:after="0"/>
              <w:rPr>
                <w:sz w:val="20"/>
                <w:szCs w:val="20"/>
                <w:color w:val="auto"/>
              </w:rPr>
            </w:pPr>
            <w:r>
              <w:rPr>
                <w:rFonts w:ascii="Arial" w:cs="Arial" w:eastAsia="Arial" w:hAnsi="Arial"/>
                <w:sz w:val="17"/>
                <w:szCs w:val="17"/>
                <w:color w:val="auto"/>
                <w:w w:val="84"/>
              </w:rPr>
              <w:t>4.83</w:t>
            </w:r>
          </w:p>
        </w:tc>
      </w:tr>
      <w:tr>
        <w:trPr>
          <w:trHeight w:val="106"/>
        </w:trPr>
        <w:tc>
          <w:tcPr>
            <w:tcW w:w="82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r>
    </w:tbl>
    <w:p>
      <w:pPr>
        <w:spacing w:after="0" w:line="290" w:lineRule="exact"/>
        <w:rPr>
          <w:sz w:val="20"/>
          <w:szCs w:val="20"/>
          <w:color w:val="auto"/>
        </w:rPr>
      </w:pPr>
    </w:p>
    <w:p>
      <w:pPr>
        <w:ind w:left="580" w:hanging="574"/>
        <w:spacing w:after="0"/>
        <w:tabs>
          <w:tab w:leader="none" w:pos="58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color w:val="auto"/>
        </w:rPr>
        <w:t>Segment information</w:t>
      </w:r>
    </w:p>
    <w:p>
      <w:pPr>
        <w:spacing w:after="0" w:line="22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Company has adopted SFAS No. 131, “Disclosures about Segments of an Enterprise and Related Information”. SFAS No. 131 establishes standards for the reporting by business enterprises of information about operating segments, products and services, geographic areas, and major customers. The method of determining what information is reported is based on the way that management organizes the operating segments within the Company for making operational decisions and assessments of financial performance. The Company has determined that its reportable segments are those that are based upon internal financial reports that disaggregate certain operating information into six reportable segments. The Company’s chief operating decision maker, as defined in SFAS No. 131, is its chief executive officer, or CEO.</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CEO uses the information presented in these reports to make certain operating decisions. The CEO does not review any report presenting segment balance sheet information. The segment revenues and direct controllable costs, which include salaries, related benefits, third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23" w:name="page124"/>
    <w:bookmarkEnd w:id="123"/>
    <w:p>
      <w:pPr>
        <w:ind w:right="240"/>
        <w:spacing w:after="0" w:line="286" w:lineRule="auto"/>
        <w:rPr>
          <w:sz w:val="20"/>
          <w:szCs w:val="20"/>
          <w:color w:val="auto"/>
        </w:rPr>
      </w:pPr>
      <w:r>
        <w:rPr>
          <w:rFonts w:ascii="Arial" w:cs="Arial" w:eastAsia="Arial" w:hAnsi="Arial"/>
          <w:sz w:val="17"/>
          <w:szCs w:val="17"/>
          <w:color w:val="auto"/>
        </w:rPr>
        <w:t>party contractors, data expense and classroom rentals, for the years ended December 31, 2001, 2002 and 2003 and the nine months ended September 30, 2003 and 2004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713168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1685"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Consulting</w:t>
            </w:r>
            <w:r>
              <w:rPr>
                <w:rFonts w:ascii="Arial" w:cs="Arial" w:eastAsia="Arial" w:hAnsi="Arial"/>
                <w:sz w:val="22"/>
                <w:szCs w:val="22"/>
                <w:b w:val="1"/>
                <w:bCs w:val="1"/>
                <w:color w:val="auto"/>
                <w:vertAlign w:val="superscript"/>
              </w:rPr>
              <w:t>(1)</w:t>
            </w:r>
          </w:p>
        </w:tc>
        <w:tc>
          <w:tcPr>
            <w:tcW w:w="1580" w:type="dxa"/>
            <w:vAlign w:val="bottom"/>
            <w:gridSpan w:val="3"/>
            <w:vMerge w:val="restart"/>
          </w:tcPr>
          <w:p>
            <w:pPr>
              <w:jc w:val="right"/>
              <w:ind w:right="460"/>
              <w:spacing w:after="0"/>
              <w:rPr>
                <w:sz w:val="20"/>
                <w:szCs w:val="20"/>
                <w:color w:val="auto"/>
              </w:rPr>
            </w:pPr>
            <w:r>
              <w:rPr>
                <w:rFonts w:ascii="Arial" w:cs="Arial" w:eastAsia="Arial" w:hAnsi="Arial"/>
                <w:sz w:val="13"/>
                <w:szCs w:val="13"/>
                <w:b w:val="1"/>
                <w:bCs w:val="1"/>
                <w:color w:val="auto"/>
              </w:rPr>
              <w:t>Education</w:t>
            </w:r>
            <w:r>
              <w:rPr>
                <w:rFonts w:ascii="Arial" w:cs="Arial" w:eastAsia="Arial" w:hAnsi="Arial"/>
                <w:sz w:val="22"/>
                <w:szCs w:val="22"/>
                <w:b w:val="1"/>
                <w:bCs w:val="1"/>
                <w:color w:val="auto"/>
                <w:vertAlign w:val="superscript"/>
              </w:rPr>
              <w:t>(2)</w:t>
            </w:r>
          </w:p>
        </w:tc>
        <w:tc>
          <w:tcPr>
            <w:tcW w:w="1460" w:type="dxa"/>
            <w:vAlign w:val="bottom"/>
            <w:gridSpan w:val="3"/>
            <w:vMerge w:val="restart"/>
          </w:tcPr>
          <w:p>
            <w:pPr>
              <w:jc w:val="right"/>
              <w:ind w:right="420"/>
              <w:spacing w:after="0"/>
              <w:rPr>
                <w:sz w:val="20"/>
                <w:szCs w:val="20"/>
                <w:color w:val="auto"/>
              </w:rPr>
            </w:pPr>
            <w:r>
              <w:rPr>
                <w:rFonts w:ascii="Arial" w:cs="Arial" w:eastAsia="Arial" w:hAnsi="Arial"/>
                <w:sz w:val="13"/>
                <w:szCs w:val="13"/>
                <w:b w:val="1"/>
                <w:bCs w:val="1"/>
                <w:color w:val="auto"/>
              </w:rPr>
              <w:t>Analytic</w:t>
            </w:r>
            <w:r>
              <w:rPr>
                <w:rFonts w:ascii="Arial" w:cs="Arial" w:eastAsia="Arial" w:hAnsi="Arial"/>
                <w:sz w:val="22"/>
                <w:szCs w:val="22"/>
                <w:b w:val="1"/>
                <w:bCs w:val="1"/>
                <w:color w:val="auto"/>
                <w:vertAlign w:val="superscript"/>
              </w:rPr>
              <w:t>(3)</w:t>
            </w:r>
          </w:p>
        </w:tc>
        <w:tc>
          <w:tcPr>
            <w:tcW w:w="14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Maintenance</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License</w:t>
            </w:r>
          </w:p>
        </w:tc>
        <w:tc>
          <w:tcPr>
            <w:tcW w:w="1460" w:type="dxa"/>
            <w:vAlign w:val="bottom"/>
            <w:gridSpan w:val="3"/>
            <w:vMerge w:val="continue"/>
          </w:tcPr>
          <w:p>
            <w:pPr>
              <w:spacing w:after="0"/>
              <w:rPr>
                <w:sz w:val="13"/>
                <w:szCs w:val="13"/>
                <w:color w:val="auto"/>
              </w:rPr>
            </w:pPr>
          </w:p>
        </w:tc>
        <w:tc>
          <w:tcPr>
            <w:tcW w:w="1580" w:type="dxa"/>
            <w:vAlign w:val="bottom"/>
            <w:gridSpan w:val="3"/>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and</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fees</w:t>
            </w:r>
          </w:p>
        </w:tc>
        <w:tc>
          <w:tcPr>
            <w:tcW w:w="1460" w:type="dxa"/>
            <w:vAlign w:val="bottom"/>
            <w:gridSpan w:val="3"/>
          </w:tcPr>
          <w:p>
            <w:pPr>
              <w:ind w:left="580"/>
              <w:spacing w:after="0"/>
              <w:rPr>
                <w:sz w:val="20"/>
                <w:szCs w:val="20"/>
                <w:color w:val="auto"/>
              </w:rPr>
            </w:pPr>
            <w:r>
              <w:rPr>
                <w:rFonts w:ascii="Arial" w:cs="Arial" w:eastAsia="Arial" w:hAnsi="Arial"/>
                <w:sz w:val="13"/>
                <w:szCs w:val="13"/>
                <w:b w:val="1"/>
                <w:bCs w:val="1"/>
                <w:color w:val="auto"/>
              </w:rPr>
              <w:t>services</w:t>
            </w:r>
          </w:p>
        </w:tc>
        <w:tc>
          <w:tcPr>
            <w:tcW w:w="158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services</w:t>
            </w:r>
          </w:p>
        </w:tc>
        <w:tc>
          <w:tcPr>
            <w:tcW w:w="14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services</w:t>
            </w:r>
          </w:p>
        </w:tc>
        <w:tc>
          <w:tcPr>
            <w:tcW w:w="142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subscriptions</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Other</w:t>
            </w:r>
          </w:p>
        </w:tc>
        <w:tc>
          <w:tcPr>
            <w:tcW w:w="5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December 31, 2001</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b w:val="1"/>
                <w:bCs w:val="1"/>
                <w:color w:val="auto"/>
              </w:rPr>
              <w:t>Revenue</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$19,300</w:t>
            </w:r>
          </w:p>
        </w:tc>
        <w:tc>
          <w:tcPr>
            <w:tcW w:w="280" w:type="dxa"/>
            <w:vAlign w:val="bottom"/>
          </w:tcPr>
          <w:p>
            <w:pPr>
              <w:spacing w:after="0"/>
              <w:rPr>
                <w:sz w:val="12"/>
                <w:szCs w:val="12"/>
                <w:color w:val="auto"/>
              </w:rPr>
            </w:pPr>
          </w:p>
        </w:tc>
        <w:tc>
          <w:tcPr>
            <w:tcW w:w="660" w:type="dxa"/>
            <w:vAlign w:val="bottom"/>
          </w:tcPr>
          <w:p>
            <w:pPr>
              <w:ind w:left="60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6" w:lineRule="exact"/>
              <w:rPr>
                <w:sz w:val="20"/>
                <w:szCs w:val="20"/>
                <w:color w:val="auto"/>
              </w:rPr>
            </w:pPr>
            <w:r>
              <w:rPr>
                <w:rFonts w:ascii="Arial" w:cs="Arial" w:eastAsia="Arial" w:hAnsi="Arial"/>
                <w:sz w:val="13"/>
                <w:szCs w:val="13"/>
                <w:color w:val="auto"/>
              </w:rPr>
              <w:t>7,864</w:t>
            </w:r>
          </w:p>
        </w:tc>
        <w:tc>
          <w:tcPr>
            <w:tcW w:w="440" w:type="dxa"/>
            <w:vAlign w:val="bottom"/>
          </w:tcPr>
          <w:p>
            <w:pPr>
              <w:spacing w:after="0"/>
              <w:rPr>
                <w:sz w:val="12"/>
                <w:szCs w:val="12"/>
                <w:color w:val="auto"/>
              </w:rPr>
            </w:pPr>
          </w:p>
        </w:tc>
        <w:tc>
          <w:tcPr>
            <w:tcW w:w="11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$10,330</w:t>
            </w:r>
          </w:p>
        </w:tc>
        <w:tc>
          <w:tcPr>
            <w:tcW w:w="46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rPr>
              <w:t>603</w:t>
            </w:r>
          </w:p>
        </w:tc>
        <w:tc>
          <w:tcPr>
            <w:tcW w:w="420" w:type="dxa"/>
            <w:vAlign w:val="bottom"/>
          </w:tcPr>
          <w:p>
            <w:pPr>
              <w:spacing w:after="0"/>
              <w:rPr>
                <w:sz w:val="12"/>
                <w:szCs w:val="12"/>
                <w:color w:val="auto"/>
              </w:rPr>
            </w:pPr>
          </w:p>
        </w:tc>
        <w:tc>
          <w:tcPr>
            <w:tcW w:w="1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$47,022</w:t>
            </w:r>
          </w:p>
        </w:tc>
        <w:tc>
          <w:tcPr>
            <w:tcW w:w="28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$4,915</w:t>
            </w: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90,034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Direct controllable costs</w:t>
            </w:r>
          </w:p>
        </w:tc>
        <w:tc>
          <w:tcPr>
            <w:tcW w:w="7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1,726</w:t>
            </w: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4,990</w:t>
            </w:r>
          </w:p>
        </w:tc>
        <w:tc>
          <w:tcPr>
            <w:tcW w:w="44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3,113</w:t>
            </w: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399</w:t>
            </w:r>
          </w:p>
        </w:tc>
        <w:tc>
          <w:tcPr>
            <w:tcW w:w="42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7,907</w:t>
            </w:r>
          </w:p>
        </w:tc>
        <w:tc>
          <w:tcPr>
            <w:tcW w:w="2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2,733</w:t>
            </w: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20,868</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tcPr>
          <w:p>
            <w:pPr>
              <w:ind w:left="780"/>
              <w:spacing w:after="0"/>
              <w:rPr>
                <w:sz w:val="20"/>
                <w:szCs w:val="20"/>
                <w:color w:val="auto"/>
              </w:rPr>
            </w:pPr>
            <w:r>
              <w:rPr>
                <w:rFonts w:ascii="Arial" w:cs="Arial" w:eastAsia="Arial" w:hAnsi="Arial"/>
                <w:sz w:val="13"/>
                <w:szCs w:val="13"/>
                <w:color w:val="auto"/>
              </w:rPr>
              <w:t>Segment income</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17,574</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2,874</w:t>
            </w:r>
          </w:p>
        </w:tc>
        <w:tc>
          <w:tcPr>
            <w:tcW w:w="4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7,217</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204</w:t>
            </w:r>
          </w:p>
        </w:tc>
        <w:tc>
          <w:tcPr>
            <w:tcW w:w="420" w:type="dxa"/>
            <w:vAlign w:val="bottom"/>
          </w:tcPr>
          <w:p>
            <w:pPr>
              <w:spacing w:after="0"/>
              <w:rPr>
                <w:sz w:val="21"/>
                <w:szCs w:val="21"/>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3"/>
                <w:szCs w:val="13"/>
                <w:color w:val="auto"/>
              </w:rPr>
              <w:t>39,115</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2,182</w:t>
            </w:r>
          </w:p>
        </w:tc>
        <w:tc>
          <w:tcPr>
            <w:tcW w:w="5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69,166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Corporate costs not allocated</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5,594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color w:val="auto"/>
              </w:rPr>
              <w:t>Operating expenses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41,198</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Interest (income) expense, net</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7,867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ind w:left="380"/>
              <w:spacing w:after="0"/>
              <w:rPr>
                <w:sz w:val="20"/>
                <w:szCs w:val="20"/>
                <w:color w:val="auto"/>
              </w:rPr>
            </w:pPr>
            <w:r>
              <w:rPr>
                <w:rFonts w:ascii="Arial" w:cs="Arial" w:eastAsia="Arial" w:hAnsi="Arial"/>
                <w:sz w:val="13"/>
                <w:szCs w:val="13"/>
                <w:color w:val="auto"/>
              </w:rPr>
              <w:t>Other expense (income), net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EEEEEE"/>
          </w:tcPr>
          <w:p>
            <w:pPr>
              <w:ind w:left="380"/>
              <w:spacing w:after="0" w:line="133" w:lineRule="exact"/>
              <w:rPr>
                <w:sz w:val="20"/>
                <w:szCs w:val="20"/>
                <w:color w:val="auto"/>
              </w:rPr>
            </w:pPr>
            <w:r>
              <w:rPr>
                <w:rFonts w:ascii="Arial" w:cs="Arial" w:eastAsia="Arial" w:hAnsi="Arial"/>
                <w:sz w:val="13"/>
                <w:szCs w:val="13"/>
                <w:b w:val="1"/>
                <w:bCs w:val="1"/>
                <w:color w:val="auto"/>
              </w:rPr>
              <w:t>Income before provision for income</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shd w:val="clear" w:color="auto" w:fill="EEEEEE"/>
          </w:tcPr>
          <w:p>
            <w:pPr>
              <w:ind w:left="520"/>
              <w:spacing w:after="0"/>
              <w:rPr>
                <w:sz w:val="20"/>
                <w:szCs w:val="20"/>
                <w:color w:val="auto"/>
              </w:rPr>
            </w:pPr>
            <w:r>
              <w:rPr>
                <w:rFonts w:ascii="Arial" w:cs="Arial" w:eastAsia="Arial" w:hAnsi="Arial"/>
                <w:sz w:val="13"/>
                <w:szCs w:val="13"/>
                <w:b w:val="1"/>
                <w:bCs w:val="1"/>
                <w:color w:val="auto"/>
              </w:rPr>
              <w:t>taxes</w:t>
            </w:r>
          </w:p>
        </w:tc>
        <w:tc>
          <w:tcPr>
            <w:tcW w:w="3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7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7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3"/>
                <w:szCs w:val="13"/>
                <w:color w:val="auto"/>
              </w:rPr>
              <w:t>14,394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December 31, 2002</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b w:val="1"/>
                <w:bCs w:val="1"/>
                <w:color w:val="auto"/>
              </w:rPr>
              <w:t>Revenue</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$20,572</w:t>
            </w:r>
          </w:p>
        </w:tc>
        <w:tc>
          <w:tcPr>
            <w:tcW w:w="280" w:type="dxa"/>
            <w:vAlign w:val="bottom"/>
          </w:tcPr>
          <w:p>
            <w:pPr>
              <w:spacing w:after="0"/>
              <w:rPr>
                <w:sz w:val="12"/>
                <w:szCs w:val="12"/>
                <w:color w:val="auto"/>
              </w:rPr>
            </w:pPr>
          </w:p>
        </w:tc>
        <w:tc>
          <w:tcPr>
            <w:tcW w:w="660" w:type="dxa"/>
            <w:vAlign w:val="bottom"/>
          </w:tcPr>
          <w:p>
            <w:pPr>
              <w:ind w:left="60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40"/>
              <w:spacing w:after="0" w:line="146" w:lineRule="exact"/>
              <w:rPr>
                <w:sz w:val="20"/>
                <w:szCs w:val="20"/>
                <w:color w:val="auto"/>
              </w:rPr>
            </w:pPr>
            <w:r>
              <w:rPr>
                <w:rFonts w:ascii="Arial" w:cs="Arial" w:eastAsia="Arial" w:hAnsi="Arial"/>
                <w:sz w:val="13"/>
                <w:szCs w:val="13"/>
                <w:color w:val="auto"/>
                <w:w w:val="85"/>
              </w:rPr>
              <w:t>11,884</w:t>
            </w:r>
          </w:p>
        </w:tc>
        <w:tc>
          <w:tcPr>
            <w:tcW w:w="11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$12,667</w:t>
            </w:r>
          </w:p>
        </w:tc>
        <w:tc>
          <w:tcPr>
            <w:tcW w:w="46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w w:val="85"/>
              </w:rPr>
              <w:t>2,188</w:t>
            </w:r>
          </w:p>
        </w:tc>
        <w:tc>
          <w:tcPr>
            <w:tcW w:w="420" w:type="dxa"/>
            <w:vAlign w:val="bottom"/>
          </w:tcPr>
          <w:p>
            <w:pPr>
              <w:spacing w:after="0"/>
              <w:rPr>
                <w:sz w:val="12"/>
                <w:szCs w:val="12"/>
                <w:color w:val="auto"/>
              </w:rPr>
            </w:pPr>
          </w:p>
        </w:tc>
        <w:tc>
          <w:tcPr>
            <w:tcW w:w="1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$52,788</w:t>
            </w:r>
          </w:p>
        </w:tc>
        <w:tc>
          <w:tcPr>
            <w:tcW w:w="28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$5,130</w:t>
            </w: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9"/>
              </w:rPr>
              <w:t>105,229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Direct controllable costs</w:t>
            </w:r>
          </w:p>
        </w:tc>
        <w:tc>
          <w:tcPr>
            <w:tcW w:w="7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2,547</w:t>
            </w: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6,643</w:t>
            </w:r>
          </w:p>
        </w:tc>
        <w:tc>
          <w:tcPr>
            <w:tcW w:w="44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4,297</w:t>
            </w: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895</w:t>
            </w:r>
          </w:p>
        </w:tc>
        <w:tc>
          <w:tcPr>
            <w:tcW w:w="42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7,388</w:t>
            </w:r>
          </w:p>
        </w:tc>
        <w:tc>
          <w:tcPr>
            <w:tcW w:w="2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3,592</w:t>
            </w: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25,362</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tcPr>
          <w:p>
            <w:pPr>
              <w:ind w:left="780"/>
              <w:spacing w:after="0"/>
              <w:rPr>
                <w:sz w:val="20"/>
                <w:szCs w:val="20"/>
                <w:color w:val="auto"/>
              </w:rPr>
            </w:pPr>
            <w:r>
              <w:rPr>
                <w:rFonts w:ascii="Arial" w:cs="Arial" w:eastAsia="Arial" w:hAnsi="Arial"/>
                <w:sz w:val="13"/>
                <w:szCs w:val="13"/>
                <w:color w:val="auto"/>
              </w:rPr>
              <w:t>Segment income</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18,025</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5,241</w:t>
            </w:r>
          </w:p>
        </w:tc>
        <w:tc>
          <w:tcPr>
            <w:tcW w:w="4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8,370</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1,293</w:t>
            </w:r>
          </w:p>
        </w:tc>
        <w:tc>
          <w:tcPr>
            <w:tcW w:w="4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45,400</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1,538</w:t>
            </w:r>
          </w:p>
        </w:tc>
        <w:tc>
          <w:tcPr>
            <w:tcW w:w="5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79,867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Corporate costs not allocated</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5,667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color w:val="auto"/>
              </w:rPr>
              <w:t>Operating expenses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45,185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Interest (income) expense, net</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4,272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ind w:left="380"/>
              <w:spacing w:after="0"/>
              <w:rPr>
                <w:sz w:val="20"/>
                <w:szCs w:val="20"/>
                <w:color w:val="auto"/>
              </w:rPr>
            </w:pPr>
            <w:r>
              <w:rPr>
                <w:rFonts w:ascii="Arial" w:cs="Arial" w:eastAsia="Arial" w:hAnsi="Arial"/>
                <w:sz w:val="13"/>
                <w:szCs w:val="13"/>
                <w:color w:val="auto"/>
              </w:rPr>
              <w:t>Other expense (income), net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EEEEEE"/>
          </w:tcPr>
          <w:p>
            <w:pPr>
              <w:ind w:left="380"/>
              <w:spacing w:after="0" w:line="133" w:lineRule="exact"/>
              <w:rPr>
                <w:sz w:val="20"/>
                <w:szCs w:val="20"/>
                <w:color w:val="auto"/>
              </w:rPr>
            </w:pPr>
            <w:r>
              <w:rPr>
                <w:rFonts w:ascii="Arial" w:cs="Arial" w:eastAsia="Arial" w:hAnsi="Arial"/>
                <w:sz w:val="13"/>
                <w:szCs w:val="13"/>
                <w:b w:val="1"/>
                <w:bCs w:val="1"/>
                <w:color w:val="auto"/>
              </w:rPr>
              <w:t>Income before provision for income</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shd w:val="clear" w:color="auto" w:fill="EEEEEE"/>
          </w:tcPr>
          <w:p>
            <w:pPr>
              <w:ind w:left="520"/>
              <w:spacing w:after="0"/>
              <w:rPr>
                <w:sz w:val="20"/>
                <w:szCs w:val="20"/>
                <w:color w:val="auto"/>
              </w:rPr>
            </w:pPr>
            <w:r>
              <w:rPr>
                <w:rFonts w:ascii="Arial" w:cs="Arial" w:eastAsia="Arial" w:hAnsi="Arial"/>
                <w:sz w:val="13"/>
                <w:szCs w:val="13"/>
                <w:b w:val="1"/>
                <w:bCs w:val="1"/>
                <w:color w:val="auto"/>
              </w:rPr>
              <w:t>taxes</w:t>
            </w:r>
          </w:p>
        </w:tc>
        <w:tc>
          <w:tcPr>
            <w:tcW w:w="3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7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7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3"/>
                <w:szCs w:val="13"/>
                <w:color w:val="auto"/>
              </w:rPr>
              <w:t>24,806</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0" w:type="dxa"/>
            <w:vAlign w:val="bottom"/>
            <w:vMerge w:val="continue"/>
          </w:tcPr>
          <w:p>
            <w:pPr>
              <w:spacing w:after="0"/>
              <w:rPr>
                <w:sz w:val="12"/>
                <w:szCs w:val="12"/>
                <w:color w:val="auto"/>
              </w:rPr>
            </w:pPr>
          </w:p>
        </w:tc>
        <w:tc>
          <w:tcPr>
            <w:tcW w:w="2680" w:type="dxa"/>
            <w:vAlign w:val="bottom"/>
            <w:shd w:val="clear" w:color="auto" w:fill="EEEEEE"/>
          </w:tcPr>
          <w:p>
            <w:pPr>
              <w:spacing w:after="0" w:line="146" w:lineRule="exact"/>
              <w:rPr>
                <w:sz w:val="20"/>
                <w:szCs w:val="20"/>
                <w:color w:val="auto"/>
              </w:rPr>
            </w:pPr>
            <w:r>
              <w:rPr>
                <w:rFonts w:ascii="Arial" w:cs="Arial" w:eastAsia="Arial" w:hAnsi="Arial"/>
                <w:sz w:val="13"/>
                <w:szCs w:val="13"/>
                <w:b w:val="1"/>
                <w:bCs w:val="1"/>
                <w:color w:val="auto"/>
              </w:rPr>
              <w:t>December 31, 2003</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b w:val="1"/>
                <w:bCs w:val="1"/>
                <w:color w:val="auto"/>
              </w:rPr>
              <w:t>Revenue</w:t>
            </w:r>
          </w:p>
        </w:tc>
        <w:tc>
          <w:tcPr>
            <w:tcW w:w="7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$21,339</w:t>
            </w:r>
          </w:p>
        </w:tc>
        <w:tc>
          <w:tcPr>
            <w:tcW w:w="280" w:type="dxa"/>
            <w:vAlign w:val="bottom"/>
          </w:tcPr>
          <w:p>
            <w:pPr>
              <w:spacing w:after="0"/>
              <w:rPr>
                <w:sz w:val="12"/>
                <w:szCs w:val="12"/>
                <w:color w:val="auto"/>
              </w:rPr>
            </w:pPr>
          </w:p>
        </w:tc>
        <w:tc>
          <w:tcPr>
            <w:tcW w:w="660" w:type="dxa"/>
            <w:vAlign w:val="bottom"/>
          </w:tcPr>
          <w:p>
            <w:pPr>
              <w:ind w:left="600"/>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6" w:lineRule="exact"/>
              <w:rPr>
                <w:sz w:val="20"/>
                <w:szCs w:val="20"/>
                <w:color w:val="auto"/>
              </w:rPr>
            </w:pPr>
            <w:r>
              <w:rPr>
                <w:rFonts w:ascii="Arial" w:cs="Arial" w:eastAsia="Arial" w:hAnsi="Arial"/>
                <w:sz w:val="13"/>
                <w:szCs w:val="13"/>
                <w:color w:val="auto"/>
                <w:w w:val="85"/>
              </w:rPr>
              <w:t>17,434</w:t>
            </w:r>
          </w:p>
        </w:tc>
        <w:tc>
          <w:tcPr>
            <w:tcW w:w="440" w:type="dxa"/>
            <w:vAlign w:val="bottom"/>
          </w:tcPr>
          <w:p>
            <w:pPr>
              <w:spacing w:after="0"/>
              <w:rPr>
                <w:sz w:val="12"/>
                <w:szCs w:val="12"/>
                <w:color w:val="auto"/>
              </w:rPr>
            </w:pPr>
          </w:p>
        </w:tc>
        <w:tc>
          <w:tcPr>
            <w:tcW w:w="112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$12,997</w:t>
            </w:r>
          </w:p>
        </w:tc>
        <w:tc>
          <w:tcPr>
            <w:tcW w:w="460" w:type="dxa"/>
            <w:vAlign w:val="bottom"/>
          </w:tcPr>
          <w:p>
            <w:pPr>
              <w:spacing w:after="0"/>
              <w:rPr>
                <w:sz w:val="12"/>
                <w:szCs w:val="12"/>
                <w:color w:val="auto"/>
              </w:rPr>
            </w:pPr>
          </w:p>
        </w:tc>
        <w:tc>
          <w:tcPr>
            <w:tcW w:w="7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420"/>
              <w:spacing w:after="0" w:line="146" w:lineRule="exact"/>
              <w:rPr>
                <w:sz w:val="20"/>
                <w:szCs w:val="20"/>
                <w:color w:val="auto"/>
              </w:rPr>
            </w:pPr>
            <w:r>
              <w:rPr>
                <w:rFonts w:ascii="Arial" w:cs="Arial" w:eastAsia="Arial" w:hAnsi="Arial"/>
                <w:sz w:val="13"/>
                <w:szCs w:val="13"/>
                <w:color w:val="auto"/>
                <w:w w:val="85"/>
              </w:rPr>
              <w:t>3,611</w:t>
            </w:r>
          </w:p>
        </w:tc>
        <w:tc>
          <w:tcPr>
            <w:tcW w:w="1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$58,360</w:t>
            </w:r>
          </w:p>
        </w:tc>
        <w:tc>
          <w:tcPr>
            <w:tcW w:w="280" w:type="dxa"/>
            <w:vAlign w:val="bottom"/>
          </w:tcPr>
          <w:p>
            <w:pPr>
              <w:spacing w:after="0"/>
              <w:rPr>
                <w:sz w:val="12"/>
                <w:szCs w:val="12"/>
                <w:color w:val="auto"/>
              </w:rPr>
            </w:pPr>
          </w:p>
        </w:tc>
        <w:tc>
          <w:tcPr>
            <w:tcW w:w="6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$4,352</w:t>
            </w:r>
          </w:p>
        </w:tc>
        <w:tc>
          <w:tcPr>
            <w:tcW w:w="54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9"/>
              </w:rPr>
              <w:t>118,093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Direct controllable costs</w:t>
            </w:r>
          </w:p>
        </w:tc>
        <w:tc>
          <w:tcPr>
            <w:tcW w:w="7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2,819</w:t>
            </w: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rPr>
              <w:t>8,836</w:t>
            </w:r>
          </w:p>
        </w:tc>
        <w:tc>
          <w:tcPr>
            <w:tcW w:w="440" w:type="dxa"/>
            <w:vAlign w:val="bottom"/>
            <w:shd w:val="clear" w:color="auto" w:fill="EEEEEE"/>
          </w:tcPr>
          <w:p>
            <w:pPr>
              <w:spacing w:after="0"/>
              <w:rPr>
                <w:sz w:val="12"/>
                <w:szCs w:val="12"/>
                <w:color w:val="auto"/>
              </w:rPr>
            </w:pPr>
          </w:p>
        </w:tc>
        <w:tc>
          <w:tcPr>
            <w:tcW w:w="112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4,178</w:t>
            </w: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jc w:val="right"/>
              <w:spacing w:after="0" w:line="146" w:lineRule="exact"/>
              <w:rPr>
                <w:sz w:val="20"/>
                <w:szCs w:val="20"/>
                <w:color w:val="auto"/>
              </w:rPr>
            </w:pPr>
            <w:r>
              <w:rPr>
                <w:rFonts w:ascii="Arial" w:cs="Arial" w:eastAsia="Arial" w:hAnsi="Arial"/>
                <w:sz w:val="13"/>
                <w:szCs w:val="13"/>
                <w:color w:val="auto"/>
                <w:w w:val="85"/>
              </w:rPr>
              <w:t>1,845</w:t>
            </w:r>
          </w:p>
        </w:tc>
        <w:tc>
          <w:tcPr>
            <w:tcW w:w="420" w:type="dxa"/>
            <w:vAlign w:val="bottom"/>
            <w:shd w:val="clear" w:color="auto" w:fill="EEEEEE"/>
          </w:tcPr>
          <w:p>
            <w:pPr>
              <w:spacing w:after="0"/>
              <w:rPr>
                <w:sz w:val="12"/>
                <w:szCs w:val="12"/>
                <w:color w:val="auto"/>
              </w:rPr>
            </w:pPr>
          </w:p>
        </w:tc>
        <w:tc>
          <w:tcPr>
            <w:tcW w:w="11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8,562</w:t>
            </w:r>
          </w:p>
        </w:tc>
        <w:tc>
          <w:tcPr>
            <w:tcW w:w="280" w:type="dxa"/>
            <w:vAlign w:val="bottom"/>
            <w:shd w:val="clear" w:color="auto" w:fill="EEEEEE"/>
          </w:tcPr>
          <w:p>
            <w:pPr>
              <w:spacing w:after="0"/>
              <w:rPr>
                <w:sz w:val="12"/>
                <w:szCs w:val="12"/>
                <w:color w:val="auto"/>
              </w:rPr>
            </w:pPr>
          </w:p>
        </w:tc>
        <w:tc>
          <w:tcPr>
            <w:tcW w:w="640" w:type="dxa"/>
            <w:vAlign w:val="bottom"/>
            <w:gridSpan w:val="2"/>
            <w:shd w:val="clear" w:color="auto" w:fill="EEEEEE"/>
          </w:tcPr>
          <w:p>
            <w:pPr>
              <w:jc w:val="right"/>
              <w:spacing w:after="0" w:line="146" w:lineRule="exact"/>
              <w:rPr>
                <w:sz w:val="20"/>
                <w:szCs w:val="20"/>
                <w:color w:val="auto"/>
              </w:rPr>
            </w:pPr>
            <w:r>
              <w:rPr>
                <w:rFonts w:ascii="Arial" w:cs="Arial" w:eastAsia="Arial" w:hAnsi="Arial"/>
                <w:sz w:val="13"/>
                <w:szCs w:val="13"/>
                <w:color w:val="auto"/>
              </w:rPr>
              <w:t>3,684</w:t>
            </w: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29,924</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680" w:type="dxa"/>
            <w:vAlign w:val="bottom"/>
          </w:tcPr>
          <w:p>
            <w:pPr>
              <w:ind w:left="780"/>
              <w:spacing w:after="0"/>
              <w:rPr>
                <w:sz w:val="20"/>
                <w:szCs w:val="20"/>
                <w:color w:val="auto"/>
              </w:rPr>
            </w:pPr>
            <w:r>
              <w:rPr>
                <w:rFonts w:ascii="Arial" w:cs="Arial" w:eastAsia="Arial" w:hAnsi="Arial"/>
                <w:sz w:val="13"/>
                <w:szCs w:val="13"/>
                <w:color w:val="auto"/>
              </w:rPr>
              <w:t>Segment income</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18,520</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8,598</w:t>
            </w:r>
          </w:p>
        </w:tc>
        <w:tc>
          <w:tcPr>
            <w:tcW w:w="4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8,819</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1,766</w:t>
            </w:r>
          </w:p>
        </w:tc>
        <w:tc>
          <w:tcPr>
            <w:tcW w:w="4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49,798</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668</w:t>
            </w:r>
          </w:p>
        </w:tc>
        <w:tc>
          <w:tcPr>
            <w:tcW w:w="5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88,169</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Corporate costs not allocated</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9,450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tcPr>
          <w:p>
            <w:pPr>
              <w:ind w:left="380"/>
              <w:spacing w:after="0" w:line="146" w:lineRule="exact"/>
              <w:rPr>
                <w:sz w:val="20"/>
                <w:szCs w:val="20"/>
                <w:color w:val="auto"/>
              </w:rPr>
            </w:pPr>
            <w:r>
              <w:rPr>
                <w:rFonts w:ascii="Arial" w:cs="Arial" w:eastAsia="Arial" w:hAnsi="Arial"/>
                <w:sz w:val="13"/>
                <w:szCs w:val="13"/>
                <w:color w:val="auto"/>
              </w:rPr>
              <w:t>Operating expenses</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73,023</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680" w:type="dxa"/>
            <w:vAlign w:val="bottom"/>
            <w:shd w:val="clear" w:color="auto" w:fill="EEEEEE"/>
          </w:tcPr>
          <w:p>
            <w:pPr>
              <w:ind w:left="380"/>
              <w:spacing w:after="0" w:line="146" w:lineRule="exact"/>
              <w:rPr>
                <w:sz w:val="20"/>
                <w:szCs w:val="20"/>
                <w:color w:val="auto"/>
              </w:rPr>
            </w:pPr>
            <w:r>
              <w:rPr>
                <w:rFonts w:ascii="Arial" w:cs="Arial" w:eastAsia="Arial" w:hAnsi="Arial"/>
                <w:sz w:val="13"/>
                <w:szCs w:val="13"/>
                <w:color w:val="auto"/>
              </w:rPr>
              <w:t>Interest (income) expense, net</w:t>
            </w:r>
          </w:p>
        </w:tc>
        <w:tc>
          <w:tcPr>
            <w:tcW w:w="34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460" w:type="dxa"/>
            <w:vAlign w:val="bottom"/>
            <w:shd w:val="clear" w:color="auto" w:fill="EEEEEE"/>
          </w:tcPr>
          <w:p>
            <w:pPr>
              <w:spacing w:after="0"/>
              <w:rPr>
                <w:sz w:val="12"/>
                <w:szCs w:val="12"/>
                <w:color w:val="auto"/>
              </w:rPr>
            </w:pPr>
          </w:p>
        </w:tc>
        <w:tc>
          <w:tcPr>
            <w:tcW w:w="7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ind w:right="180"/>
              <w:spacing w:after="0" w:line="146" w:lineRule="exact"/>
              <w:rPr>
                <w:sz w:val="20"/>
                <w:szCs w:val="20"/>
                <w:color w:val="auto"/>
              </w:rPr>
            </w:pPr>
            <w:r>
              <w:rPr>
                <w:rFonts w:ascii="Arial" w:cs="Arial" w:eastAsia="Arial" w:hAnsi="Arial"/>
                <w:sz w:val="13"/>
                <w:szCs w:val="13"/>
                <w:color w:val="auto"/>
              </w:rPr>
              <w:t>2,462</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tcPr>
          <w:p>
            <w:pPr>
              <w:ind w:left="380"/>
              <w:spacing w:after="0"/>
              <w:rPr>
                <w:sz w:val="20"/>
                <w:szCs w:val="20"/>
                <w:color w:val="auto"/>
              </w:rPr>
            </w:pPr>
            <w:r>
              <w:rPr>
                <w:rFonts w:ascii="Arial" w:cs="Arial" w:eastAsia="Arial" w:hAnsi="Arial"/>
                <w:sz w:val="13"/>
                <w:szCs w:val="13"/>
                <w:color w:val="auto"/>
              </w:rPr>
              <w:t>Other expense (income), net</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(235)</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80" w:type="dxa"/>
            <w:vAlign w:val="bottom"/>
            <w:shd w:val="clear" w:color="auto" w:fill="EEEEEE"/>
          </w:tcPr>
          <w:p>
            <w:pPr>
              <w:ind w:left="380"/>
              <w:spacing w:after="0" w:line="133" w:lineRule="exact"/>
              <w:rPr>
                <w:sz w:val="20"/>
                <w:szCs w:val="20"/>
                <w:color w:val="auto"/>
              </w:rPr>
            </w:pPr>
            <w:r>
              <w:rPr>
                <w:rFonts w:ascii="Arial" w:cs="Arial" w:eastAsia="Arial" w:hAnsi="Arial"/>
                <w:sz w:val="13"/>
                <w:szCs w:val="13"/>
                <w:b w:val="1"/>
                <w:bCs w:val="1"/>
                <w:color w:val="auto"/>
              </w:rPr>
              <w:t>Income before provision for income</w:t>
            </w:r>
          </w:p>
        </w:tc>
        <w:tc>
          <w:tcPr>
            <w:tcW w:w="34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46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80" w:type="dxa"/>
            <w:vAlign w:val="bottom"/>
            <w:shd w:val="clear" w:color="auto" w:fill="EEEEEE"/>
          </w:tcPr>
          <w:p>
            <w:pPr>
              <w:ind w:left="520"/>
              <w:spacing w:after="0"/>
              <w:rPr>
                <w:sz w:val="20"/>
                <w:szCs w:val="20"/>
                <w:color w:val="auto"/>
              </w:rPr>
            </w:pPr>
            <w:r>
              <w:rPr>
                <w:rFonts w:ascii="Arial" w:cs="Arial" w:eastAsia="Arial" w:hAnsi="Arial"/>
                <w:sz w:val="13"/>
                <w:szCs w:val="13"/>
                <w:b w:val="1"/>
                <w:bCs w:val="1"/>
                <w:color w:val="auto"/>
              </w:rPr>
              <w:t>taxes</w:t>
            </w:r>
          </w:p>
        </w:tc>
        <w:tc>
          <w:tcPr>
            <w:tcW w:w="34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6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76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460" w:type="dxa"/>
            <w:vAlign w:val="bottom"/>
            <w:shd w:val="clear" w:color="auto" w:fill="EEEEEE"/>
          </w:tcPr>
          <w:p>
            <w:pPr>
              <w:spacing w:after="0"/>
              <w:rPr>
                <w:sz w:val="13"/>
                <w:szCs w:val="13"/>
                <w:color w:val="auto"/>
              </w:rPr>
            </w:pPr>
          </w:p>
        </w:tc>
        <w:tc>
          <w:tcPr>
            <w:tcW w:w="7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60" w:type="dxa"/>
            <w:vAlign w:val="bottom"/>
            <w:shd w:val="clear" w:color="auto" w:fill="EEEEEE"/>
          </w:tcPr>
          <w:p>
            <w:pPr>
              <w:spacing w:after="0"/>
              <w:rPr>
                <w:sz w:val="13"/>
                <w:szCs w:val="13"/>
                <w:color w:val="auto"/>
              </w:rPr>
            </w:pPr>
          </w:p>
        </w:tc>
        <w:tc>
          <w:tcPr>
            <w:tcW w:w="280" w:type="dxa"/>
            <w:vAlign w:val="bottom"/>
            <w:shd w:val="clear" w:color="auto" w:fill="EEEEEE"/>
          </w:tcPr>
          <w:p>
            <w:pPr>
              <w:spacing w:after="0"/>
              <w:rPr>
                <w:sz w:val="13"/>
                <w:szCs w:val="13"/>
                <w:color w:val="auto"/>
              </w:rPr>
            </w:pPr>
          </w:p>
        </w:tc>
        <w:tc>
          <w:tcPr>
            <w:tcW w:w="340" w:type="dxa"/>
            <w:vAlign w:val="bottom"/>
            <w:shd w:val="clear" w:color="auto" w:fill="EEEEEE"/>
          </w:tcPr>
          <w:p>
            <w:pPr>
              <w:spacing w:after="0"/>
              <w:rPr>
                <w:sz w:val="13"/>
                <w:szCs w:val="13"/>
                <w:color w:val="auto"/>
              </w:rPr>
            </w:pPr>
          </w:p>
        </w:tc>
        <w:tc>
          <w:tcPr>
            <w:tcW w:w="300" w:type="dxa"/>
            <w:vAlign w:val="bottom"/>
            <w:shd w:val="clear" w:color="auto" w:fill="EEEEEE"/>
          </w:tcPr>
          <w:p>
            <w:pPr>
              <w:spacing w:after="0"/>
              <w:rPr>
                <w:sz w:val="13"/>
                <w:szCs w:val="13"/>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EEEEEE"/>
          </w:tcPr>
          <w:p>
            <w:pPr>
              <w:jc w:val="right"/>
              <w:ind w:right="180"/>
              <w:spacing w:after="0"/>
              <w:rPr>
                <w:sz w:val="20"/>
                <w:szCs w:val="20"/>
                <w:color w:val="auto"/>
              </w:rPr>
            </w:pPr>
            <w:r>
              <w:rPr>
                <w:rFonts w:ascii="Arial" w:cs="Arial" w:eastAsia="Arial" w:hAnsi="Arial"/>
                <w:sz w:val="13"/>
                <w:szCs w:val="13"/>
                <w:color w:val="auto"/>
              </w:rPr>
              <w:t>3,469</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5"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Consulting</w:t>
            </w:r>
            <w:r>
              <w:rPr>
                <w:rFonts w:ascii="Arial" w:cs="Arial" w:eastAsia="Arial" w:hAnsi="Arial"/>
                <w:sz w:val="22"/>
                <w:szCs w:val="22"/>
                <w:b w:val="1"/>
                <w:bCs w:val="1"/>
                <w:color w:val="auto"/>
                <w:vertAlign w:val="superscript"/>
              </w:rPr>
              <w:t>(1)</w:t>
            </w:r>
          </w:p>
        </w:tc>
        <w:tc>
          <w:tcPr>
            <w:tcW w:w="1600" w:type="dxa"/>
            <w:vAlign w:val="bottom"/>
            <w:gridSpan w:val="3"/>
            <w:vMerge w:val="restart"/>
          </w:tcPr>
          <w:p>
            <w:pPr>
              <w:jc w:val="right"/>
              <w:ind w:right="440"/>
              <w:spacing w:after="0"/>
              <w:rPr>
                <w:sz w:val="20"/>
                <w:szCs w:val="20"/>
                <w:color w:val="auto"/>
              </w:rPr>
            </w:pPr>
            <w:r>
              <w:rPr>
                <w:rFonts w:ascii="Arial" w:cs="Arial" w:eastAsia="Arial" w:hAnsi="Arial"/>
                <w:sz w:val="13"/>
                <w:szCs w:val="13"/>
                <w:b w:val="1"/>
                <w:bCs w:val="1"/>
                <w:color w:val="auto"/>
              </w:rPr>
              <w:t>Education</w:t>
            </w:r>
            <w:r>
              <w:rPr>
                <w:rFonts w:ascii="Arial" w:cs="Arial" w:eastAsia="Arial" w:hAnsi="Arial"/>
                <w:sz w:val="22"/>
                <w:szCs w:val="22"/>
                <w:b w:val="1"/>
                <w:bCs w:val="1"/>
                <w:color w:val="auto"/>
                <w:vertAlign w:val="superscript"/>
              </w:rPr>
              <w:t>(2)</w:t>
            </w:r>
          </w:p>
        </w:tc>
        <w:tc>
          <w:tcPr>
            <w:tcW w:w="1460" w:type="dxa"/>
            <w:vAlign w:val="bottom"/>
            <w:gridSpan w:val="3"/>
            <w:vMerge w:val="restart"/>
          </w:tcPr>
          <w:p>
            <w:pPr>
              <w:jc w:val="right"/>
              <w:ind w:right="400"/>
              <w:spacing w:after="0"/>
              <w:rPr>
                <w:sz w:val="20"/>
                <w:szCs w:val="20"/>
                <w:color w:val="auto"/>
              </w:rPr>
            </w:pPr>
            <w:r>
              <w:rPr>
                <w:rFonts w:ascii="Arial" w:cs="Arial" w:eastAsia="Arial" w:hAnsi="Arial"/>
                <w:sz w:val="13"/>
                <w:szCs w:val="13"/>
                <w:b w:val="1"/>
                <w:bCs w:val="1"/>
                <w:color w:val="auto"/>
              </w:rPr>
              <w:t>Analytic</w:t>
            </w:r>
            <w:r>
              <w:rPr>
                <w:rFonts w:ascii="Arial" w:cs="Arial" w:eastAsia="Arial" w:hAnsi="Arial"/>
                <w:sz w:val="22"/>
                <w:szCs w:val="22"/>
                <w:b w:val="1"/>
                <w:bCs w:val="1"/>
                <w:color w:val="auto"/>
                <w:vertAlign w:val="superscript"/>
              </w:rPr>
              <w:t>(3)</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Maintenance</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0"/>
              </w:rPr>
              <w:t>License</w:t>
            </w:r>
          </w:p>
        </w:tc>
        <w:tc>
          <w:tcPr>
            <w:tcW w:w="1540" w:type="dxa"/>
            <w:vAlign w:val="bottom"/>
            <w:gridSpan w:val="3"/>
            <w:vMerge w:val="continue"/>
          </w:tcPr>
          <w:p>
            <w:pPr>
              <w:spacing w:after="0"/>
              <w:rPr>
                <w:sz w:val="13"/>
                <w:szCs w:val="13"/>
                <w:color w:val="auto"/>
              </w:rPr>
            </w:pPr>
          </w:p>
        </w:tc>
        <w:tc>
          <w:tcPr>
            <w:tcW w:w="1600" w:type="dxa"/>
            <w:vAlign w:val="bottom"/>
            <w:gridSpan w:val="3"/>
            <w:vMerge w:val="continue"/>
          </w:tcPr>
          <w:p>
            <w:pPr>
              <w:spacing w:after="0"/>
              <w:rPr>
                <w:sz w:val="13"/>
                <w:szCs w:val="13"/>
                <w:color w:val="auto"/>
              </w:rPr>
            </w:pPr>
          </w:p>
        </w:tc>
        <w:tc>
          <w:tcPr>
            <w:tcW w:w="1460" w:type="dxa"/>
            <w:vAlign w:val="bottom"/>
            <w:gridSpan w:val="3"/>
            <w:vMerge w:val="continue"/>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and</w:t>
            </w: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fees</w:t>
            </w:r>
          </w:p>
        </w:tc>
        <w:tc>
          <w:tcPr>
            <w:tcW w:w="62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8"/>
              </w:rPr>
              <w:t>services</w:t>
            </w:r>
          </w:p>
        </w:tc>
        <w:tc>
          <w:tcPr>
            <w:tcW w:w="70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84"/>
              </w:rPr>
              <w:t>services</w:t>
            </w:r>
          </w:p>
        </w:tc>
        <w:tc>
          <w:tcPr>
            <w:tcW w:w="146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services</w:t>
            </w:r>
          </w:p>
        </w:tc>
        <w:tc>
          <w:tcPr>
            <w:tcW w:w="13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subscriptions</w:t>
            </w:r>
          </w:p>
        </w:tc>
        <w:tc>
          <w:tcPr>
            <w:tcW w:w="30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6"/>
              </w:rPr>
              <w:t>September 30, 2003 (unaudited)</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b w:val="1"/>
                <w:bCs w:val="1"/>
                <w:color w:val="auto"/>
              </w:rPr>
              <w:t>Revenue</w:t>
            </w: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$15,427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$12,957</w:t>
            </w:r>
          </w:p>
        </w:tc>
        <w:tc>
          <w:tcPr>
            <w:tcW w:w="440" w:type="dxa"/>
            <w:vAlign w:val="bottom"/>
          </w:tcPr>
          <w:p>
            <w:pPr>
              <w:spacing w:after="0"/>
              <w:rPr>
                <w:sz w:val="18"/>
                <w:szCs w:val="18"/>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7"/>
                <w:szCs w:val="17"/>
                <w:color w:val="auto"/>
              </w:rPr>
              <w:t>$10,179</w:t>
            </w:r>
          </w:p>
        </w:tc>
        <w:tc>
          <w:tcPr>
            <w:tcW w:w="1460" w:type="dxa"/>
            <w:vAlign w:val="bottom"/>
            <w:gridSpan w:val="3"/>
          </w:tcPr>
          <w:p>
            <w:pPr>
              <w:jc w:val="right"/>
              <w:ind w:right="400"/>
              <w:spacing w:after="0"/>
              <w:rPr>
                <w:sz w:val="20"/>
                <w:szCs w:val="20"/>
                <w:color w:val="auto"/>
              </w:rPr>
            </w:pPr>
            <w:r>
              <w:rPr>
                <w:rFonts w:ascii="Arial" w:cs="Arial" w:eastAsia="Arial" w:hAnsi="Arial"/>
                <w:sz w:val="17"/>
                <w:szCs w:val="17"/>
                <w:color w:val="auto"/>
              </w:rPr>
              <w:t>$2,752</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$43,271</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$2,906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87,492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Direct controllable costs</w:t>
            </w:r>
          </w:p>
        </w:tc>
        <w:tc>
          <w:tcPr>
            <w:tcW w:w="1040" w:type="dxa"/>
            <w:vAlign w:val="bottom"/>
            <w:gridSpan w:val="3"/>
            <w:shd w:val="clear" w:color="auto" w:fill="EEEEEE"/>
          </w:tcPr>
          <w:p>
            <w:pPr>
              <w:jc w:val="right"/>
              <w:ind w:right="340"/>
              <w:spacing w:after="0"/>
              <w:rPr>
                <w:sz w:val="20"/>
                <w:szCs w:val="20"/>
                <w:color w:val="auto"/>
              </w:rPr>
            </w:pPr>
            <w:r>
              <w:rPr>
                <w:rFonts w:ascii="Arial" w:cs="Arial" w:eastAsia="Arial" w:hAnsi="Arial"/>
                <w:sz w:val="17"/>
                <w:szCs w:val="17"/>
                <w:color w:val="auto"/>
              </w:rPr>
              <w:t>2,110</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6,589</w:t>
            </w:r>
          </w:p>
        </w:tc>
        <w:tc>
          <w:tcPr>
            <w:tcW w:w="4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440"/>
              <w:spacing w:after="0"/>
              <w:rPr>
                <w:sz w:val="20"/>
                <w:szCs w:val="20"/>
                <w:color w:val="auto"/>
              </w:rPr>
            </w:pPr>
            <w:r>
              <w:rPr>
                <w:rFonts w:ascii="Arial" w:cs="Arial" w:eastAsia="Arial" w:hAnsi="Arial"/>
                <w:sz w:val="17"/>
                <w:szCs w:val="17"/>
                <w:color w:val="auto"/>
              </w:rPr>
              <w:t>3,299</w:t>
            </w:r>
          </w:p>
        </w:tc>
        <w:tc>
          <w:tcPr>
            <w:tcW w:w="1460" w:type="dxa"/>
            <w:vAlign w:val="bottom"/>
            <w:gridSpan w:val="3"/>
            <w:shd w:val="clear" w:color="auto" w:fill="EEEEEE"/>
          </w:tcPr>
          <w:p>
            <w:pPr>
              <w:jc w:val="right"/>
              <w:ind w:right="400"/>
              <w:spacing w:after="0"/>
              <w:rPr>
                <w:sz w:val="20"/>
                <w:szCs w:val="20"/>
                <w:color w:val="auto"/>
              </w:rPr>
            </w:pPr>
            <w:r>
              <w:rPr>
                <w:rFonts w:ascii="Arial" w:cs="Arial" w:eastAsia="Arial" w:hAnsi="Arial"/>
                <w:sz w:val="17"/>
                <w:szCs w:val="17"/>
                <w:color w:val="auto"/>
              </w:rPr>
              <w:t>1,087</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6,632</w:t>
            </w:r>
          </w:p>
        </w:tc>
        <w:tc>
          <w:tcPr>
            <w:tcW w:w="900" w:type="dxa"/>
            <w:vAlign w:val="bottom"/>
            <w:gridSpan w:val="3"/>
            <w:shd w:val="clear" w:color="auto" w:fill="EEEEEE"/>
          </w:tcPr>
          <w:p>
            <w:pPr>
              <w:jc w:val="right"/>
              <w:ind w:right="200"/>
              <w:spacing w:after="0"/>
              <w:rPr>
                <w:sz w:val="20"/>
                <w:szCs w:val="20"/>
                <w:color w:val="auto"/>
              </w:rPr>
            </w:pPr>
            <w:r>
              <w:rPr>
                <w:rFonts w:ascii="Arial" w:cs="Arial" w:eastAsia="Arial" w:hAnsi="Arial"/>
                <w:sz w:val="17"/>
                <w:szCs w:val="17"/>
                <w:color w:val="auto"/>
              </w:rPr>
              <w:t>2,536</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22,253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480" w:type="dxa"/>
            <w:vAlign w:val="bottom"/>
          </w:tcPr>
          <w:p>
            <w:pPr>
              <w:ind w:left="780"/>
              <w:spacing w:after="0"/>
              <w:rPr>
                <w:sz w:val="20"/>
                <w:szCs w:val="20"/>
                <w:color w:val="auto"/>
              </w:rPr>
            </w:pPr>
            <w:r>
              <w:rPr>
                <w:rFonts w:ascii="Arial" w:cs="Arial" w:eastAsia="Arial" w:hAnsi="Arial"/>
                <w:sz w:val="17"/>
                <w:szCs w:val="17"/>
                <w:color w:val="auto"/>
              </w:rPr>
              <w:t>Segment income</w:t>
            </w: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13,317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6,368</w:t>
            </w:r>
          </w:p>
        </w:tc>
        <w:tc>
          <w:tcPr>
            <w:tcW w:w="440" w:type="dxa"/>
            <w:vAlign w:val="bottom"/>
          </w:tcPr>
          <w:p>
            <w:pPr>
              <w:spacing w:after="0"/>
              <w:rPr>
                <w:sz w:val="24"/>
                <w:szCs w:val="2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7"/>
                <w:szCs w:val="17"/>
                <w:color w:val="auto"/>
              </w:rPr>
              <w:t>6,880</w:t>
            </w:r>
          </w:p>
        </w:tc>
        <w:tc>
          <w:tcPr>
            <w:tcW w:w="1460" w:type="dxa"/>
            <w:vAlign w:val="bottom"/>
            <w:gridSpan w:val="3"/>
          </w:tcPr>
          <w:p>
            <w:pPr>
              <w:jc w:val="right"/>
              <w:ind w:right="400"/>
              <w:spacing w:after="0"/>
              <w:rPr>
                <w:sz w:val="20"/>
                <w:szCs w:val="20"/>
                <w:color w:val="auto"/>
              </w:rPr>
            </w:pPr>
            <w:r>
              <w:rPr>
                <w:rFonts w:ascii="Arial" w:cs="Arial" w:eastAsia="Arial" w:hAnsi="Arial"/>
                <w:sz w:val="17"/>
                <w:szCs w:val="17"/>
                <w:color w:val="auto"/>
              </w:rPr>
              <w:t>1,665</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36,639</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370</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65,239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Corporate costs not</w:t>
            </w: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80" w:type="dxa"/>
            <w:vAlign w:val="bottom"/>
            <w:shd w:val="clear" w:color="auto" w:fill="EEEEEE"/>
          </w:tcPr>
          <w:p>
            <w:pPr>
              <w:ind w:left="520"/>
              <w:spacing w:after="0"/>
              <w:rPr>
                <w:sz w:val="20"/>
                <w:szCs w:val="20"/>
                <w:color w:val="auto"/>
              </w:rPr>
            </w:pPr>
            <w:r>
              <w:rPr>
                <w:rFonts w:ascii="Arial" w:cs="Arial" w:eastAsia="Arial" w:hAnsi="Arial"/>
                <w:sz w:val="17"/>
                <w:szCs w:val="17"/>
                <w:color w:val="auto"/>
              </w:rPr>
              <w:t>allocated</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6,791</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53,665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Interest (income) expense</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2,146</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color w:val="auto"/>
                <w:w w:val="96"/>
              </w:rPr>
              <w:t>Other expense (income), net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b w:val="1"/>
                <w:bCs w:val="1"/>
                <w:color w:val="auto"/>
              </w:rPr>
              <w:t>Income before provision</w:t>
            </w: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for income taxes</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2,537</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EEEEEE"/>
          </w:tcPr>
          <w:p>
            <w:pPr>
              <w:spacing w:after="0"/>
              <w:rPr>
                <w:sz w:val="20"/>
                <w:szCs w:val="20"/>
                <w:color w:val="auto"/>
              </w:rPr>
            </w:pPr>
            <w:r>
              <w:rPr>
                <w:rFonts w:ascii="Arial" w:cs="Arial" w:eastAsia="Arial" w:hAnsi="Arial"/>
                <w:sz w:val="17"/>
                <w:szCs w:val="17"/>
                <w:b w:val="1"/>
                <w:bCs w:val="1"/>
                <w:color w:val="auto"/>
                <w:w w:val="96"/>
              </w:rPr>
              <w:t>September 30, 2004 (unaudited)</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b w:val="1"/>
                <w:bCs w:val="1"/>
                <w:color w:val="auto"/>
              </w:rPr>
              <w:t>Revenue</w:t>
            </w: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$18,614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$17,398</w:t>
            </w:r>
          </w:p>
        </w:tc>
        <w:tc>
          <w:tcPr>
            <w:tcW w:w="440" w:type="dxa"/>
            <w:vAlign w:val="bottom"/>
          </w:tcPr>
          <w:p>
            <w:pPr>
              <w:spacing w:after="0"/>
              <w:rPr>
                <w:sz w:val="18"/>
                <w:szCs w:val="18"/>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7"/>
                <w:szCs w:val="17"/>
                <w:color w:val="auto"/>
              </w:rPr>
              <w:t>$11,357</w:t>
            </w:r>
          </w:p>
        </w:tc>
        <w:tc>
          <w:tcPr>
            <w:tcW w:w="1460" w:type="dxa"/>
            <w:vAlign w:val="bottom"/>
            <w:gridSpan w:val="3"/>
          </w:tcPr>
          <w:p>
            <w:pPr>
              <w:jc w:val="right"/>
              <w:ind w:right="400"/>
              <w:spacing w:after="0"/>
              <w:rPr>
                <w:sz w:val="20"/>
                <w:szCs w:val="20"/>
                <w:color w:val="auto"/>
              </w:rPr>
            </w:pPr>
            <w:r>
              <w:rPr>
                <w:rFonts w:ascii="Arial" w:cs="Arial" w:eastAsia="Arial" w:hAnsi="Arial"/>
                <w:sz w:val="17"/>
                <w:szCs w:val="17"/>
                <w:color w:val="auto"/>
              </w:rPr>
              <w:t>$3,923</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$48,886</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$2,849</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103,027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Direct controllable costs</w:t>
            </w:r>
          </w:p>
        </w:tc>
        <w:tc>
          <w:tcPr>
            <w:tcW w:w="1040" w:type="dxa"/>
            <w:vAlign w:val="bottom"/>
            <w:gridSpan w:val="3"/>
            <w:shd w:val="clear" w:color="auto" w:fill="EEEEEE"/>
          </w:tcPr>
          <w:p>
            <w:pPr>
              <w:jc w:val="right"/>
              <w:ind w:right="340"/>
              <w:spacing w:after="0"/>
              <w:rPr>
                <w:sz w:val="20"/>
                <w:szCs w:val="20"/>
                <w:color w:val="auto"/>
              </w:rPr>
            </w:pPr>
            <w:r>
              <w:rPr>
                <w:rFonts w:ascii="Arial" w:cs="Arial" w:eastAsia="Arial" w:hAnsi="Arial"/>
                <w:sz w:val="17"/>
                <w:szCs w:val="17"/>
                <w:color w:val="auto"/>
              </w:rPr>
              <w:t>2,733</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9,028</w:t>
            </w:r>
          </w:p>
        </w:tc>
        <w:tc>
          <w:tcPr>
            <w:tcW w:w="44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440"/>
              <w:spacing w:after="0"/>
              <w:rPr>
                <w:sz w:val="20"/>
                <w:szCs w:val="20"/>
                <w:color w:val="auto"/>
              </w:rPr>
            </w:pPr>
            <w:r>
              <w:rPr>
                <w:rFonts w:ascii="Arial" w:cs="Arial" w:eastAsia="Arial" w:hAnsi="Arial"/>
                <w:sz w:val="17"/>
                <w:szCs w:val="17"/>
                <w:color w:val="auto"/>
              </w:rPr>
              <w:t>3,590</w:t>
            </w:r>
          </w:p>
        </w:tc>
        <w:tc>
          <w:tcPr>
            <w:tcW w:w="1460" w:type="dxa"/>
            <w:vAlign w:val="bottom"/>
            <w:gridSpan w:val="3"/>
            <w:shd w:val="clear" w:color="auto" w:fill="EEEEEE"/>
          </w:tcPr>
          <w:p>
            <w:pPr>
              <w:jc w:val="right"/>
              <w:ind w:right="400"/>
              <w:spacing w:after="0"/>
              <w:rPr>
                <w:sz w:val="20"/>
                <w:szCs w:val="20"/>
                <w:color w:val="auto"/>
              </w:rPr>
            </w:pPr>
            <w:r>
              <w:rPr>
                <w:rFonts w:ascii="Arial" w:cs="Arial" w:eastAsia="Arial" w:hAnsi="Arial"/>
                <w:sz w:val="17"/>
                <w:szCs w:val="17"/>
                <w:color w:val="auto"/>
              </w:rPr>
              <w:t>1,607</w:t>
            </w:r>
          </w:p>
        </w:tc>
        <w:tc>
          <w:tcPr>
            <w:tcW w:w="1380" w:type="dxa"/>
            <w:vAlign w:val="bottom"/>
            <w:gridSpan w:val="3"/>
            <w:shd w:val="clear" w:color="auto" w:fill="EEEEEE"/>
          </w:tcPr>
          <w:p>
            <w:pPr>
              <w:jc w:val="right"/>
              <w:ind w:right="220"/>
              <w:spacing w:after="0"/>
              <w:rPr>
                <w:sz w:val="20"/>
                <w:szCs w:val="20"/>
                <w:color w:val="auto"/>
              </w:rPr>
            </w:pPr>
            <w:r>
              <w:rPr>
                <w:rFonts w:ascii="Arial" w:cs="Arial" w:eastAsia="Arial" w:hAnsi="Arial"/>
                <w:sz w:val="17"/>
                <w:szCs w:val="17"/>
                <w:color w:val="auto"/>
              </w:rPr>
              <w:t>6,140</w:t>
            </w:r>
          </w:p>
        </w:tc>
        <w:tc>
          <w:tcPr>
            <w:tcW w:w="900" w:type="dxa"/>
            <w:vAlign w:val="bottom"/>
            <w:gridSpan w:val="3"/>
            <w:shd w:val="clear" w:color="auto" w:fill="EEEEEE"/>
          </w:tcPr>
          <w:p>
            <w:pPr>
              <w:jc w:val="right"/>
              <w:ind w:right="200"/>
              <w:spacing w:after="0"/>
              <w:rPr>
                <w:sz w:val="20"/>
                <w:szCs w:val="20"/>
                <w:color w:val="auto"/>
              </w:rPr>
            </w:pPr>
            <w:r>
              <w:rPr>
                <w:rFonts w:ascii="Arial" w:cs="Arial" w:eastAsia="Arial" w:hAnsi="Arial"/>
                <w:sz w:val="17"/>
                <w:szCs w:val="17"/>
                <w:color w:val="auto"/>
              </w:rPr>
              <w:t>2,555</w:t>
            </w: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25,653</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480" w:type="dxa"/>
            <w:vAlign w:val="bottom"/>
          </w:tcPr>
          <w:p>
            <w:pPr>
              <w:ind w:left="780"/>
              <w:spacing w:after="0"/>
              <w:rPr>
                <w:sz w:val="20"/>
                <w:szCs w:val="20"/>
                <w:color w:val="auto"/>
              </w:rPr>
            </w:pPr>
            <w:r>
              <w:rPr>
                <w:rFonts w:ascii="Arial" w:cs="Arial" w:eastAsia="Arial" w:hAnsi="Arial"/>
                <w:sz w:val="17"/>
                <w:szCs w:val="17"/>
                <w:color w:val="auto"/>
              </w:rPr>
              <w:t>Segment income</w:t>
            </w:r>
          </w:p>
        </w:tc>
        <w:tc>
          <w:tcPr>
            <w:tcW w:w="1040" w:type="dxa"/>
            <w:vAlign w:val="bottom"/>
            <w:gridSpan w:val="3"/>
          </w:tcPr>
          <w:p>
            <w:pPr>
              <w:jc w:val="right"/>
              <w:ind w:right="340"/>
              <w:spacing w:after="0"/>
              <w:rPr>
                <w:sz w:val="20"/>
                <w:szCs w:val="20"/>
                <w:color w:val="auto"/>
              </w:rPr>
            </w:pPr>
            <w:r>
              <w:rPr>
                <w:rFonts w:ascii="Arial" w:cs="Arial" w:eastAsia="Arial" w:hAnsi="Arial"/>
                <w:sz w:val="17"/>
                <w:szCs w:val="17"/>
                <w:color w:val="auto"/>
              </w:rPr>
              <w:t>15,881</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8,370</w:t>
            </w:r>
          </w:p>
        </w:tc>
        <w:tc>
          <w:tcPr>
            <w:tcW w:w="440" w:type="dxa"/>
            <w:vAlign w:val="bottom"/>
          </w:tcPr>
          <w:p>
            <w:pPr>
              <w:spacing w:after="0"/>
              <w:rPr>
                <w:sz w:val="24"/>
                <w:szCs w:val="24"/>
                <w:color w:val="auto"/>
              </w:rPr>
            </w:pPr>
          </w:p>
        </w:tc>
        <w:tc>
          <w:tcPr>
            <w:tcW w:w="1600" w:type="dxa"/>
            <w:vAlign w:val="bottom"/>
            <w:gridSpan w:val="3"/>
          </w:tcPr>
          <w:p>
            <w:pPr>
              <w:jc w:val="right"/>
              <w:ind w:right="440"/>
              <w:spacing w:after="0"/>
              <w:rPr>
                <w:sz w:val="20"/>
                <w:szCs w:val="20"/>
                <w:color w:val="auto"/>
              </w:rPr>
            </w:pPr>
            <w:r>
              <w:rPr>
                <w:rFonts w:ascii="Arial" w:cs="Arial" w:eastAsia="Arial" w:hAnsi="Arial"/>
                <w:sz w:val="17"/>
                <w:szCs w:val="17"/>
                <w:color w:val="auto"/>
              </w:rPr>
              <w:t>7,767</w:t>
            </w:r>
          </w:p>
        </w:tc>
        <w:tc>
          <w:tcPr>
            <w:tcW w:w="1460" w:type="dxa"/>
            <w:vAlign w:val="bottom"/>
            <w:gridSpan w:val="3"/>
          </w:tcPr>
          <w:p>
            <w:pPr>
              <w:jc w:val="right"/>
              <w:ind w:right="400"/>
              <w:spacing w:after="0"/>
              <w:rPr>
                <w:sz w:val="20"/>
                <w:szCs w:val="20"/>
                <w:color w:val="auto"/>
              </w:rPr>
            </w:pPr>
            <w:r>
              <w:rPr>
                <w:rFonts w:ascii="Arial" w:cs="Arial" w:eastAsia="Arial" w:hAnsi="Arial"/>
                <w:sz w:val="17"/>
                <w:szCs w:val="17"/>
                <w:color w:val="auto"/>
              </w:rPr>
              <w:t>2,316</w:t>
            </w:r>
          </w:p>
        </w:tc>
        <w:tc>
          <w:tcPr>
            <w:tcW w:w="1380" w:type="dxa"/>
            <w:vAlign w:val="bottom"/>
            <w:gridSpan w:val="3"/>
          </w:tcPr>
          <w:p>
            <w:pPr>
              <w:jc w:val="right"/>
              <w:ind w:right="220"/>
              <w:spacing w:after="0"/>
              <w:rPr>
                <w:sz w:val="20"/>
                <w:szCs w:val="20"/>
                <w:color w:val="auto"/>
              </w:rPr>
            </w:pPr>
            <w:r>
              <w:rPr>
                <w:rFonts w:ascii="Arial" w:cs="Arial" w:eastAsia="Arial" w:hAnsi="Arial"/>
                <w:sz w:val="17"/>
                <w:szCs w:val="17"/>
                <w:color w:val="auto"/>
              </w:rPr>
              <w:t>42,746</w:t>
            </w:r>
          </w:p>
        </w:tc>
        <w:tc>
          <w:tcPr>
            <w:tcW w:w="900" w:type="dxa"/>
            <w:vAlign w:val="bottom"/>
            <w:gridSpan w:val="3"/>
          </w:tcPr>
          <w:p>
            <w:pPr>
              <w:jc w:val="right"/>
              <w:ind w:right="200"/>
              <w:spacing w:after="0"/>
              <w:rPr>
                <w:sz w:val="20"/>
                <w:szCs w:val="20"/>
                <w:color w:val="auto"/>
              </w:rPr>
            </w:pPr>
            <w:r>
              <w:rPr>
                <w:rFonts w:ascii="Arial" w:cs="Arial" w:eastAsia="Arial" w:hAnsi="Arial"/>
                <w:sz w:val="17"/>
                <w:szCs w:val="17"/>
                <w:color w:val="auto"/>
              </w:rPr>
              <w:t>294</w:t>
            </w: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77,374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Corporate costs not</w:t>
            </w: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80" w:type="dxa"/>
            <w:vAlign w:val="bottom"/>
            <w:shd w:val="clear" w:color="auto" w:fill="EEEEEE"/>
          </w:tcPr>
          <w:p>
            <w:pPr>
              <w:ind w:left="520"/>
              <w:spacing w:after="0"/>
              <w:rPr>
                <w:sz w:val="20"/>
                <w:szCs w:val="20"/>
                <w:color w:val="auto"/>
              </w:rPr>
            </w:pPr>
            <w:r>
              <w:rPr>
                <w:rFonts w:ascii="Arial" w:cs="Arial" w:eastAsia="Arial" w:hAnsi="Arial"/>
                <w:sz w:val="17"/>
                <w:szCs w:val="17"/>
                <w:color w:val="auto"/>
              </w:rPr>
              <w:t>allocated</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3,509</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color w:val="auto"/>
              </w:rPr>
              <w:t>Operating expenses</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45,525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color w:val="auto"/>
              </w:rPr>
              <w:t>Interest (income) expense</w:t>
            </w:r>
          </w:p>
        </w:tc>
        <w:tc>
          <w:tcPr>
            <w:tcW w:w="24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135</w:t>
            </w:r>
          </w:p>
        </w:tc>
        <w:tc>
          <w:tcPr>
            <w:tcW w:w="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80" w:type="dxa"/>
            <w:vAlign w:val="bottom"/>
          </w:tcPr>
          <w:p>
            <w:pPr>
              <w:ind w:left="380"/>
              <w:spacing w:after="0"/>
              <w:rPr>
                <w:sz w:val="20"/>
                <w:szCs w:val="20"/>
                <w:color w:val="auto"/>
              </w:rPr>
            </w:pPr>
            <w:r>
              <w:rPr>
                <w:rFonts w:ascii="Arial" w:cs="Arial" w:eastAsia="Arial" w:hAnsi="Arial"/>
                <w:sz w:val="17"/>
                <w:szCs w:val="17"/>
                <w:color w:val="auto"/>
                <w:w w:val="96"/>
              </w:rPr>
              <w:t>Other expense (income), net</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(342)</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shd w:val="clear" w:color="auto" w:fill="EEEEEE"/>
          </w:tcPr>
          <w:p>
            <w:pPr>
              <w:ind w:left="380"/>
              <w:spacing w:after="0"/>
              <w:rPr>
                <w:sz w:val="20"/>
                <w:szCs w:val="20"/>
                <w:color w:val="auto"/>
              </w:rPr>
            </w:pPr>
            <w:r>
              <w:rPr>
                <w:rFonts w:ascii="Arial" w:cs="Arial" w:eastAsia="Arial" w:hAnsi="Arial"/>
                <w:sz w:val="17"/>
                <w:szCs w:val="17"/>
                <w:b w:val="1"/>
                <w:bCs w:val="1"/>
                <w:color w:val="auto"/>
              </w:rPr>
              <w:t>Income before provision</w:t>
            </w:r>
          </w:p>
        </w:tc>
        <w:tc>
          <w:tcPr>
            <w:tcW w:w="24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6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6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shd w:val="clear" w:color="auto" w:fill="EEEEEE"/>
          </w:tcPr>
          <w:p>
            <w:pPr>
              <w:ind w:left="520"/>
              <w:spacing w:after="0"/>
              <w:rPr>
                <w:sz w:val="20"/>
                <w:szCs w:val="20"/>
                <w:color w:val="auto"/>
              </w:rPr>
            </w:pPr>
            <w:r>
              <w:rPr>
                <w:rFonts w:ascii="Arial" w:cs="Arial" w:eastAsia="Arial" w:hAnsi="Arial"/>
                <w:sz w:val="17"/>
                <w:szCs w:val="17"/>
                <w:b w:val="1"/>
                <w:bCs w:val="1"/>
                <w:color w:val="auto"/>
              </w:rPr>
              <w:t>for income taxes</w:t>
            </w:r>
          </w:p>
        </w:tc>
        <w:tc>
          <w:tcPr>
            <w:tcW w:w="24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6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28,546</w:t>
            </w:r>
          </w:p>
        </w:tc>
        <w:tc>
          <w:tcPr>
            <w:tcW w:w="1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794385</wp:posOffset>
            </wp:positionV>
            <wp:extent cx="71488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830" cy="8255"/>
                    </a:xfrm>
                    <a:prstGeom prst="rect">
                      <a:avLst/>
                    </a:prstGeom>
                    <a:noFill/>
                  </pic:spPr>
                </pic:pic>
              </a:graphicData>
            </a:graphic>
          </wp:anchor>
        </w:drawing>
      </w:r>
    </w:p>
    <w:p>
      <w:pPr>
        <w:ind w:left="260" w:hanging="254"/>
        <w:spacing w:after="0"/>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segment consists of consulting, installation and implementation services.</w:t>
      </w:r>
    </w:p>
    <w:p>
      <w:pPr>
        <w:spacing w:after="0" w:line="254" w:lineRule="exact"/>
        <w:rPr>
          <w:rFonts w:ascii="Arial" w:cs="Arial" w:eastAsia="Arial" w:hAnsi="Arial"/>
          <w:sz w:val="17"/>
          <w:szCs w:val="17"/>
          <w:color w:val="auto"/>
        </w:rPr>
      </w:pPr>
    </w:p>
    <w:p>
      <w:pPr>
        <w:ind w:left="260" w:hanging="254"/>
        <w:spacing w:after="0"/>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segment consists of customer training and other education services.</w:t>
      </w:r>
    </w:p>
    <w:p>
      <w:pPr>
        <w:spacing w:after="0" w:line="254" w:lineRule="exact"/>
        <w:rPr>
          <w:rFonts w:ascii="Arial" w:cs="Arial" w:eastAsia="Arial" w:hAnsi="Arial"/>
          <w:sz w:val="17"/>
          <w:szCs w:val="17"/>
          <w:color w:val="auto"/>
        </w:rPr>
      </w:pPr>
    </w:p>
    <w:p>
      <w:pPr>
        <w:ind w:left="260" w:hanging="254"/>
        <w:spacing w:after="0"/>
        <w:tabs>
          <w:tab w:leader="none" w:pos="2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This segment consists of donor prospect research and data modeling services.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57" w:right="239" w:bottom="1440" w:gutter="0" w:footer="0" w:header="0"/>
        </w:sectPr>
      </w:pPr>
    </w:p>
    <w:bookmarkStart w:id="125" w:name="page126"/>
    <w:bookmarkEnd w:id="125"/>
    <w:p>
      <w:pPr>
        <w:ind w:right="460"/>
        <w:spacing w:after="0" w:line="286" w:lineRule="auto"/>
        <w:rPr>
          <w:sz w:val="20"/>
          <w:szCs w:val="20"/>
          <w:color w:val="auto"/>
        </w:rPr>
      </w:pPr>
      <w:r>
        <w:rPr>
          <w:rFonts w:ascii="Arial" w:cs="Arial" w:eastAsia="Arial" w:hAnsi="Arial"/>
          <w:sz w:val="17"/>
          <w:szCs w:val="17"/>
          <w:color w:val="auto"/>
        </w:rPr>
        <w:t>The Company also derives a portion of its revenue from its foreign operations. The following table presents revenue by geographic region based on country of invoice origin and identifiable and long-lived assets by geographic region based on the location of the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314325</wp:posOffset>
            </wp:positionV>
            <wp:extent cx="63671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6714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4100" w:type="dxa"/>
            <w:vAlign w:val="bottom"/>
            <w:gridSpan w:val="2"/>
          </w:tcPr>
          <w:p>
            <w:pPr>
              <w:spacing w:after="0"/>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14"/>
                <w:szCs w:val="14"/>
                <w:color w:val="auto"/>
              </w:rPr>
            </w:pPr>
          </w:p>
        </w:tc>
        <w:tc>
          <w:tcPr>
            <w:tcW w:w="900" w:type="dxa"/>
            <w:vAlign w:val="bottom"/>
          </w:tcPr>
          <w:p>
            <w:pPr>
              <w:jc w:val="right"/>
              <w:ind w:right="256"/>
              <w:spacing w:after="0"/>
              <w:rPr>
                <w:sz w:val="20"/>
                <w:szCs w:val="20"/>
                <w:color w:val="auto"/>
              </w:rPr>
            </w:pPr>
            <w:r>
              <w:rPr>
                <w:rFonts w:ascii="Arial" w:cs="Arial" w:eastAsia="Arial" w:hAnsi="Arial"/>
                <w:sz w:val="13"/>
                <w:szCs w:val="13"/>
                <w:b w:val="1"/>
                <w:bCs w:val="1"/>
                <w:color w:val="auto"/>
                <w:w w:val="92"/>
              </w:rPr>
              <w:t>Domestic</w:t>
            </w:r>
          </w:p>
        </w:tc>
        <w:tc>
          <w:tcPr>
            <w:tcW w:w="1140" w:type="dxa"/>
            <w:vAlign w:val="bottom"/>
            <w:gridSpan w:val="2"/>
          </w:tcPr>
          <w:p>
            <w:pPr>
              <w:jc w:val="right"/>
              <w:ind w:right="214"/>
              <w:spacing w:after="0"/>
              <w:rPr>
                <w:sz w:val="20"/>
                <w:szCs w:val="20"/>
                <w:color w:val="auto"/>
              </w:rPr>
            </w:pPr>
            <w:r>
              <w:rPr>
                <w:rFonts w:ascii="Arial" w:cs="Arial" w:eastAsia="Arial" w:hAnsi="Arial"/>
                <w:sz w:val="13"/>
                <w:szCs w:val="13"/>
                <w:b w:val="1"/>
                <w:bCs w:val="1"/>
                <w:color w:val="auto"/>
              </w:rPr>
              <w:t>Canada</w:t>
            </w:r>
          </w:p>
        </w:tc>
        <w:tc>
          <w:tcPr>
            <w:tcW w:w="1120" w:type="dxa"/>
            <w:vAlign w:val="bottom"/>
            <w:gridSpan w:val="2"/>
          </w:tcPr>
          <w:p>
            <w:pPr>
              <w:jc w:val="right"/>
              <w:ind w:right="254"/>
              <w:spacing w:after="0"/>
              <w:rPr>
                <w:sz w:val="20"/>
                <w:szCs w:val="20"/>
                <w:color w:val="auto"/>
              </w:rPr>
            </w:pPr>
            <w:r>
              <w:rPr>
                <w:rFonts w:ascii="Arial" w:cs="Arial" w:eastAsia="Arial" w:hAnsi="Arial"/>
                <w:sz w:val="13"/>
                <w:szCs w:val="13"/>
                <w:b w:val="1"/>
                <w:bCs w:val="1"/>
                <w:color w:val="auto"/>
              </w:rPr>
              <w:t>Europe</w:t>
            </w:r>
          </w:p>
        </w:tc>
        <w:tc>
          <w:tcPr>
            <w:tcW w:w="420" w:type="dxa"/>
            <w:vAlign w:val="bottom"/>
          </w:tcPr>
          <w:p>
            <w:pPr>
              <w:spacing w:after="0"/>
              <w:rPr>
                <w:sz w:val="14"/>
                <w:szCs w:val="14"/>
                <w:color w:val="auto"/>
              </w:rPr>
            </w:pPr>
          </w:p>
        </w:tc>
        <w:tc>
          <w:tcPr>
            <w:tcW w:w="740" w:type="dxa"/>
            <w:vAlign w:val="bottom"/>
          </w:tcPr>
          <w:p>
            <w:pPr>
              <w:jc w:val="right"/>
              <w:ind w:right="256"/>
              <w:spacing w:after="0"/>
              <w:rPr>
                <w:sz w:val="20"/>
                <w:szCs w:val="20"/>
                <w:color w:val="auto"/>
              </w:rPr>
            </w:pPr>
            <w:r>
              <w:rPr>
                <w:rFonts w:ascii="Arial" w:cs="Arial" w:eastAsia="Arial" w:hAnsi="Arial"/>
                <w:sz w:val="13"/>
                <w:szCs w:val="13"/>
                <w:b w:val="1"/>
                <w:bCs w:val="1"/>
                <w:color w:val="auto"/>
                <w:w w:val="90"/>
              </w:rPr>
              <w:t>Pacific</w:t>
            </w:r>
          </w:p>
        </w:tc>
        <w:tc>
          <w:tcPr>
            <w:tcW w:w="440" w:type="dxa"/>
            <w:vAlign w:val="bottom"/>
          </w:tcPr>
          <w:p>
            <w:pPr>
              <w:spacing w:after="0"/>
              <w:rPr>
                <w:sz w:val="14"/>
                <w:szCs w:val="14"/>
                <w:color w:val="auto"/>
              </w:rPr>
            </w:pPr>
          </w:p>
        </w:tc>
        <w:tc>
          <w:tcPr>
            <w:tcW w:w="82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80" w:type="dxa"/>
            <w:vAlign w:val="bottom"/>
            <w:shd w:val="clear" w:color="auto" w:fill="EEEEEE"/>
          </w:tcPr>
          <w:p>
            <w:pPr>
              <w:spacing w:after="0"/>
              <w:rPr>
                <w:sz w:val="20"/>
                <w:szCs w:val="20"/>
                <w:color w:val="auto"/>
              </w:rPr>
            </w:pPr>
            <w:r>
              <w:rPr>
                <w:rFonts w:ascii="Arial" w:cs="Arial" w:eastAsia="Arial" w:hAnsi="Arial"/>
                <w:sz w:val="17"/>
                <w:szCs w:val="17"/>
                <w:color w:val="auto"/>
              </w:rPr>
              <w:t>Revenue from external customers:</w:t>
            </w:r>
          </w:p>
        </w:tc>
        <w:tc>
          <w:tcPr>
            <w:tcW w:w="6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780"/>
              <w:spacing w:after="0"/>
              <w:rPr>
                <w:sz w:val="20"/>
                <w:szCs w:val="20"/>
                <w:color w:val="auto"/>
              </w:rPr>
            </w:pPr>
            <w:r>
              <w:rPr>
                <w:rFonts w:ascii="Arial" w:cs="Arial" w:eastAsia="Arial" w:hAnsi="Arial"/>
                <w:sz w:val="17"/>
                <w:szCs w:val="17"/>
                <w:color w:val="auto"/>
              </w:rPr>
              <w:t>2002</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99,214</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54"/>
              <w:spacing w:after="0"/>
              <w:rPr>
                <w:sz w:val="20"/>
                <w:szCs w:val="20"/>
                <w:color w:val="auto"/>
              </w:rPr>
            </w:pPr>
            <w:r>
              <w:rPr>
                <w:rFonts w:ascii="Arial" w:cs="Arial" w:eastAsia="Arial" w:hAnsi="Arial"/>
                <w:sz w:val="17"/>
                <w:szCs w:val="17"/>
                <w:color w:val="auto"/>
                <w:w w:val="89"/>
              </w:rPr>
              <w:t>4,870</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256"/>
              <w:spacing w:after="0"/>
              <w:rPr>
                <w:sz w:val="20"/>
                <w:szCs w:val="20"/>
                <w:color w:val="auto"/>
              </w:rPr>
            </w:pPr>
            <w:r>
              <w:rPr>
                <w:rFonts w:ascii="Arial" w:cs="Arial" w:eastAsia="Arial" w:hAnsi="Arial"/>
                <w:sz w:val="17"/>
                <w:szCs w:val="17"/>
                <w:color w:val="auto"/>
                <w:w w:val="89"/>
              </w:rPr>
              <w:t>1,145</w:t>
            </w: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87"/>
              </w:rPr>
              <w:t>105,229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ind w:left="780"/>
              <w:spacing w:after="0"/>
              <w:rPr>
                <w:sz w:val="20"/>
                <w:szCs w:val="20"/>
                <w:color w:val="auto"/>
              </w:rPr>
            </w:pPr>
            <w:r>
              <w:rPr>
                <w:rFonts w:ascii="Arial" w:cs="Arial" w:eastAsia="Arial" w:hAnsi="Arial"/>
                <w:sz w:val="17"/>
                <w:szCs w:val="17"/>
                <w:color w:val="auto"/>
              </w:rPr>
              <w:t>2003</w:t>
            </w:r>
          </w:p>
        </w:tc>
        <w:tc>
          <w:tcPr>
            <w:tcW w:w="6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7"/>
              </w:rPr>
              <w:t>107,363</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w w:val="89"/>
              </w:rPr>
              <w:t>9,393</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9"/>
              </w:rPr>
              <w:t>1,337</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7"/>
              </w:rPr>
              <w:t>118,093</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ind w:left="780"/>
              <w:spacing w:after="0"/>
              <w:rPr>
                <w:sz w:val="20"/>
                <w:szCs w:val="20"/>
                <w:color w:val="auto"/>
              </w:rPr>
            </w:pPr>
            <w:r>
              <w:rPr>
                <w:rFonts w:ascii="Arial" w:cs="Arial" w:eastAsia="Arial" w:hAnsi="Arial"/>
                <w:sz w:val="17"/>
                <w:szCs w:val="17"/>
                <w:color w:val="auto"/>
              </w:rPr>
              <w:t>Nine months ended September 30, 2003</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Pr>
          <w:p>
            <w:pPr>
              <w:ind w:left="920"/>
              <w:spacing w:after="0"/>
              <w:rPr>
                <w:sz w:val="20"/>
                <w:szCs w:val="20"/>
                <w:color w:val="auto"/>
              </w:rPr>
            </w:pPr>
            <w:r>
              <w:rPr>
                <w:rFonts w:ascii="Arial" w:cs="Arial" w:eastAsia="Arial" w:hAnsi="Arial"/>
                <w:sz w:val="17"/>
                <w:szCs w:val="17"/>
                <w:color w:val="auto"/>
              </w:rPr>
              <w:t>(unaudited)</w:t>
            </w:r>
          </w:p>
        </w:tc>
        <w:tc>
          <w:tcPr>
            <w:tcW w:w="600" w:type="dxa"/>
            <w:vAlign w:val="bottom"/>
          </w:tcPr>
          <w:p>
            <w:pPr>
              <w:spacing w:after="0"/>
              <w:rPr>
                <w:sz w:val="19"/>
                <w:szCs w:val="19"/>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79,782</w:t>
            </w:r>
          </w:p>
        </w:tc>
        <w:tc>
          <w:tcPr>
            <w:tcW w:w="440" w:type="dxa"/>
            <w:vAlign w:val="bottom"/>
          </w:tcPr>
          <w:p>
            <w:pPr>
              <w:spacing w:after="0"/>
              <w:rPr>
                <w:sz w:val="19"/>
                <w:szCs w:val="19"/>
                <w:color w:val="auto"/>
              </w:rPr>
            </w:pPr>
          </w:p>
        </w:tc>
        <w:tc>
          <w:tcPr>
            <w:tcW w:w="7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740" w:type="dxa"/>
            <w:vAlign w:val="bottom"/>
          </w:tcPr>
          <w:p>
            <w:pPr>
              <w:jc w:val="right"/>
              <w:ind w:right="254"/>
              <w:spacing w:after="0"/>
              <w:rPr>
                <w:sz w:val="20"/>
                <w:szCs w:val="20"/>
                <w:color w:val="auto"/>
              </w:rPr>
            </w:pPr>
            <w:r>
              <w:rPr>
                <w:rFonts w:ascii="Arial" w:cs="Arial" w:eastAsia="Arial" w:hAnsi="Arial"/>
                <w:sz w:val="17"/>
                <w:szCs w:val="17"/>
                <w:color w:val="auto"/>
                <w:w w:val="89"/>
              </w:rPr>
              <w:t>6,718</w:t>
            </w:r>
          </w:p>
        </w:tc>
        <w:tc>
          <w:tcPr>
            <w:tcW w:w="420" w:type="dxa"/>
            <w:vAlign w:val="bottom"/>
          </w:tcPr>
          <w:p>
            <w:pPr>
              <w:spacing w:after="0"/>
              <w:rPr>
                <w:sz w:val="19"/>
                <w:szCs w:val="19"/>
                <w:color w:val="auto"/>
              </w:rPr>
            </w:pP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993</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87,493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80" w:type="dxa"/>
            <w:vAlign w:val="bottom"/>
            <w:shd w:val="clear" w:color="auto" w:fill="EEEEEE"/>
          </w:tcPr>
          <w:p>
            <w:pPr>
              <w:ind w:left="780"/>
              <w:spacing w:after="0"/>
              <w:rPr>
                <w:sz w:val="20"/>
                <w:szCs w:val="20"/>
                <w:color w:val="auto"/>
              </w:rPr>
            </w:pPr>
            <w:r>
              <w:rPr>
                <w:rFonts w:ascii="Arial" w:cs="Arial" w:eastAsia="Arial" w:hAnsi="Arial"/>
                <w:sz w:val="17"/>
                <w:szCs w:val="17"/>
                <w:color w:val="auto"/>
              </w:rPr>
              <w:t>Nine months ended September 30, 2004</w:t>
            </w:r>
          </w:p>
        </w:tc>
        <w:tc>
          <w:tcPr>
            <w:tcW w:w="6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shd w:val="clear" w:color="auto" w:fill="EEEEEE"/>
          </w:tcPr>
          <w:p>
            <w:pPr>
              <w:ind w:left="920"/>
              <w:spacing w:after="0"/>
              <w:rPr>
                <w:sz w:val="20"/>
                <w:szCs w:val="20"/>
                <w:color w:val="auto"/>
              </w:rPr>
            </w:pPr>
            <w:r>
              <w:rPr>
                <w:rFonts w:ascii="Arial" w:cs="Arial" w:eastAsia="Arial" w:hAnsi="Arial"/>
                <w:sz w:val="17"/>
                <w:szCs w:val="17"/>
                <w:color w:val="auto"/>
              </w:rPr>
              <w:t>(unaudited)</w:t>
            </w:r>
          </w:p>
        </w:tc>
        <w:tc>
          <w:tcPr>
            <w:tcW w:w="60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87,076</w:t>
            </w:r>
          </w:p>
        </w:tc>
        <w:tc>
          <w:tcPr>
            <w:tcW w:w="440" w:type="dxa"/>
            <w:vAlign w:val="bottom"/>
            <w:shd w:val="clear" w:color="auto" w:fill="EEEEEE"/>
          </w:tcPr>
          <w:p>
            <w:pPr>
              <w:spacing w:after="0"/>
              <w:rPr>
                <w:sz w:val="19"/>
                <w:szCs w:val="19"/>
                <w:color w:val="auto"/>
              </w:rPr>
            </w:pPr>
          </w:p>
        </w:tc>
        <w:tc>
          <w:tcPr>
            <w:tcW w:w="70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w w:val="89"/>
              </w:rPr>
              <w:t>5,196</w:t>
            </w:r>
          </w:p>
        </w:tc>
        <w:tc>
          <w:tcPr>
            <w:tcW w:w="380" w:type="dxa"/>
            <w:vAlign w:val="bottom"/>
            <w:shd w:val="clear" w:color="auto" w:fill="EEEEEE"/>
          </w:tcPr>
          <w:p>
            <w:pPr>
              <w:spacing w:after="0"/>
              <w:rPr>
                <w:sz w:val="19"/>
                <w:szCs w:val="19"/>
                <w:color w:val="auto"/>
              </w:rPr>
            </w:pPr>
          </w:p>
        </w:tc>
        <w:tc>
          <w:tcPr>
            <w:tcW w:w="74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w w:val="89"/>
              </w:rPr>
              <w:t>9,563</w:t>
            </w:r>
          </w:p>
        </w:tc>
        <w:tc>
          <w:tcPr>
            <w:tcW w:w="420" w:type="dxa"/>
            <w:vAlign w:val="bottom"/>
            <w:shd w:val="clear" w:color="auto" w:fill="EEEEEE"/>
          </w:tcPr>
          <w:p>
            <w:pPr>
              <w:spacing w:after="0"/>
              <w:rPr>
                <w:sz w:val="19"/>
                <w:szCs w:val="19"/>
                <w:color w:val="auto"/>
              </w:rPr>
            </w:pPr>
          </w:p>
        </w:tc>
        <w:tc>
          <w:tcPr>
            <w:tcW w:w="74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w w:val="89"/>
              </w:rPr>
              <w:t>1,192</w:t>
            </w:r>
          </w:p>
        </w:tc>
        <w:tc>
          <w:tcPr>
            <w:tcW w:w="44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7"/>
              </w:rPr>
              <w:t>103,027</w:t>
            </w:r>
          </w:p>
        </w:tc>
        <w:tc>
          <w:tcPr>
            <w:tcW w:w="2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7"/>
                <w:szCs w:val="17"/>
                <w:color w:val="auto"/>
              </w:rPr>
              <w:t>Long-lived assets:</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ind w:left="780"/>
              <w:spacing w:after="0"/>
              <w:rPr>
                <w:sz w:val="20"/>
                <w:szCs w:val="20"/>
                <w:color w:val="auto"/>
              </w:rPr>
            </w:pPr>
            <w:r>
              <w:rPr>
                <w:rFonts w:ascii="Arial" w:cs="Arial" w:eastAsia="Arial" w:hAnsi="Arial"/>
                <w:sz w:val="17"/>
                <w:szCs w:val="17"/>
                <w:color w:val="auto"/>
              </w:rPr>
              <w:t>December 31, 2002</w:t>
            </w:r>
          </w:p>
        </w:tc>
        <w:tc>
          <w:tcPr>
            <w:tcW w:w="60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96,817</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rPr>
              <w:t>852</w:t>
            </w:r>
          </w:p>
        </w:tc>
        <w:tc>
          <w:tcPr>
            <w:tcW w:w="4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21</w:t>
            </w:r>
          </w:p>
        </w:tc>
        <w:tc>
          <w:tcPr>
            <w:tcW w:w="4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97,690</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tcPr>
          <w:p>
            <w:pPr>
              <w:ind w:left="780"/>
              <w:spacing w:after="0"/>
              <w:rPr>
                <w:sz w:val="20"/>
                <w:szCs w:val="20"/>
                <w:color w:val="auto"/>
              </w:rPr>
            </w:pPr>
            <w:r>
              <w:rPr>
                <w:rFonts w:ascii="Arial" w:cs="Arial" w:eastAsia="Arial" w:hAnsi="Arial"/>
                <w:sz w:val="17"/>
                <w:szCs w:val="17"/>
                <w:color w:val="auto"/>
              </w:rPr>
              <w:t>December 31, 2003</w:t>
            </w:r>
          </w:p>
        </w:tc>
        <w:tc>
          <w:tcPr>
            <w:tcW w:w="600" w:type="dxa"/>
            <w:vAlign w:val="bottom"/>
          </w:tcPr>
          <w:p>
            <w:pPr>
              <w:spacing w:after="0"/>
              <w:rPr>
                <w:sz w:val="18"/>
                <w:szCs w:val="18"/>
                <w:color w:val="auto"/>
              </w:rPr>
            </w:pPr>
          </w:p>
        </w:tc>
        <w:tc>
          <w:tcPr>
            <w:tcW w:w="900" w:type="dxa"/>
            <w:vAlign w:val="bottom"/>
          </w:tcPr>
          <w:p>
            <w:pPr>
              <w:jc w:val="right"/>
              <w:ind w:right="256"/>
              <w:spacing w:after="0"/>
              <w:rPr>
                <w:sz w:val="20"/>
                <w:szCs w:val="20"/>
                <w:color w:val="auto"/>
              </w:rPr>
            </w:pPr>
            <w:r>
              <w:rPr>
                <w:rFonts w:ascii="Arial" w:cs="Arial" w:eastAsia="Arial" w:hAnsi="Arial"/>
                <w:sz w:val="17"/>
                <w:szCs w:val="17"/>
                <w:color w:val="auto"/>
              </w:rPr>
              <w:t>93,854</w:t>
            </w:r>
          </w:p>
        </w:tc>
        <w:tc>
          <w:tcPr>
            <w:tcW w:w="440" w:type="dxa"/>
            <w:vAlign w:val="bottom"/>
          </w:tcPr>
          <w:p>
            <w:pPr>
              <w:spacing w:after="0"/>
              <w:rPr>
                <w:sz w:val="18"/>
                <w:szCs w:val="18"/>
                <w:color w:val="auto"/>
              </w:rPr>
            </w:pPr>
          </w:p>
        </w:tc>
        <w:tc>
          <w:tcPr>
            <w:tcW w:w="70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740" w:type="dxa"/>
            <w:vAlign w:val="bottom"/>
          </w:tcPr>
          <w:p>
            <w:pPr>
              <w:jc w:val="right"/>
              <w:ind w:right="254"/>
              <w:spacing w:after="0"/>
              <w:rPr>
                <w:sz w:val="20"/>
                <w:szCs w:val="20"/>
                <w:color w:val="auto"/>
              </w:rPr>
            </w:pPr>
            <w:r>
              <w:rPr>
                <w:rFonts w:ascii="Arial" w:cs="Arial" w:eastAsia="Arial" w:hAnsi="Arial"/>
                <w:sz w:val="17"/>
                <w:szCs w:val="17"/>
                <w:color w:val="auto"/>
                <w:w w:val="89"/>
              </w:rPr>
              <w:t>1,332</w:t>
            </w:r>
          </w:p>
        </w:tc>
        <w:tc>
          <w:tcPr>
            <w:tcW w:w="420" w:type="dxa"/>
            <w:vAlign w:val="bottom"/>
          </w:tcPr>
          <w:p>
            <w:pPr>
              <w:spacing w:after="0"/>
              <w:rPr>
                <w:sz w:val="18"/>
                <w:szCs w:val="18"/>
                <w:color w:val="auto"/>
              </w:rPr>
            </w:pPr>
          </w:p>
        </w:tc>
        <w:tc>
          <w:tcPr>
            <w:tcW w:w="740" w:type="dxa"/>
            <w:vAlign w:val="bottom"/>
          </w:tcPr>
          <w:p>
            <w:pPr>
              <w:jc w:val="right"/>
              <w:ind w:right="256"/>
              <w:spacing w:after="0"/>
              <w:rPr>
                <w:sz w:val="20"/>
                <w:szCs w:val="20"/>
                <w:color w:val="auto"/>
              </w:rPr>
            </w:pPr>
            <w:r>
              <w:rPr>
                <w:rFonts w:ascii="Arial" w:cs="Arial" w:eastAsia="Arial" w:hAnsi="Arial"/>
                <w:sz w:val="17"/>
                <w:szCs w:val="17"/>
                <w:color w:val="auto"/>
              </w:rPr>
              <w:t>42</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95,228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80" w:type="dxa"/>
            <w:vAlign w:val="bottom"/>
            <w:shd w:val="clear" w:color="auto" w:fill="EEEEEE"/>
          </w:tcPr>
          <w:p>
            <w:pPr>
              <w:ind w:left="780"/>
              <w:spacing w:after="0"/>
              <w:rPr>
                <w:sz w:val="20"/>
                <w:szCs w:val="20"/>
                <w:color w:val="auto"/>
              </w:rPr>
            </w:pPr>
            <w:r>
              <w:rPr>
                <w:rFonts w:ascii="Arial" w:cs="Arial" w:eastAsia="Arial" w:hAnsi="Arial"/>
                <w:sz w:val="17"/>
                <w:szCs w:val="17"/>
                <w:color w:val="auto"/>
              </w:rPr>
              <w:t>September 30, 2004 (unaudited)</w:t>
            </w:r>
          </w:p>
        </w:tc>
        <w:tc>
          <w:tcPr>
            <w:tcW w:w="6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86,396</w:t>
            </w:r>
          </w:p>
        </w:tc>
        <w:tc>
          <w:tcPr>
            <w:tcW w:w="44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214"/>
              <w:spacing w:after="0"/>
              <w:rPr>
                <w:sz w:val="20"/>
                <w:szCs w:val="20"/>
                <w:color w:val="auto"/>
              </w:rPr>
            </w:pPr>
            <w:r>
              <w:rPr>
                <w:rFonts w:ascii="Arial" w:cs="Arial" w:eastAsia="Arial" w:hAnsi="Arial"/>
                <w:sz w:val="17"/>
                <w:szCs w:val="17"/>
                <w:color w:val="auto"/>
              </w:rPr>
              <w:t>—</w:t>
            </w:r>
          </w:p>
        </w:tc>
        <w:tc>
          <w:tcPr>
            <w:tcW w:w="38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4"/>
              <w:spacing w:after="0"/>
              <w:rPr>
                <w:sz w:val="20"/>
                <w:szCs w:val="20"/>
                <w:color w:val="auto"/>
              </w:rPr>
            </w:pPr>
            <w:r>
              <w:rPr>
                <w:rFonts w:ascii="Arial" w:cs="Arial" w:eastAsia="Arial" w:hAnsi="Arial"/>
                <w:sz w:val="17"/>
                <w:szCs w:val="17"/>
                <w:color w:val="auto"/>
                <w:w w:val="89"/>
              </w:rPr>
              <w:t>1,771</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jc w:val="right"/>
              <w:ind w:right="256"/>
              <w:spacing w:after="0"/>
              <w:rPr>
                <w:sz w:val="20"/>
                <w:szCs w:val="20"/>
                <w:color w:val="auto"/>
              </w:rPr>
            </w:pPr>
            <w:r>
              <w:rPr>
                <w:rFonts w:ascii="Arial" w:cs="Arial" w:eastAsia="Arial" w:hAnsi="Arial"/>
                <w:sz w:val="17"/>
                <w:szCs w:val="17"/>
                <w:color w:val="auto"/>
              </w:rPr>
              <w:t>31</w:t>
            </w:r>
          </w:p>
        </w:tc>
        <w:tc>
          <w:tcPr>
            <w:tcW w:w="4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7"/>
                <w:szCs w:val="17"/>
                <w:color w:val="auto"/>
              </w:rPr>
              <w:t>88,198</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The Company generated license fee revenue from its principal products as indicated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351790</wp:posOffset>
            </wp:positionV>
            <wp:extent cx="651827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Nine months ended</w:t>
            </w:r>
          </w:p>
        </w:tc>
      </w:tr>
      <w:tr>
        <w:trPr>
          <w:trHeight w:val="170"/>
        </w:trPr>
        <w:tc>
          <w:tcPr>
            <w:tcW w:w="4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80" w:type="dxa"/>
            <w:vAlign w:val="bottom"/>
          </w:tcPr>
          <w:p>
            <w:pPr>
              <w:jc w:val="right"/>
              <w:ind w:right="18"/>
              <w:spacing w:after="0"/>
              <w:rPr>
                <w:sz w:val="20"/>
                <w:szCs w:val="20"/>
                <w:color w:val="auto"/>
              </w:rPr>
            </w:pPr>
            <w:r>
              <w:rPr>
                <w:rFonts w:ascii="Arial" w:cs="Arial" w:eastAsia="Arial" w:hAnsi="Arial"/>
                <w:sz w:val="13"/>
                <w:szCs w:val="13"/>
                <w:b w:val="1"/>
                <w:bCs w:val="1"/>
                <w:color w:val="auto"/>
                <w:w w:val="98"/>
              </w:rPr>
              <w:t>Year ended December 31,</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jc w:val="center"/>
              <w:ind w:right="680"/>
              <w:spacing w:after="0"/>
              <w:rPr>
                <w:sz w:val="20"/>
                <w:szCs w:val="20"/>
                <w:color w:val="auto"/>
              </w:rPr>
            </w:pPr>
            <w:r>
              <w:rPr>
                <w:rFonts w:ascii="Arial" w:cs="Arial" w:eastAsia="Arial" w:hAnsi="Arial"/>
                <w:sz w:val="13"/>
                <w:szCs w:val="13"/>
                <w:b w:val="1"/>
                <w:bCs w:val="1"/>
                <w:color w:val="auto"/>
                <w:w w:val="92"/>
              </w:rPr>
              <w:t>September 30,</w:t>
            </w:r>
          </w:p>
        </w:tc>
      </w:tr>
      <w:tr>
        <w:trPr>
          <w:trHeight w:val="94"/>
        </w:trPr>
        <w:tc>
          <w:tcPr>
            <w:tcW w:w="4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256"/>
        </w:trPr>
        <w:tc>
          <w:tcPr>
            <w:tcW w:w="4260" w:type="dxa"/>
            <w:vAlign w:val="bottom"/>
          </w:tcPr>
          <w:p>
            <w:pPr>
              <w:spacing w:after="0"/>
              <w:rPr>
                <w:sz w:val="22"/>
                <w:szCs w:val="22"/>
                <w:color w:val="auto"/>
              </w:rPr>
            </w:pPr>
          </w:p>
        </w:tc>
        <w:tc>
          <w:tcPr>
            <w:tcW w:w="860" w:type="dxa"/>
            <w:vAlign w:val="bottom"/>
          </w:tcPr>
          <w:p>
            <w:pPr>
              <w:jc w:val="right"/>
              <w:ind w:right="156"/>
              <w:spacing w:after="0"/>
              <w:rPr>
                <w:sz w:val="20"/>
                <w:szCs w:val="20"/>
                <w:color w:val="auto"/>
              </w:rPr>
            </w:pPr>
            <w:r>
              <w:rPr>
                <w:rFonts w:ascii="Arial" w:cs="Arial" w:eastAsia="Arial" w:hAnsi="Arial"/>
                <w:sz w:val="13"/>
                <w:szCs w:val="13"/>
                <w:b w:val="1"/>
                <w:bCs w:val="1"/>
                <w:color w:val="auto"/>
              </w:rPr>
              <w:t>2001</w:t>
            </w:r>
          </w:p>
        </w:tc>
        <w:tc>
          <w:tcPr>
            <w:tcW w:w="1680" w:type="dxa"/>
            <w:vAlign w:val="bottom"/>
          </w:tcPr>
          <w:p>
            <w:pPr>
              <w:jc w:val="right"/>
              <w:ind w:right="598"/>
              <w:spacing w:after="0"/>
              <w:rPr>
                <w:sz w:val="20"/>
                <w:szCs w:val="20"/>
                <w:color w:val="auto"/>
              </w:rPr>
            </w:pPr>
            <w:r>
              <w:rPr>
                <w:rFonts w:ascii="Arial" w:cs="Arial" w:eastAsia="Arial" w:hAnsi="Arial"/>
                <w:sz w:val="13"/>
                <w:szCs w:val="13"/>
                <w:b w:val="1"/>
                <w:bCs w:val="1"/>
                <w:color w:val="auto"/>
              </w:rPr>
              <w:t>2002</w:t>
            </w:r>
          </w:p>
        </w:tc>
        <w:tc>
          <w:tcPr>
            <w:tcW w:w="900" w:type="dxa"/>
            <w:vAlign w:val="bottom"/>
          </w:tcPr>
          <w:p>
            <w:pPr>
              <w:jc w:val="right"/>
              <w:ind w:right="276"/>
              <w:spacing w:after="0"/>
              <w:rPr>
                <w:sz w:val="20"/>
                <w:szCs w:val="20"/>
                <w:color w:val="auto"/>
              </w:rPr>
            </w:pPr>
            <w:r>
              <w:rPr>
                <w:rFonts w:ascii="Arial" w:cs="Arial" w:eastAsia="Arial" w:hAnsi="Arial"/>
                <w:sz w:val="13"/>
                <w:szCs w:val="13"/>
                <w:b w:val="1"/>
                <w:bCs w:val="1"/>
                <w:color w:val="auto"/>
              </w:rPr>
              <w:t>2003</w:t>
            </w:r>
          </w:p>
        </w:tc>
        <w:tc>
          <w:tcPr>
            <w:tcW w:w="1000" w:type="dxa"/>
            <w:vAlign w:val="bottom"/>
            <w:gridSpan w:val="2"/>
          </w:tcPr>
          <w:p>
            <w:pPr>
              <w:jc w:val="right"/>
              <w:ind w:right="41"/>
              <w:spacing w:after="0"/>
              <w:rPr>
                <w:sz w:val="20"/>
                <w:szCs w:val="20"/>
                <w:color w:val="auto"/>
              </w:rPr>
            </w:pPr>
            <w:r>
              <w:rPr>
                <w:rFonts w:ascii="Arial" w:cs="Arial" w:eastAsia="Arial" w:hAnsi="Arial"/>
                <w:sz w:val="13"/>
                <w:szCs w:val="13"/>
                <w:b w:val="1"/>
                <w:bCs w:val="1"/>
                <w:color w:val="auto"/>
              </w:rPr>
              <w:t>2003</w:t>
            </w:r>
          </w:p>
        </w:tc>
        <w:tc>
          <w:tcPr>
            <w:tcW w:w="1580" w:type="dxa"/>
            <w:vAlign w:val="bottom"/>
          </w:tcPr>
          <w:p>
            <w:pPr>
              <w:jc w:val="right"/>
              <w:ind w:right="340"/>
              <w:spacing w:after="0"/>
              <w:rPr>
                <w:sz w:val="20"/>
                <w:szCs w:val="20"/>
                <w:color w:val="auto"/>
              </w:rPr>
            </w:pPr>
            <w:r>
              <w:rPr>
                <w:rFonts w:ascii="Arial" w:cs="Arial" w:eastAsia="Arial" w:hAnsi="Arial"/>
                <w:sz w:val="13"/>
                <w:szCs w:val="13"/>
                <w:b w:val="1"/>
                <w:bCs w:val="1"/>
                <w:color w:val="auto"/>
              </w:rPr>
              <w:t>2004</w:t>
            </w:r>
          </w:p>
        </w:tc>
      </w:tr>
      <w:tr>
        <w:trPr>
          <w:trHeight w:val="94"/>
        </w:trPr>
        <w:tc>
          <w:tcPr>
            <w:tcW w:w="42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245"/>
        </w:trPr>
        <w:tc>
          <w:tcPr>
            <w:tcW w:w="4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580" w:type="dxa"/>
            <w:vAlign w:val="bottom"/>
          </w:tcPr>
          <w:p>
            <w:pPr>
              <w:jc w:val="center"/>
              <w:ind w:right="680"/>
              <w:spacing w:after="0"/>
              <w:rPr>
                <w:sz w:val="20"/>
                <w:szCs w:val="20"/>
                <w:color w:val="auto"/>
              </w:rPr>
            </w:pPr>
            <w:r>
              <w:rPr>
                <w:rFonts w:ascii="Arial" w:cs="Arial" w:eastAsia="Arial" w:hAnsi="Arial"/>
                <w:sz w:val="13"/>
                <w:szCs w:val="13"/>
                <w:b w:val="1"/>
                <w:bCs w:val="1"/>
                <w:color w:val="auto"/>
                <w:w w:val="93"/>
              </w:rPr>
              <w:t>(unaudited)</w:t>
            </w: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Raiser’s Edge</w:t>
            </w:r>
          </w:p>
        </w:tc>
        <w:tc>
          <w:tcPr>
            <w:tcW w:w="86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$13,342</w:t>
            </w:r>
          </w:p>
        </w:tc>
        <w:tc>
          <w:tcPr>
            <w:tcW w:w="168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$13,160</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$14,383</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$10,299</w:t>
            </w:r>
          </w:p>
        </w:tc>
        <w:tc>
          <w:tcPr>
            <w:tcW w:w="158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$12,172</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Financial Edge</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4,432</w:t>
            </w:r>
          </w:p>
        </w:tc>
        <w:tc>
          <w:tcPr>
            <w:tcW w:w="1680" w:type="dxa"/>
            <w:vAlign w:val="bottom"/>
          </w:tcPr>
          <w:p>
            <w:pPr>
              <w:jc w:val="right"/>
              <w:ind w:right="498"/>
              <w:spacing w:after="0"/>
              <w:rPr>
                <w:sz w:val="20"/>
                <w:szCs w:val="20"/>
                <w:color w:val="auto"/>
              </w:rPr>
            </w:pPr>
            <w:r>
              <w:rPr>
                <w:rFonts w:ascii="Arial" w:cs="Arial" w:eastAsia="Arial" w:hAnsi="Arial"/>
                <w:sz w:val="17"/>
                <w:szCs w:val="17"/>
                <w:color w:val="auto"/>
              </w:rPr>
              <w:t>5,724</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5,570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4,082</w:t>
            </w:r>
          </w:p>
        </w:tc>
        <w:tc>
          <w:tcPr>
            <w:tcW w:w="1580" w:type="dxa"/>
            <w:vAlign w:val="bottom"/>
          </w:tcPr>
          <w:p>
            <w:pPr>
              <w:jc w:val="right"/>
              <w:ind w:right="180"/>
              <w:spacing w:after="0"/>
              <w:rPr>
                <w:sz w:val="20"/>
                <w:szCs w:val="20"/>
                <w:color w:val="auto"/>
              </w:rPr>
            </w:pPr>
            <w:r>
              <w:rPr>
                <w:rFonts w:ascii="Arial" w:cs="Arial" w:eastAsia="Arial" w:hAnsi="Arial"/>
                <w:sz w:val="17"/>
                <w:szCs w:val="17"/>
                <w:color w:val="auto"/>
              </w:rPr>
              <w:t>4,080</w:t>
            </w: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Education Edge</w:t>
            </w:r>
          </w:p>
        </w:tc>
        <w:tc>
          <w:tcPr>
            <w:tcW w:w="86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1,526</w:t>
            </w:r>
          </w:p>
        </w:tc>
        <w:tc>
          <w:tcPr>
            <w:tcW w:w="168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1,688</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1,217</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948</w:t>
            </w:r>
          </w:p>
        </w:tc>
        <w:tc>
          <w:tcPr>
            <w:tcW w:w="158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972</w:t>
            </w:r>
          </w:p>
        </w:tc>
      </w:tr>
      <w:tr>
        <w:trPr>
          <w:trHeight w:val="212"/>
        </w:trPr>
        <w:tc>
          <w:tcPr>
            <w:tcW w:w="4260" w:type="dxa"/>
            <w:vAlign w:val="bottom"/>
          </w:tcPr>
          <w:p>
            <w:pPr>
              <w:spacing w:after="0"/>
              <w:rPr>
                <w:sz w:val="20"/>
                <w:szCs w:val="20"/>
                <w:color w:val="auto"/>
              </w:rPr>
            </w:pPr>
            <w:r>
              <w:rPr>
                <w:rFonts w:ascii="Arial" w:cs="Arial" w:eastAsia="Arial" w:hAnsi="Arial"/>
                <w:sz w:val="17"/>
                <w:szCs w:val="17"/>
                <w:color w:val="auto"/>
              </w:rPr>
              <w:t>Information Edge</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169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1580" w:type="dxa"/>
            <w:vAlign w:val="bottom"/>
          </w:tcPr>
          <w:p>
            <w:pPr>
              <w:jc w:val="right"/>
              <w:ind w:right="180"/>
              <w:spacing w:after="0"/>
              <w:rPr>
                <w:sz w:val="20"/>
                <w:szCs w:val="20"/>
                <w:color w:val="auto"/>
              </w:rPr>
            </w:pPr>
            <w:r>
              <w:rPr>
                <w:rFonts w:ascii="Arial" w:cs="Arial" w:eastAsia="Arial" w:hAnsi="Arial"/>
                <w:sz w:val="17"/>
                <w:szCs w:val="17"/>
                <w:color w:val="auto"/>
              </w:rPr>
              <w:t>292</w:t>
            </w:r>
          </w:p>
        </w:tc>
      </w:tr>
      <w:tr>
        <w:trPr>
          <w:trHeight w:val="212"/>
        </w:trPr>
        <w:tc>
          <w:tcPr>
            <w:tcW w:w="4260" w:type="dxa"/>
            <w:vAlign w:val="bottom"/>
            <w:shd w:val="clear" w:color="auto" w:fill="EEEEEE"/>
          </w:tcPr>
          <w:p>
            <w:pPr>
              <w:spacing w:after="0"/>
              <w:rPr>
                <w:sz w:val="20"/>
                <w:szCs w:val="20"/>
                <w:color w:val="auto"/>
              </w:rPr>
            </w:pPr>
            <w:r>
              <w:rPr>
                <w:rFonts w:ascii="Arial" w:cs="Arial" w:eastAsia="Arial" w:hAnsi="Arial"/>
                <w:sz w:val="17"/>
                <w:szCs w:val="17"/>
                <w:color w:val="auto"/>
              </w:rPr>
              <w:t>Blackbaud Analytics/Data Enrichment</w:t>
            </w:r>
          </w:p>
        </w:tc>
        <w:tc>
          <w:tcPr>
            <w:tcW w:w="86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w:t>
            </w:r>
          </w:p>
        </w:tc>
        <w:tc>
          <w:tcPr>
            <w:tcW w:w="168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w:t>
            </w:r>
          </w:p>
        </w:tc>
        <w:tc>
          <w:tcPr>
            <w:tcW w:w="26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686</w:t>
            </w:r>
          </w:p>
        </w:tc>
      </w:tr>
      <w:tr>
        <w:trPr>
          <w:trHeight w:val="217"/>
        </w:trPr>
        <w:tc>
          <w:tcPr>
            <w:tcW w:w="4260" w:type="dxa"/>
            <w:vAlign w:val="bottom"/>
          </w:tcPr>
          <w:p>
            <w:pPr>
              <w:spacing w:after="0"/>
              <w:rPr>
                <w:sz w:val="20"/>
                <w:szCs w:val="20"/>
                <w:color w:val="auto"/>
              </w:rPr>
            </w:pPr>
            <w:r>
              <w:rPr>
                <w:rFonts w:ascii="Arial" w:cs="Arial" w:eastAsia="Arial" w:hAnsi="Arial"/>
                <w:sz w:val="17"/>
                <w:szCs w:val="17"/>
                <w:color w:val="auto"/>
              </w:rPr>
              <w:t>Patron Edge</w:t>
            </w:r>
          </w:p>
        </w:tc>
        <w:tc>
          <w:tcPr>
            <w:tcW w:w="86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498"/>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6"/>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180"/>
              <w:spacing w:after="0"/>
              <w:rPr>
                <w:sz w:val="20"/>
                <w:szCs w:val="20"/>
                <w:color w:val="auto"/>
              </w:rPr>
            </w:pPr>
            <w:r>
              <w:rPr>
                <w:rFonts w:ascii="Arial" w:cs="Arial" w:eastAsia="Arial" w:hAnsi="Arial"/>
                <w:sz w:val="17"/>
                <w:szCs w:val="17"/>
                <w:color w:val="auto"/>
              </w:rPr>
              <w:t>412</w:t>
            </w:r>
          </w:p>
        </w:tc>
      </w:tr>
      <w:tr>
        <w:trPr>
          <w:trHeight w:val="100"/>
        </w:trPr>
        <w:tc>
          <w:tcPr>
            <w:tcW w:w="4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r>
      <w:tr>
        <w:trPr>
          <w:trHeight w:val="99"/>
        </w:trPr>
        <w:tc>
          <w:tcPr>
            <w:tcW w:w="4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580" w:type="dxa"/>
            <w:vAlign w:val="bottom"/>
          </w:tcPr>
          <w:p>
            <w:pPr>
              <w:spacing w:after="0"/>
              <w:rPr>
                <w:sz w:val="8"/>
                <w:szCs w:val="8"/>
                <w:color w:val="auto"/>
              </w:rPr>
            </w:pPr>
          </w:p>
        </w:tc>
      </w:tr>
      <w:tr>
        <w:trPr>
          <w:trHeight w:val="212"/>
        </w:trPr>
        <w:tc>
          <w:tcPr>
            <w:tcW w:w="426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56"/>
              <w:spacing w:after="0"/>
              <w:rPr>
                <w:sz w:val="20"/>
                <w:szCs w:val="20"/>
                <w:color w:val="auto"/>
              </w:rPr>
            </w:pPr>
            <w:r>
              <w:rPr>
                <w:rFonts w:ascii="Arial" w:cs="Arial" w:eastAsia="Arial" w:hAnsi="Arial"/>
                <w:sz w:val="17"/>
                <w:szCs w:val="17"/>
                <w:color w:val="auto"/>
              </w:rPr>
              <w:t>$19,300</w:t>
            </w:r>
          </w:p>
        </w:tc>
        <w:tc>
          <w:tcPr>
            <w:tcW w:w="1680" w:type="dxa"/>
            <w:vAlign w:val="bottom"/>
            <w:shd w:val="clear" w:color="auto" w:fill="EEEEEE"/>
          </w:tcPr>
          <w:p>
            <w:pPr>
              <w:jc w:val="right"/>
              <w:ind w:right="498"/>
              <w:spacing w:after="0"/>
              <w:rPr>
                <w:sz w:val="20"/>
                <w:szCs w:val="20"/>
                <w:color w:val="auto"/>
              </w:rPr>
            </w:pPr>
            <w:r>
              <w:rPr>
                <w:rFonts w:ascii="Arial" w:cs="Arial" w:eastAsia="Arial" w:hAnsi="Arial"/>
                <w:sz w:val="17"/>
                <w:szCs w:val="17"/>
                <w:color w:val="auto"/>
              </w:rPr>
              <w:t>$20,572</w:t>
            </w:r>
          </w:p>
        </w:tc>
        <w:tc>
          <w:tcPr>
            <w:tcW w:w="900" w:type="dxa"/>
            <w:vAlign w:val="bottom"/>
            <w:shd w:val="clear" w:color="auto" w:fill="EEEEEE"/>
          </w:tcPr>
          <w:p>
            <w:pPr>
              <w:jc w:val="right"/>
              <w:ind w:right="176"/>
              <w:spacing w:after="0"/>
              <w:rPr>
                <w:sz w:val="20"/>
                <w:szCs w:val="20"/>
                <w:color w:val="auto"/>
              </w:rPr>
            </w:pPr>
            <w:r>
              <w:rPr>
                <w:rFonts w:ascii="Arial" w:cs="Arial" w:eastAsia="Arial" w:hAnsi="Arial"/>
                <w:sz w:val="17"/>
                <w:szCs w:val="17"/>
                <w:color w:val="auto"/>
              </w:rPr>
              <w:t>$21,339</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7"/>
                <w:szCs w:val="17"/>
                <w:color w:val="auto"/>
              </w:rPr>
              <w:t>$15,427</w:t>
            </w:r>
          </w:p>
        </w:tc>
        <w:tc>
          <w:tcPr>
            <w:tcW w:w="1580" w:type="dxa"/>
            <w:vAlign w:val="bottom"/>
            <w:shd w:val="clear" w:color="auto" w:fill="EEEEEE"/>
          </w:tcPr>
          <w:p>
            <w:pPr>
              <w:jc w:val="right"/>
              <w:ind w:right="180"/>
              <w:spacing w:after="0"/>
              <w:rPr>
                <w:sz w:val="20"/>
                <w:szCs w:val="20"/>
                <w:color w:val="auto"/>
              </w:rPr>
            </w:pPr>
            <w:r>
              <w:rPr>
                <w:rFonts w:ascii="Arial" w:cs="Arial" w:eastAsia="Arial" w:hAnsi="Arial"/>
                <w:sz w:val="17"/>
                <w:szCs w:val="17"/>
                <w:color w:val="auto"/>
              </w:rPr>
              <w:t>$18,614</w:t>
            </w:r>
          </w:p>
        </w:tc>
      </w:tr>
      <w:tr>
        <w:trPr>
          <w:trHeight w:val="106"/>
        </w:trPr>
        <w:tc>
          <w:tcPr>
            <w:tcW w:w="4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7"/>
          <w:szCs w:val="17"/>
          <w:color w:val="auto"/>
        </w:rPr>
        <w:t>It is impractical for the Company to identify its other revenues by product category.</w:t>
      </w:r>
    </w:p>
    <w:p>
      <w:pPr>
        <w:spacing w:after="0" w:line="209" w:lineRule="exact"/>
        <w:rPr>
          <w:sz w:val="20"/>
          <w:szCs w:val="20"/>
          <w:color w:val="auto"/>
        </w:rPr>
      </w:pPr>
    </w:p>
    <w:p>
      <w:pPr>
        <w:ind w:left="580" w:hanging="574"/>
        <w:spacing w:after="0"/>
        <w:tabs>
          <w:tab w:leader="none" w:pos="58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color w:val="auto"/>
        </w:rPr>
        <w:t>Subsequent events</w:t>
      </w:r>
    </w:p>
    <w:p>
      <w:pPr>
        <w:spacing w:after="0" w:line="22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On June 28, 2004, the Company declared a 1-for-1.6 reverse stock split for each outstanding share of common stock. In connection with the reverse stock split, the number of issued and outstanding shares of Common Stock was decreased to 42,509,207. The 1-for-1.6 reverse stock split described above was consummated on July 19, 2004 and has been applied retrospectively for all periods presented.</w:t>
      </w:r>
    </w:p>
    <w:p>
      <w:pPr>
        <w:spacing w:after="0" w:line="1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June 2004, the Company entered into a commitment letter for a new $30.0 million revolving credit facility which the Company anticipates will replace its existing $15.0 million revolving credit facility. Amounts borrowed under the new $30.0 million revolving credit facility will bear interest, at the Company’s option, at a variable rate based on either the prime rate, federal funds rate or LIBOR plus a margin of between 0.5% and 2.0% based on the Company’s</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5" w:right="299" w:bottom="1440" w:gutter="0" w:footer="0" w:header="0"/>
        </w:sectPr>
      </w:pPr>
    </w:p>
    <w:bookmarkStart w:id="126" w:name="page127"/>
    <w:bookmarkEnd w:id="126"/>
    <w:p>
      <w:pPr>
        <w:spacing w:after="0" w:line="286" w:lineRule="auto"/>
        <w:rPr>
          <w:sz w:val="20"/>
          <w:szCs w:val="20"/>
          <w:color w:val="auto"/>
        </w:rPr>
      </w:pPr>
      <w:r>
        <w:rPr>
          <w:rFonts w:ascii="Arial" w:cs="Arial" w:eastAsia="Arial" w:hAnsi="Arial"/>
          <w:sz w:val="17"/>
          <w:szCs w:val="17"/>
          <w:color w:val="auto"/>
        </w:rPr>
        <w:t>consolidated leverage ratio. Amounts outstanding under the new facility will not be secured by a lien on the Company’s assets, but will be guaranteed by the Company’s subsidiaries and the facility will be subject to standard covenants.</w:t>
      </w:r>
    </w:p>
    <w:p>
      <w:pPr>
        <w:spacing w:after="0" w:line="16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80"/>
          </w:cols>
          <w:pgMar w:left="240" w:top="925" w:right="8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24"/>
          <w:szCs w:val="24"/>
          <w:b w:val="1"/>
          <w:bCs w:val="1"/>
          <w:color w:val="auto"/>
        </w:rPr>
        <w:t>Part II</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Information not required in prospectus</w:t>
      </w:r>
    </w:p>
    <w:p>
      <w:pPr>
        <w:spacing w:after="0" w:line="21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b w:val="1"/>
          <w:bCs w:val="1"/>
          <w:color w:val="auto"/>
        </w:rPr>
        <w:t>Item 13.</w:t>
      </w:r>
      <w:r>
        <w:rPr>
          <w:sz w:val="20"/>
          <w:szCs w:val="20"/>
          <w:color w:val="auto"/>
        </w:rPr>
        <w:tab/>
      </w:r>
      <w:r>
        <w:rPr>
          <w:rFonts w:ascii="Arial" w:cs="Arial" w:eastAsia="Arial" w:hAnsi="Arial"/>
          <w:sz w:val="18"/>
          <w:szCs w:val="18"/>
          <w:b w:val="1"/>
          <w:bCs w:val="1"/>
          <w:i w:val="1"/>
          <w:iCs w:val="1"/>
          <w:color w:val="auto"/>
        </w:rPr>
        <w:t>Other expenses of issuance and distribution</w:t>
      </w:r>
    </w:p>
    <w:p>
      <w:pPr>
        <w:spacing w:after="0" w:line="227" w:lineRule="exact"/>
        <w:rPr>
          <w:sz w:val="20"/>
          <w:szCs w:val="20"/>
          <w:color w:val="auto"/>
        </w:rPr>
      </w:pPr>
    </w:p>
    <w:p>
      <w:pPr>
        <w:ind w:right="400"/>
        <w:spacing w:after="0" w:line="319" w:lineRule="auto"/>
        <w:rPr>
          <w:sz w:val="20"/>
          <w:szCs w:val="20"/>
          <w:color w:val="auto"/>
        </w:rPr>
      </w:pPr>
      <w:r>
        <w:rPr>
          <w:rFonts w:ascii="Arial" w:cs="Arial" w:eastAsia="Arial" w:hAnsi="Arial"/>
          <w:sz w:val="16"/>
          <w:szCs w:val="16"/>
          <w:color w:val="auto"/>
        </w:rPr>
        <w:t>The following table shows the costs and expenses, other than underwriting discounts, payable in connection with the sale and distribution of the securities being registered. Except as otherwise noted, the registrant will pay all of these amounts. All amounts except the SEC Registration Fee are estimated.</w:t>
      </w:r>
    </w:p>
    <w:p>
      <w:pPr>
        <w:spacing w:after="0" w:line="366" w:lineRule="exact"/>
        <w:rPr>
          <w:sz w:val="20"/>
          <w:szCs w:val="20"/>
          <w:color w:val="auto"/>
        </w:rPr>
      </w:pPr>
    </w:p>
    <w:tbl>
      <w:tblPr>
        <w:tblLayout w:type="fixed"/>
        <w:tblInd w:w="1720" w:type="dxa"/>
        <w:tblCellMar>
          <w:top w:w="0" w:type="dxa"/>
          <w:left w:w="0" w:type="dxa"/>
          <w:bottom w:w="0" w:type="dxa"/>
          <w:right w:w="0" w:type="dxa"/>
        </w:tblCellMar>
      </w:tblPr>
      <w:tr>
        <w:trPr>
          <w:trHeight w:val="212"/>
        </w:trPr>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SEC Registration Fee</w:t>
            </w:r>
          </w:p>
        </w:tc>
        <w:tc>
          <w:tcPr>
            <w:tcW w:w="2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16,250</w:t>
            </w:r>
          </w:p>
        </w:tc>
        <w:tc>
          <w:tcPr>
            <w:tcW w:w="460" w:type="dxa"/>
            <w:vAlign w:val="bottom"/>
            <w:shd w:val="clear" w:color="auto" w:fill="EEEEEE"/>
          </w:tcPr>
          <w:p>
            <w:pPr>
              <w:spacing w:after="0"/>
              <w:rPr>
                <w:sz w:val="18"/>
                <w:szCs w:val="18"/>
                <w:color w:val="auto"/>
              </w:rPr>
            </w:pPr>
          </w:p>
        </w:tc>
      </w:tr>
      <w:tr>
        <w:trPr>
          <w:trHeight w:val="212"/>
        </w:trPr>
        <w:tc>
          <w:tcPr>
            <w:tcW w:w="4860" w:type="dxa"/>
            <w:vAlign w:val="bottom"/>
          </w:tcPr>
          <w:p>
            <w:pPr>
              <w:spacing w:after="0"/>
              <w:rPr>
                <w:sz w:val="20"/>
                <w:szCs w:val="20"/>
                <w:color w:val="auto"/>
              </w:rPr>
            </w:pPr>
            <w:r>
              <w:rPr>
                <w:rFonts w:ascii="Arial" w:cs="Arial" w:eastAsia="Arial" w:hAnsi="Arial"/>
                <w:sz w:val="17"/>
                <w:szCs w:val="17"/>
                <w:color w:val="auto"/>
              </w:rPr>
              <w:t>Printing Expenses</w:t>
            </w:r>
          </w:p>
        </w:tc>
        <w:tc>
          <w:tcPr>
            <w:tcW w:w="2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50,000</w:t>
            </w:r>
          </w:p>
        </w:tc>
        <w:tc>
          <w:tcPr>
            <w:tcW w:w="460" w:type="dxa"/>
            <w:vAlign w:val="bottom"/>
          </w:tcPr>
          <w:p>
            <w:pPr>
              <w:spacing w:after="0"/>
              <w:rPr>
                <w:sz w:val="18"/>
                <w:szCs w:val="18"/>
                <w:color w:val="auto"/>
              </w:rPr>
            </w:pPr>
          </w:p>
        </w:tc>
      </w:tr>
      <w:tr>
        <w:trPr>
          <w:trHeight w:val="212"/>
        </w:trPr>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Legal Fees and Expenses</w:t>
            </w:r>
          </w:p>
        </w:tc>
        <w:tc>
          <w:tcPr>
            <w:tcW w:w="2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7"/>
              </w:rPr>
              <w:t>150,000</w:t>
            </w:r>
          </w:p>
        </w:tc>
        <w:tc>
          <w:tcPr>
            <w:tcW w:w="460" w:type="dxa"/>
            <w:vAlign w:val="bottom"/>
            <w:shd w:val="clear" w:color="auto" w:fill="EEEEEE"/>
          </w:tcPr>
          <w:p>
            <w:pPr>
              <w:spacing w:after="0"/>
              <w:rPr>
                <w:sz w:val="18"/>
                <w:szCs w:val="18"/>
                <w:color w:val="auto"/>
              </w:rPr>
            </w:pPr>
          </w:p>
        </w:tc>
      </w:tr>
      <w:tr>
        <w:trPr>
          <w:trHeight w:val="212"/>
        </w:trPr>
        <w:tc>
          <w:tcPr>
            <w:tcW w:w="4860" w:type="dxa"/>
            <w:vAlign w:val="bottom"/>
          </w:tcPr>
          <w:p>
            <w:pPr>
              <w:spacing w:after="0"/>
              <w:rPr>
                <w:sz w:val="20"/>
                <w:szCs w:val="20"/>
                <w:color w:val="auto"/>
              </w:rPr>
            </w:pPr>
            <w:r>
              <w:rPr>
                <w:rFonts w:ascii="Arial" w:cs="Arial" w:eastAsia="Arial" w:hAnsi="Arial"/>
                <w:sz w:val="17"/>
                <w:szCs w:val="17"/>
                <w:color w:val="auto"/>
              </w:rPr>
              <w:t>Accounting Fees and Expenses</w:t>
            </w:r>
          </w:p>
        </w:tc>
        <w:tc>
          <w:tcPr>
            <w:tcW w:w="2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40,000</w:t>
            </w:r>
          </w:p>
        </w:tc>
        <w:tc>
          <w:tcPr>
            <w:tcW w:w="460" w:type="dxa"/>
            <w:vAlign w:val="bottom"/>
          </w:tcPr>
          <w:p>
            <w:pPr>
              <w:spacing w:after="0"/>
              <w:rPr>
                <w:sz w:val="18"/>
                <w:szCs w:val="18"/>
                <w:color w:val="auto"/>
              </w:rPr>
            </w:pPr>
          </w:p>
        </w:tc>
      </w:tr>
      <w:tr>
        <w:trPr>
          <w:trHeight w:val="212"/>
        </w:trPr>
        <w:tc>
          <w:tcPr>
            <w:tcW w:w="4860" w:type="dxa"/>
            <w:vAlign w:val="bottom"/>
            <w:shd w:val="clear" w:color="auto" w:fill="EEEEEE"/>
          </w:tcPr>
          <w:p>
            <w:pPr>
              <w:spacing w:after="0"/>
              <w:rPr>
                <w:sz w:val="20"/>
                <w:szCs w:val="20"/>
                <w:color w:val="auto"/>
              </w:rPr>
            </w:pPr>
            <w:r>
              <w:rPr>
                <w:rFonts w:ascii="Arial" w:cs="Arial" w:eastAsia="Arial" w:hAnsi="Arial"/>
                <w:sz w:val="17"/>
                <w:szCs w:val="17"/>
                <w:color w:val="auto"/>
              </w:rPr>
              <w:t>Transfer Agent and Registrar Agent Fees</w:t>
            </w:r>
          </w:p>
        </w:tc>
        <w:tc>
          <w:tcPr>
            <w:tcW w:w="2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rPr>
              <w:t>2,500</w:t>
            </w:r>
          </w:p>
        </w:tc>
        <w:tc>
          <w:tcPr>
            <w:tcW w:w="460" w:type="dxa"/>
            <w:vAlign w:val="bottom"/>
            <w:shd w:val="clear" w:color="auto" w:fill="EEEEEE"/>
          </w:tcPr>
          <w:p>
            <w:pPr>
              <w:spacing w:after="0"/>
              <w:rPr>
                <w:sz w:val="18"/>
                <w:szCs w:val="18"/>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7"/>
                <w:szCs w:val="17"/>
                <w:color w:val="auto"/>
              </w:rPr>
              <w:t>Miscellaneous</w:t>
            </w:r>
          </w:p>
        </w:tc>
        <w:tc>
          <w:tcPr>
            <w:tcW w:w="2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1,250</w:t>
            </w:r>
          </w:p>
        </w:tc>
        <w:tc>
          <w:tcPr>
            <w:tcW w:w="460" w:type="dxa"/>
            <w:vAlign w:val="bottom"/>
          </w:tcPr>
          <w:p>
            <w:pPr>
              <w:spacing w:after="0"/>
              <w:rPr>
                <w:sz w:val="18"/>
                <w:szCs w:val="18"/>
                <w:color w:val="auto"/>
              </w:rPr>
            </w:pPr>
          </w:p>
        </w:tc>
      </w:tr>
      <w:tr>
        <w:trPr>
          <w:trHeight w:val="100"/>
        </w:trPr>
        <w:tc>
          <w:tcPr>
            <w:tcW w:w="4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r>
      <w:tr>
        <w:trPr>
          <w:trHeight w:val="99"/>
        </w:trPr>
        <w:tc>
          <w:tcPr>
            <w:tcW w:w="4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2"/>
        </w:trPr>
        <w:tc>
          <w:tcPr>
            <w:tcW w:w="4860" w:type="dxa"/>
            <w:vAlign w:val="bottom"/>
            <w:shd w:val="clear" w:color="auto" w:fill="EEEEEE"/>
          </w:tcPr>
          <w:p>
            <w:pPr>
              <w:ind w:left="220"/>
              <w:spacing w:after="0"/>
              <w:rPr>
                <w:sz w:val="20"/>
                <w:szCs w:val="20"/>
                <w:color w:val="auto"/>
              </w:rPr>
            </w:pPr>
            <w:r>
              <w:rPr>
                <w:rFonts w:ascii="Arial" w:cs="Arial" w:eastAsia="Arial" w:hAnsi="Arial"/>
                <w:sz w:val="17"/>
                <w:szCs w:val="17"/>
                <w:color w:val="auto"/>
              </w:rPr>
              <w:t>Total</w:t>
            </w:r>
          </w:p>
        </w:tc>
        <w:tc>
          <w:tcPr>
            <w:tcW w:w="2120" w:type="dxa"/>
            <w:vAlign w:val="bottom"/>
            <w:shd w:val="clear" w:color="auto" w:fill="EEEEEE"/>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7"/>
                <w:szCs w:val="17"/>
                <w:color w:val="auto"/>
                <w:w w:val="87"/>
              </w:rPr>
              <w:t>260,000</w:t>
            </w:r>
          </w:p>
        </w:tc>
        <w:tc>
          <w:tcPr>
            <w:tcW w:w="460" w:type="dxa"/>
            <w:vAlign w:val="bottom"/>
            <w:shd w:val="clear" w:color="auto" w:fill="EEEEEE"/>
          </w:tcPr>
          <w:p>
            <w:pPr>
              <w:spacing w:after="0"/>
              <w:rPr>
                <w:sz w:val="18"/>
                <w:szCs w:val="18"/>
                <w:color w:val="auto"/>
              </w:rPr>
            </w:pPr>
          </w:p>
        </w:tc>
      </w:tr>
    </w:tbl>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b w:val="1"/>
          <w:bCs w:val="1"/>
          <w:color w:val="auto"/>
        </w:rPr>
        <w:t>Item 14.</w:t>
      </w:r>
      <w:r>
        <w:rPr>
          <w:sz w:val="20"/>
          <w:szCs w:val="20"/>
          <w:color w:val="auto"/>
        </w:rPr>
        <w:tab/>
      </w:r>
      <w:r>
        <w:rPr>
          <w:rFonts w:ascii="Arial" w:cs="Arial" w:eastAsia="Arial" w:hAnsi="Arial"/>
          <w:sz w:val="18"/>
          <w:szCs w:val="18"/>
          <w:b w:val="1"/>
          <w:bCs w:val="1"/>
          <w:i w:val="1"/>
          <w:iCs w:val="1"/>
          <w:color w:val="auto"/>
        </w:rPr>
        <w:t>Indemnification of directors and officers</w:t>
      </w:r>
    </w:p>
    <w:p>
      <w:pPr>
        <w:spacing w:after="0" w:line="227"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We are incorporated under the laws of the State of Delaware. Section 145 of the Delaware General Corporation Law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28" w:name="page129"/>
    <w:bookmarkEnd w:id="128"/>
    <w:p>
      <w:pPr>
        <w:spacing w:after="0" w:line="325" w:lineRule="auto"/>
        <w:rPr>
          <w:sz w:val="20"/>
          <w:szCs w:val="20"/>
          <w:color w:val="auto"/>
        </w:rPr>
      </w:pPr>
      <w:r>
        <w:rPr>
          <w:rFonts w:ascii="Arial" w:cs="Arial" w:eastAsia="Arial" w:hAnsi="Arial"/>
          <w:sz w:val="15"/>
          <w:szCs w:val="15"/>
          <w:color w:val="auto"/>
        </w:rPr>
        <w:t>such expenses which the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4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85" w:lineRule="exact"/>
        <w:rPr>
          <w:sz w:val="20"/>
          <w:szCs w:val="20"/>
          <w:color w:val="auto"/>
        </w:rPr>
      </w:pPr>
    </w:p>
    <w:p>
      <w:pPr>
        <w:jc w:val="both"/>
        <w:ind w:right="60"/>
        <w:spacing w:after="0" w:line="273" w:lineRule="auto"/>
        <w:rPr>
          <w:sz w:val="20"/>
          <w:szCs w:val="20"/>
          <w:color w:val="auto"/>
        </w:rPr>
      </w:pPr>
      <w:r>
        <w:rPr>
          <w:rFonts w:ascii="Arial" w:cs="Arial" w:eastAsia="Arial" w:hAnsi="Arial"/>
          <w:sz w:val="17"/>
          <w:szCs w:val="17"/>
          <w:color w:val="auto"/>
        </w:rPr>
        <w:t>Our Certificate of Incorporation provides for the indemnification of officers and directors to the fullest extent permitted by the Delaware General Corporation Law. We have also agreed pursuant to our Investor Rights Agreement (filed as Exhibit 10.1 to the Registration Statement) to indemnify certain stockholders party thereto against certain liabilities, including liabilities arising under the Securities Act.</w:t>
      </w:r>
    </w:p>
    <w:p>
      <w:pPr>
        <w:spacing w:after="0" w:line="1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All of our directors and officers are covered by insurance policies maintained by us against certain liabilities for actions taken in their capacities as such, including liabilities under the Securities Act.</w:t>
      </w:r>
    </w:p>
    <w:p>
      <w:pPr>
        <w:spacing w:after="0" w:line="150"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b w:val="1"/>
          <w:bCs w:val="1"/>
          <w:color w:val="auto"/>
        </w:rPr>
        <w:t>Item 15.</w:t>
      </w:r>
      <w:r>
        <w:rPr>
          <w:sz w:val="20"/>
          <w:szCs w:val="20"/>
          <w:color w:val="auto"/>
        </w:rPr>
        <w:tab/>
      </w:r>
      <w:r>
        <w:rPr>
          <w:rFonts w:ascii="Arial" w:cs="Arial" w:eastAsia="Arial" w:hAnsi="Arial"/>
          <w:sz w:val="17"/>
          <w:szCs w:val="17"/>
          <w:b w:val="1"/>
          <w:bCs w:val="1"/>
          <w:i w:val="1"/>
          <w:iCs w:val="1"/>
          <w:color w:val="auto"/>
        </w:rPr>
        <w:t>Recent sales of unregistered securities.</w:t>
      </w:r>
    </w:p>
    <w:p>
      <w:pPr>
        <w:spacing w:after="0" w:line="2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During the past three years, the Company has issued unregistered securities in the transactions described below. Securities issued in such transactions were offered and sold in reliance upon the exemption from registration under Section 4(2) of the Securities Act of 1933 and/or Rule 701 promulgated thereunder, relating to sales by an issuer not involving any public offering. The sales of securities were made without the use of an underwriter and the certificates evidencing the shares bear a restricted legend permitting the transfer thereof only upon registration of the shares or an exemption under said Act.</w:t>
      </w:r>
    </w:p>
    <w:p>
      <w:pPr>
        <w:spacing w:after="0" w:line="169" w:lineRule="exact"/>
        <w:rPr>
          <w:sz w:val="20"/>
          <w:szCs w:val="20"/>
          <w:color w:val="auto"/>
        </w:rPr>
      </w:pPr>
    </w:p>
    <w:p>
      <w:pPr>
        <w:ind w:left="460" w:right="20" w:hanging="454"/>
        <w:spacing w:after="0" w:line="286"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During 2002, we granted options to purchase an aggregate of 1,127,359 shares of our common stock to certain of our employees and directors pursuant to our stock option plans.</w:t>
      </w:r>
    </w:p>
    <w:p>
      <w:pPr>
        <w:spacing w:after="0" w:line="195" w:lineRule="exact"/>
        <w:rPr>
          <w:rFonts w:ascii="Arial" w:cs="Arial" w:eastAsia="Arial" w:hAnsi="Arial"/>
          <w:sz w:val="17"/>
          <w:szCs w:val="17"/>
          <w:color w:val="auto"/>
        </w:rPr>
      </w:pPr>
    </w:p>
    <w:p>
      <w:pPr>
        <w:ind w:left="460" w:right="240" w:hanging="454"/>
        <w:spacing w:after="0" w:line="319"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During 2003, we granted 802,884 options to purchase 802,884 shares of our common stock to certain of our employees and directors pursuant to our stock option plans. In addition, during 2003, we issued an aggregate of 48,462 shares of common stock upon the exercise of a stock option.</w:t>
      </w:r>
    </w:p>
    <w:p>
      <w:pPr>
        <w:spacing w:after="0" w:line="172" w:lineRule="exact"/>
        <w:rPr>
          <w:rFonts w:ascii="Arial" w:cs="Arial" w:eastAsia="Arial" w:hAnsi="Arial"/>
          <w:sz w:val="16"/>
          <w:szCs w:val="16"/>
          <w:color w:val="auto"/>
        </w:rPr>
      </w:pPr>
    </w:p>
    <w:p>
      <w:pPr>
        <w:ind w:left="460" w:right="140" w:hanging="454"/>
        <w:spacing w:after="0" w:line="356"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During 2004, we granted options to purchase an aggregate of 571,139 shares of our common stock to certain of our employees and directors pursuant to our stock option plans. In addition, during this time period we issued an aggregate of 140,183 shares of common stock upon exercise of stock options.</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129" w:name="page130"/>
    <w:bookmarkEnd w:id="129"/>
    <w:p>
      <w:pPr>
        <w:spacing w:after="0"/>
        <w:tabs>
          <w:tab w:leader="none" w:pos="1040" w:val="left"/>
        </w:tabs>
        <w:rPr>
          <w:sz w:val="20"/>
          <w:szCs w:val="20"/>
          <w:color w:val="auto"/>
        </w:rPr>
      </w:pPr>
      <w:r>
        <w:rPr>
          <w:rFonts w:ascii="Arial" w:cs="Arial" w:eastAsia="Arial" w:hAnsi="Arial"/>
          <w:sz w:val="21"/>
          <w:szCs w:val="21"/>
          <w:b w:val="1"/>
          <w:bCs w:val="1"/>
          <w:color w:val="auto"/>
        </w:rPr>
        <w:t>Item 16.</w:t>
      </w:r>
      <w:r>
        <w:rPr>
          <w:sz w:val="20"/>
          <w:szCs w:val="20"/>
          <w:color w:val="auto"/>
        </w:rPr>
        <w:tab/>
      </w:r>
      <w:r>
        <w:rPr>
          <w:rFonts w:ascii="Arial" w:cs="Arial" w:eastAsia="Arial" w:hAnsi="Arial"/>
          <w:sz w:val="18"/>
          <w:szCs w:val="18"/>
          <w:b w:val="1"/>
          <w:bCs w:val="1"/>
          <w:i w:val="1"/>
          <w:iCs w:val="1"/>
          <w:color w:val="auto"/>
        </w:rPr>
        <w:t>Exhibits and financial statement schedules.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Exhibits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See Exhibit Index beginning on page II-7 of this registration statement.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b w:val="1"/>
          <w:bCs w:val="1"/>
          <w:color w:val="auto"/>
        </w:rPr>
        <w:t>Item 17.</w:t>
      </w:r>
      <w:r>
        <w:rPr>
          <w:sz w:val="20"/>
          <w:szCs w:val="20"/>
          <w:color w:val="auto"/>
        </w:rPr>
        <w:tab/>
      </w:r>
      <w:r>
        <w:rPr>
          <w:rFonts w:ascii="Arial" w:cs="Arial" w:eastAsia="Arial" w:hAnsi="Arial"/>
          <w:sz w:val="18"/>
          <w:szCs w:val="18"/>
          <w:b w:val="1"/>
          <w:bCs w:val="1"/>
          <w:i w:val="1"/>
          <w:iCs w:val="1"/>
          <w:color w:val="auto"/>
        </w:rPr>
        <w:t>Undertakings.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registrant hereby undertakes</w:t>
      </w:r>
    </w:p>
    <w:p>
      <w:pPr>
        <w:spacing w:after="0" w:line="228" w:lineRule="exact"/>
        <w:rPr>
          <w:sz w:val="20"/>
          <w:szCs w:val="20"/>
          <w:color w:val="auto"/>
        </w:rPr>
      </w:pPr>
    </w:p>
    <w:p>
      <w:pPr>
        <w:ind w:left="240" w:hanging="234"/>
        <w:spacing w:after="0"/>
        <w:tabs>
          <w:tab w:leader="none" w:pos="2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27" w:lineRule="exact"/>
        <w:rPr>
          <w:rFonts w:ascii="Arial" w:cs="Arial" w:eastAsia="Arial" w:hAnsi="Arial"/>
          <w:sz w:val="17"/>
          <w:szCs w:val="17"/>
          <w:color w:val="auto"/>
        </w:rPr>
      </w:pPr>
    </w:p>
    <w:p>
      <w:pPr>
        <w:ind w:left="580" w:hanging="230"/>
        <w:spacing w:after="0"/>
        <w:tabs>
          <w:tab w:leader="none" w:pos="5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280" w:lineRule="exact"/>
        <w:rPr>
          <w:rFonts w:ascii="Arial" w:cs="Arial" w:eastAsia="Arial" w:hAnsi="Arial"/>
          <w:sz w:val="17"/>
          <w:szCs w:val="17"/>
          <w:color w:val="auto"/>
        </w:rPr>
      </w:pPr>
    </w:p>
    <w:p>
      <w:pPr>
        <w:ind w:left="580" w:right="220" w:hanging="230"/>
        <w:spacing w:after="0" w:line="284" w:lineRule="auto"/>
        <w:tabs>
          <w:tab w:leader="none" w:pos="5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220" w:hanging="230"/>
        <w:spacing w:after="0" w:line="286" w:lineRule="auto"/>
        <w:tabs>
          <w:tab w:leader="none" w:pos="5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69" w:lineRule="exact"/>
        <w:rPr>
          <w:rFonts w:ascii="Arial" w:cs="Arial" w:eastAsia="Arial" w:hAnsi="Arial"/>
          <w:sz w:val="17"/>
          <w:szCs w:val="17"/>
          <w:color w:val="auto"/>
        </w:rPr>
      </w:pPr>
    </w:p>
    <w:p>
      <w:pPr>
        <w:ind w:right="140" w:firstLine="6"/>
        <w:spacing w:after="0" w:line="356" w:lineRule="auto"/>
        <w:tabs>
          <w:tab w:leader="none" w:pos="2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3" w:lineRule="exact"/>
        <w:rPr>
          <w:rFonts w:ascii="Arial" w:cs="Arial" w:eastAsia="Arial" w:hAnsi="Arial"/>
          <w:sz w:val="15"/>
          <w:szCs w:val="15"/>
          <w:color w:val="auto"/>
        </w:rPr>
      </w:pPr>
    </w:p>
    <w:p>
      <w:pPr>
        <w:ind w:left="240" w:hanging="234"/>
        <w:spacing w:after="0"/>
        <w:tabs>
          <w:tab w:leader="none" w:pos="2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6" w:right="2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color w:val="auto"/>
        </w:rPr>
        <w:t>The undersigned registrant also hereby undertakes that:</w:t>
      </w:r>
    </w:p>
    <w:p>
      <w:pPr>
        <w:spacing w:after="0" w:line="228" w:lineRule="exact"/>
        <w:rPr>
          <w:sz w:val="20"/>
          <w:szCs w:val="20"/>
          <w:color w:val="auto"/>
        </w:rPr>
      </w:pPr>
    </w:p>
    <w:p>
      <w:pPr>
        <w:ind w:firstLine="6"/>
        <w:spacing w:after="0" w:line="273" w:lineRule="auto"/>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Act shall be deemed to be part of this Registration Statement as of the time it was declared effective.</w:t>
      </w:r>
    </w:p>
    <w:p>
      <w:pPr>
        <w:spacing w:after="0" w:line="179" w:lineRule="exact"/>
        <w:rPr>
          <w:rFonts w:ascii="Arial" w:cs="Arial" w:eastAsia="Arial" w:hAnsi="Arial"/>
          <w:sz w:val="17"/>
          <w:szCs w:val="17"/>
          <w:color w:val="auto"/>
        </w:rPr>
      </w:pPr>
    </w:p>
    <w:p>
      <w:pPr>
        <w:jc w:val="both"/>
        <w:ind w:right="40" w:firstLine="6"/>
        <w:spacing w:after="0" w:line="273" w:lineRule="auto"/>
        <w:tabs>
          <w:tab w:leader="none" w:pos="244"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147955</wp:posOffset>
            </wp:positionV>
            <wp:extent cx="725360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25"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4"/>
          <w:szCs w:val="24"/>
          <w:b w:val="1"/>
          <w:bCs w:val="1"/>
          <w:color w:val="auto"/>
        </w:rPr>
        <w:t>Signatures</w:t>
      </w:r>
    </w:p>
    <w:p>
      <w:pPr>
        <w:spacing w:after="0" w:line="23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Charleston, State of South Carolina, on this 18th day of January 2005.</w:t>
      </w:r>
    </w:p>
    <w:p>
      <w:pPr>
        <w:spacing w:after="0" w:line="161"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BLACKBAUD, INC.</w:t>
      </w: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By: /s/ ROBERT J. SYWOLSKI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2910205</wp:posOffset>
            </wp:positionH>
            <wp:positionV relativeFrom="paragraph">
              <wp:posOffset>99695</wp:posOffset>
            </wp:positionV>
            <wp:extent cx="43427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42765" cy="8255"/>
                    </a:xfrm>
                    <a:prstGeom prst="rect">
                      <a:avLst/>
                    </a:prstGeom>
                    <a:noFill/>
                  </pic:spPr>
                </pic:pic>
              </a:graphicData>
            </a:graphic>
          </wp:anchor>
        </w:drawing>
      </w:r>
    </w:p>
    <w:p>
      <w:pPr>
        <w:spacing w:after="0" w:line="261"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Robert J. Sywolski</w:t>
      </w:r>
    </w:p>
    <w:p>
      <w:pPr>
        <w:spacing w:after="0" w:line="43" w:lineRule="exact"/>
        <w:rPr>
          <w:sz w:val="20"/>
          <w:szCs w:val="20"/>
          <w:color w:val="auto"/>
        </w:rPr>
      </w:pPr>
    </w:p>
    <w:p>
      <w:pPr>
        <w:ind w:left="4580"/>
        <w:spacing w:after="0"/>
        <w:rPr>
          <w:sz w:val="20"/>
          <w:szCs w:val="20"/>
          <w:color w:val="auto"/>
        </w:rPr>
      </w:pPr>
      <w:r>
        <w:rPr>
          <w:rFonts w:ascii="Arial" w:cs="Arial" w:eastAsia="Arial" w:hAnsi="Arial"/>
          <w:sz w:val="17"/>
          <w:szCs w:val="17"/>
          <w:color w:val="auto"/>
        </w:rPr>
        <w:t>President and Chief Executive Officer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3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Each person whose signature appears below constitutes and appoints Robert J. Sywolski and Timothy V. Williams, and each of them,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related Registration Statements filed pursuant to Rule 462(b) promulgated under the Securities Act of 1933, and to file the same, with all exhibits thereto, and other documents in connection therewith, with the SEC,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pacing w:after="0" w:line="376" w:lineRule="exact"/>
        <w:rPr>
          <w:sz w:val="20"/>
          <w:szCs w:val="20"/>
          <w:color w:val="auto"/>
        </w:rPr>
      </w:pPr>
    </w:p>
    <w:p>
      <w:pPr>
        <w:ind w:left="2420"/>
        <w:spacing w:after="0"/>
        <w:tabs>
          <w:tab w:leader="none" w:pos="6740" w:val="left"/>
          <w:tab w:leader="none" w:pos="988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Capacity</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73025</wp:posOffset>
            </wp:positionV>
            <wp:extent cx="6518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5"/>
              </w:rPr>
              <w:t>/s/ ROBERT J. SYWOLSKI</w:t>
            </w:r>
          </w:p>
        </w:tc>
        <w:tc>
          <w:tcPr>
            <w:tcW w:w="4360" w:type="dxa"/>
            <w:vAlign w:val="bottom"/>
          </w:tcPr>
          <w:p>
            <w:pPr>
              <w:jc w:val="center"/>
              <w:spacing w:after="0"/>
              <w:rPr>
                <w:sz w:val="20"/>
                <w:szCs w:val="20"/>
                <w:color w:val="auto"/>
              </w:rPr>
            </w:pPr>
            <w:r>
              <w:rPr>
                <w:rFonts w:ascii="Arial" w:cs="Arial" w:eastAsia="Arial" w:hAnsi="Arial"/>
                <w:sz w:val="17"/>
                <w:szCs w:val="17"/>
                <w:color w:val="auto"/>
                <w:w w:val="93"/>
              </w:rPr>
              <w:t>President, Chief Executive Officer and Director</w:t>
            </w:r>
          </w:p>
        </w:tc>
        <w:tc>
          <w:tcPr>
            <w:tcW w:w="2260" w:type="dxa"/>
            <w:vAlign w:val="bottom"/>
          </w:tcPr>
          <w:p>
            <w:pPr>
              <w:ind w:left="500"/>
              <w:spacing w:after="0"/>
              <w:rPr>
                <w:sz w:val="20"/>
                <w:szCs w:val="20"/>
                <w:color w:val="auto"/>
              </w:rPr>
            </w:pPr>
            <w:r>
              <w:rPr>
                <w:rFonts w:ascii="Arial" w:cs="Arial" w:eastAsia="Arial" w:hAnsi="Arial"/>
                <w:sz w:val="17"/>
                <w:szCs w:val="17"/>
                <w:color w:val="auto"/>
              </w:rPr>
              <w:t>January 18, 2005</w:t>
            </w: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360" w:type="dxa"/>
            <w:vAlign w:val="bottom"/>
            <w:vMerge w:val="restart"/>
          </w:tcPr>
          <w:p>
            <w:pPr>
              <w:jc w:val="center"/>
              <w:spacing w:after="0"/>
              <w:rPr>
                <w:sz w:val="20"/>
                <w:szCs w:val="20"/>
                <w:color w:val="auto"/>
              </w:rPr>
            </w:pPr>
            <w:r>
              <w:rPr>
                <w:rFonts w:ascii="Arial" w:cs="Arial" w:eastAsia="Arial" w:hAnsi="Arial"/>
                <w:sz w:val="17"/>
                <w:szCs w:val="17"/>
                <w:color w:val="auto"/>
                <w:w w:val="95"/>
              </w:rPr>
              <w:t>(Principal Executive Officer)</w:t>
            </w: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2"/>
              </w:rPr>
              <w:t>Robert J. Sywolski</w:t>
            </w:r>
          </w:p>
        </w:tc>
        <w:tc>
          <w:tcPr>
            <w:tcW w:w="4360" w:type="dxa"/>
            <w:vAlign w:val="bottom"/>
            <w:vMerge w:val="continue"/>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220" w:type="dxa"/>
            <w:vAlign w:val="bottom"/>
            <w:vMerge w:val="continue"/>
          </w:tcPr>
          <w:p>
            <w:pPr>
              <w:spacing w:after="0"/>
              <w:rPr>
                <w:sz w:val="16"/>
                <w:szCs w:val="16"/>
                <w:color w:val="auto"/>
              </w:rPr>
            </w:pPr>
          </w:p>
        </w:tc>
        <w:tc>
          <w:tcPr>
            <w:tcW w:w="4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rPr>
              <w:t>/s/ TIMOTHY V. WILLIAMS</w:t>
            </w:r>
          </w:p>
        </w:tc>
        <w:tc>
          <w:tcPr>
            <w:tcW w:w="4360" w:type="dxa"/>
            <w:vAlign w:val="bottom"/>
          </w:tcPr>
          <w:p>
            <w:pPr>
              <w:jc w:val="center"/>
              <w:spacing w:after="0"/>
              <w:rPr>
                <w:sz w:val="20"/>
                <w:szCs w:val="20"/>
                <w:color w:val="auto"/>
              </w:rPr>
            </w:pPr>
            <w:r>
              <w:rPr>
                <w:rFonts w:ascii="Arial" w:cs="Arial" w:eastAsia="Arial" w:hAnsi="Arial"/>
                <w:sz w:val="17"/>
                <w:szCs w:val="17"/>
                <w:color w:val="auto"/>
                <w:w w:val="91"/>
              </w:rPr>
              <w:t>Vice President</w:t>
            </w:r>
          </w:p>
        </w:tc>
        <w:tc>
          <w:tcPr>
            <w:tcW w:w="2260" w:type="dxa"/>
            <w:vAlign w:val="bottom"/>
          </w:tcPr>
          <w:p>
            <w:pPr>
              <w:ind w:left="500"/>
              <w:spacing w:after="0"/>
              <w:rPr>
                <w:sz w:val="20"/>
                <w:szCs w:val="20"/>
                <w:color w:val="auto"/>
              </w:rPr>
            </w:pPr>
            <w:r>
              <w:rPr>
                <w:rFonts w:ascii="Arial" w:cs="Arial" w:eastAsia="Arial" w:hAnsi="Arial"/>
                <w:sz w:val="17"/>
                <w:szCs w:val="17"/>
                <w:color w:val="auto"/>
              </w:rPr>
              <w:t>January 18, 2005</w:t>
            </w:r>
          </w:p>
        </w:tc>
        <w:tc>
          <w:tcPr>
            <w:tcW w:w="0" w:type="dxa"/>
            <w:vAlign w:val="bottom"/>
          </w:tcPr>
          <w:p>
            <w:pPr>
              <w:spacing w:after="0"/>
              <w:rPr>
                <w:sz w:val="1"/>
                <w:szCs w:val="1"/>
                <w:color w:val="auto"/>
              </w:rPr>
            </w:pPr>
          </w:p>
        </w:tc>
      </w:tr>
      <w:tr>
        <w:trPr>
          <w:trHeight w:val="101"/>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360" w:type="dxa"/>
            <w:vAlign w:val="bottom"/>
            <w:vMerge w:val="restart"/>
          </w:tcPr>
          <w:p>
            <w:pPr>
              <w:jc w:val="center"/>
              <w:spacing w:after="0"/>
              <w:rPr>
                <w:sz w:val="20"/>
                <w:szCs w:val="20"/>
                <w:color w:val="auto"/>
              </w:rPr>
            </w:pPr>
            <w:r>
              <w:rPr>
                <w:rFonts w:ascii="Arial" w:cs="Arial" w:eastAsia="Arial" w:hAnsi="Arial"/>
                <w:sz w:val="17"/>
                <w:szCs w:val="17"/>
                <w:color w:val="auto"/>
                <w:w w:val="94"/>
              </w:rPr>
              <w:t>and Chief Financial Officer</w:t>
            </w: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580" w:type="dxa"/>
            <w:vAlign w:val="bottom"/>
          </w:tcPr>
          <w:p>
            <w:pPr>
              <w:spacing w:after="0"/>
              <w:rPr>
                <w:sz w:val="7"/>
                <w:szCs w:val="7"/>
                <w:color w:val="auto"/>
              </w:rPr>
            </w:pPr>
          </w:p>
        </w:tc>
        <w:tc>
          <w:tcPr>
            <w:tcW w:w="4220" w:type="dxa"/>
            <w:vAlign w:val="bottom"/>
            <w:vMerge w:val="restart"/>
          </w:tcPr>
          <w:p>
            <w:pPr>
              <w:jc w:val="center"/>
              <w:spacing w:after="0"/>
              <w:rPr>
                <w:sz w:val="20"/>
                <w:szCs w:val="20"/>
                <w:color w:val="auto"/>
              </w:rPr>
            </w:pPr>
            <w:r>
              <w:rPr>
                <w:rFonts w:ascii="Arial" w:cs="Arial" w:eastAsia="Arial" w:hAnsi="Arial"/>
                <w:sz w:val="17"/>
                <w:szCs w:val="17"/>
                <w:color w:val="auto"/>
                <w:w w:val="96"/>
              </w:rPr>
              <w:t>Timothy V. Williams</w:t>
            </w:r>
          </w:p>
        </w:tc>
        <w:tc>
          <w:tcPr>
            <w:tcW w:w="4360" w:type="dxa"/>
            <w:vAlign w:val="bottom"/>
            <w:vMerge w:val="continue"/>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4360" w:type="dxa"/>
            <w:vAlign w:val="bottom"/>
          </w:tcPr>
          <w:p>
            <w:pPr>
              <w:jc w:val="center"/>
              <w:spacing w:after="0"/>
              <w:rPr>
                <w:sz w:val="20"/>
                <w:szCs w:val="20"/>
                <w:color w:val="auto"/>
              </w:rPr>
            </w:pPr>
            <w:r>
              <w:rPr>
                <w:rFonts w:ascii="Arial" w:cs="Arial" w:eastAsia="Arial" w:hAnsi="Arial"/>
                <w:sz w:val="17"/>
                <w:szCs w:val="17"/>
                <w:color w:val="auto"/>
                <w:w w:val="94"/>
              </w:rPr>
              <w:t>(Principal Financial and Accounting Officer)</w:t>
            </w: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5"/>
              </w:rPr>
              <w:t>/s/ PAUL V. BARBER</w:t>
            </w:r>
          </w:p>
        </w:tc>
        <w:tc>
          <w:tcPr>
            <w:tcW w:w="43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2260" w:type="dxa"/>
            <w:vAlign w:val="bottom"/>
          </w:tcPr>
          <w:p>
            <w:pPr>
              <w:ind w:left="500"/>
              <w:spacing w:after="0"/>
              <w:rPr>
                <w:sz w:val="20"/>
                <w:szCs w:val="20"/>
                <w:color w:val="auto"/>
              </w:rPr>
            </w:pPr>
            <w:r>
              <w:rPr>
                <w:rFonts w:ascii="Arial" w:cs="Arial" w:eastAsia="Arial" w:hAnsi="Arial"/>
                <w:sz w:val="17"/>
                <w:szCs w:val="17"/>
                <w:color w:val="auto"/>
              </w:rPr>
              <w:t>January 18, 2005</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3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2"/>
              </w:rPr>
              <w:t>Paul V. Barber</w:t>
            </w:r>
          </w:p>
        </w:tc>
        <w:tc>
          <w:tcPr>
            <w:tcW w:w="4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8"/>
              </w:rPr>
              <w:t>/s/ MARCO W. HELLMAN</w:t>
            </w:r>
          </w:p>
        </w:tc>
        <w:tc>
          <w:tcPr>
            <w:tcW w:w="43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2260" w:type="dxa"/>
            <w:vAlign w:val="bottom"/>
          </w:tcPr>
          <w:p>
            <w:pPr>
              <w:ind w:left="500"/>
              <w:spacing w:after="0"/>
              <w:rPr>
                <w:sz w:val="20"/>
                <w:szCs w:val="20"/>
                <w:color w:val="auto"/>
              </w:rPr>
            </w:pPr>
            <w:r>
              <w:rPr>
                <w:rFonts w:ascii="Arial" w:cs="Arial" w:eastAsia="Arial" w:hAnsi="Arial"/>
                <w:sz w:val="17"/>
                <w:szCs w:val="17"/>
                <w:color w:val="auto"/>
              </w:rPr>
              <w:t>January 18, 2005</w:t>
            </w: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43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2"/>
              </w:rPr>
              <w:t>Marco W. Hellman</w:t>
            </w:r>
          </w:p>
        </w:tc>
        <w:tc>
          <w:tcPr>
            <w:tcW w:w="4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360" w:type="dxa"/>
            <w:vAlign w:val="bottom"/>
          </w:tcPr>
          <w:p>
            <w:pPr>
              <w:ind w:left="780"/>
              <w:spacing w:after="0"/>
              <w:rPr>
                <w:sz w:val="20"/>
                <w:szCs w:val="20"/>
                <w:color w:val="auto"/>
              </w:rPr>
            </w:pPr>
            <w:r>
              <w:rPr>
                <w:rFonts w:ascii="Arial" w:cs="Arial" w:eastAsia="Arial" w:hAnsi="Arial"/>
                <w:sz w:val="17"/>
                <w:szCs w:val="17"/>
                <w:color w:val="auto"/>
              </w:rPr>
              <w:t>II-5</w:t>
            </w: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sectPr>
      </w:pPr>
    </w:p>
    <w:bookmarkStart w:id="132" w:name="page133"/>
    <w:bookmarkEnd w:id="132"/>
    <w:p>
      <w:pPr>
        <w:ind w:left="2420"/>
        <w:spacing w:after="0"/>
        <w:tabs>
          <w:tab w:leader="none" w:pos="6740" w:val="left"/>
          <w:tab w:leader="none" w:pos="9880" w:val="left"/>
        </w:tabs>
        <w:rPr>
          <w:sz w:val="20"/>
          <w:szCs w:val="20"/>
          <w:color w:val="auto"/>
        </w:rPr>
      </w:pPr>
      <w:r>
        <w:rPr>
          <w:rFonts w:ascii="Arial" w:cs="Arial" w:eastAsia="Arial" w:hAnsi="Arial"/>
          <w:sz w:val="13"/>
          <w:szCs w:val="13"/>
          <w:b w:val="1"/>
          <w:bCs w:val="1"/>
          <w:color w:val="auto"/>
        </w:rPr>
        <w:t>Signature</w:t>
      </w:r>
      <w:r>
        <w:rPr>
          <w:sz w:val="20"/>
          <w:szCs w:val="20"/>
          <w:color w:val="auto"/>
        </w:rPr>
        <w:tab/>
      </w:r>
      <w:r>
        <w:rPr>
          <w:rFonts w:ascii="Arial" w:cs="Arial" w:eastAsia="Arial" w:hAnsi="Arial"/>
          <w:sz w:val="13"/>
          <w:szCs w:val="13"/>
          <w:b w:val="1"/>
          <w:bCs w:val="1"/>
          <w:color w:val="auto"/>
        </w:rPr>
        <w:t>Capacity</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73025</wp:posOffset>
            </wp:positionV>
            <wp:extent cx="65182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7"/>
              </w:rPr>
              <w:t>/s/ DR. SANDRA R. HERNÁNDEZ</w:t>
            </w:r>
          </w:p>
        </w:tc>
        <w:tc>
          <w:tcPr>
            <w:tcW w:w="3680" w:type="dxa"/>
            <w:vAlign w:val="bottom"/>
          </w:tcPr>
          <w:p>
            <w:pPr>
              <w:ind w:left="192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1180"/>
              <w:spacing w:after="0"/>
              <w:rPr>
                <w:sz w:val="20"/>
                <w:szCs w:val="20"/>
                <w:color w:val="auto"/>
              </w:rPr>
            </w:pPr>
            <w:r>
              <w:rPr>
                <w:rFonts w:ascii="Arial" w:cs="Arial" w:eastAsia="Arial" w:hAnsi="Arial"/>
                <w:sz w:val="17"/>
                <w:szCs w:val="17"/>
                <w:color w:val="auto"/>
              </w:rPr>
              <w:t>January 18, 2005</w:t>
            </w:r>
          </w:p>
        </w:tc>
      </w:tr>
      <w:tr>
        <w:trPr>
          <w:trHeight w:val="96"/>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940" w:type="dxa"/>
            <w:vAlign w:val="bottom"/>
          </w:tcPr>
          <w:p>
            <w:pPr>
              <w:spacing w:after="0"/>
              <w:rPr>
                <w:sz w:val="8"/>
                <w:szCs w:val="8"/>
                <w:color w:val="auto"/>
              </w:rPr>
            </w:pPr>
          </w:p>
        </w:tc>
      </w:tr>
      <w:tr>
        <w:trPr>
          <w:trHeight w:val="281"/>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0"/>
              </w:rPr>
              <w:t>Dr. Sandra R. Hernández</w:t>
            </w:r>
          </w:p>
        </w:tc>
        <w:tc>
          <w:tcPr>
            <w:tcW w:w="36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23"/>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9"/>
              </w:rPr>
              <w:t>/s/ ANDREW M. LEITCH</w:t>
            </w:r>
          </w:p>
        </w:tc>
        <w:tc>
          <w:tcPr>
            <w:tcW w:w="3680" w:type="dxa"/>
            <w:vAlign w:val="bottom"/>
          </w:tcPr>
          <w:p>
            <w:pPr>
              <w:ind w:left="192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1180"/>
              <w:spacing w:after="0"/>
              <w:rPr>
                <w:sz w:val="20"/>
                <w:szCs w:val="20"/>
                <w:color w:val="auto"/>
              </w:rPr>
            </w:pPr>
            <w:r>
              <w:rPr>
                <w:rFonts w:ascii="Arial" w:cs="Arial" w:eastAsia="Arial" w:hAnsi="Arial"/>
                <w:sz w:val="17"/>
                <w:szCs w:val="17"/>
                <w:color w:val="auto"/>
              </w:rPr>
              <w:t>January 18, 2005</w:t>
            </w:r>
          </w:p>
        </w:tc>
      </w:tr>
      <w:tr>
        <w:trPr>
          <w:trHeight w:val="96"/>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940" w:type="dxa"/>
            <w:vAlign w:val="bottom"/>
          </w:tcPr>
          <w:p>
            <w:pPr>
              <w:spacing w:after="0"/>
              <w:rPr>
                <w:sz w:val="8"/>
                <w:szCs w:val="8"/>
                <w:color w:val="auto"/>
              </w:rPr>
            </w:pPr>
          </w:p>
        </w:tc>
      </w:tr>
      <w:tr>
        <w:trPr>
          <w:trHeight w:val="281"/>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5"/>
              </w:rPr>
              <w:t>Andrew M. Leitch</w:t>
            </w:r>
          </w:p>
        </w:tc>
        <w:tc>
          <w:tcPr>
            <w:tcW w:w="36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23"/>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9"/>
              </w:rPr>
              <w:t>/s/ DAVID R. TUNNELL</w:t>
            </w:r>
          </w:p>
        </w:tc>
        <w:tc>
          <w:tcPr>
            <w:tcW w:w="3680" w:type="dxa"/>
            <w:vAlign w:val="bottom"/>
          </w:tcPr>
          <w:p>
            <w:pPr>
              <w:ind w:left="1920"/>
              <w:spacing w:after="0"/>
              <w:rPr>
                <w:sz w:val="20"/>
                <w:szCs w:val="20"/>
                <w:color w:val="auto"/>
              </w:rPr>
            </w:pPr>
            <w:r>
              <w:rPr>
                <w:rFonts w:ascii="Arial" w:cs="Arial" w:eastAsia="Arial" w:hAnsi="Arial"/>
                <w:sz w:val="17"/>
                <w:szCs w:val="17"/>
                <w:color w:val="auto"/>
              </w:rPr>
              <w:t>Director</w:t>
            </w:r>
          </w:p>
        </w:tc>
        <w:tc>
          <w:tcPr>
            <w:tcW w:w="2940" w:type="dxa"/>
            <w:vAlign w:val="bottom"/>
          </w:tcPr>
          <w:p>
            <w:pPr>
              <w:ind w:left="1180"/>
              <w:spacing w:after="0"/>
              <w:rPr>
                <w:sz w:val="20"/>
                <w:szCs w:val="20"/>
                <w:color w:val="auto"/>
              </w:rPr>
            </w:pPr>
            <w:r>
              <w:rPr>
                <w:rFonts w:ascii="Arial" w:cs="Arial" w:eastAsia="Arial" w:hAnsi="Arial"/>
                <w:sz w:val="17"/>
                <w:szCs w:val="17"/>
                <w:color w:val="auto"/>
              </w:rPr>
              <w:t>January 18, 2005</w:t>
            </w:r>
          </w:p>
        </w:tc>
      </w:tr>
      <w:tr>
        <w:trPr>
          <w:trHeight w:val="96"/>
        </w:trPr>
        <w:tc>
          <w:tcPr>
            <w:tcW w:w="58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3680" w:type="dxa"/>
            <w:vAlign w:val="bottom"/>
          </w:tcPr>
          <w:p>
            <w:pPr>
              <w:spacing w:after="0"/>
              <w:rPr>
                <w:sz w:val="8"/>
                <w:szCs w:val="8"/>
                <w:color w:val="auto"/>
              </w:rPr>
            </w:pPr>
          </w:p>
        </w:tc>
        <w:tc>
          <w:tcPr>
            <w:tcW w:w="2940" w:type="dxa"/>
            <w:vAlign w:val="bottom"/>
          </w:tcPr>
          <w:p>
            <w:pPr>
              <w:spacing w:after="0"/>
              <w:rPr>
                <w:sz w:val="8"/>
                <w:szCs w:val="8"/>
                <w:color w:val="auto"/>
              </w:rPr>
            </w:pPr>
          </w:p>
        </w:tc>
      </w:tr>
      <w:tr>
        <w:trPr>
          <w:trHeight w:val="281"/>
        </w:trPr>
        <w:tc>
          <w:tcPr>
            <w:tcW w:w="58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Arial" w:cs="Arial" w:eastAsia="Arial" w:hAnsi="Arial"/>
                <w:sz w:val="17"/>
                <w:szCs w:val="17"/>
                <w:color w:val="auto"/>
                <w:w w:val="93"/>
              </w:rPr>
              <w:t>David R. Tunnell</w:t>
            </w:r>
          </w:p>
        </w:tc>
        <w:tc>
          <w:tcPr>
            <w:tcW w:w="368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423"/>
        </w:trPr>
        <w:tc>
          <w:tcPr>
            <w:tcW w:w="5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680" w:type="dxa"/>
            <w:vAlign w:val="bottom"/>
          </w:tcPr>
          <w:p>
            <w:pPr>
              <w:ind w:left="780"/>
              <w:spacing w:after="0"/>
              <w:rPr>
                <w:sz w:val="20"/>
                <w:szCs w:val="20"/>
                <w:color w:val="auto"/>
              </w:rPr>
            </w:pPr>
            <w:r>
              <w:rPr>
                <w:rFonts w:ascii="Arial" w:cs="Arial" w:eastAsia="Arial" w:hAnsi="Arial"/>
                <w:sz w:val="17"/>
                <w:szCs w:val="17"/>
                <w:color w:val="auto"/>
              </w:rPr>
              <w:t>II-6</w:t>
            </w:r>
          </w:p>
        </w:tc>
        <w:tc>
          <w:tcPr>
            <w:tcW w:w="2940" w:type="dxa"/>
            <w:vAlign w:val="bottom"/>
          </w:tcPr>
          <w:p>
            <w:pPr>
              <w:spacing w:after="0"/>
              <w:rPr>
                <w:sz w:val="24"/>
                <w:szCs w:val="24"/>
                <w:color w:val="auto"/>
              </w:rPr>
            </w:pPr>
          </w:p>
        </w:tc>
      </w:tr>
      <w:tr>
        <w:trPr>
          <w:trHeight w:val="224"/>
        </w:trPr>
        <w:tc>
          <w:tcPr>
            <w:tcW w:w="58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368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2"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24"/>
          <w:szCs w:val="24"/>
          <w:b w:val="1"/>
          <w:bCs w:val="1"/>
          <w:color w:val="auto"/>
        </w:rPr>
        <w:t>Exhibit index</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gridSpan w:val="2"/>
          </w:tcPr>
          <w:p>
            <w:pPr>
              <w:ind w:left="260"/>
              <w:spacing w:after="0"/>
              <w:rPr>
                <w:sz w:val="20"/>
                <w:szCs w:val="20"/>
                <w:color w:val="auto"/>
              </w:rPr>
            </w:pPr>
            <w:r>
              <w:rPr>
                <w:rFonts w:ascii="Arial" w:cs="Arial" w:eastAsia="Arial" w:hAnsi="Arial"/>
                <w:sz w:val="13"/>
                <w:szCs w:val="13"/>
                <w:b w:val="1"/>
                <w:bCs w:val="1"/>
                <w:color w:val="auto"/>
              </w:rPr>
              <w:t>Filed In</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94"/>
        </w:trPr>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32"/>
        </w:trPr>
        <w:tc>
          <w:tcPr>
            <w:tcW w:w="1000" w:type="dxa"/>
            <w:vAlign w:val="bottom"/>
          </w:tcPr>
          <w:p>
            <w:pPr>
              <w:jc w:val="right"/>
              <w:ind w:right="202"/>
              <w:spacing w:after="0"/>
              <w:rPr>
                <w:sz w:val="20"/>
                <w:szCs w:val="20"/>
                <w:color w:val="auto"/>
              </w:rPr>
            </w:pPr>
            <w:r>
              <w:rPr>
                <w:rFonts w:ascii="Arial" w:cs="Arial" w:eastAsia="Arial" w:hAnsi="Arial"/>
                <w:sz w:val="13"/>
                <w:szCs w:val="13"/>
                <w:b w:val="1"/>
                <w:bCs w:val="1"/>
                <w:color w:val="auto"/>
              </w:rPr>
              <w:t>Exhibit</w:t>
            </w:r>
          </w:p>
        </w:tc>
        <w:tc>
          <w:tcPr>
            <w:tcW w:w="3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Registrant’s</w:t>
            </w: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6"/>
              </w:rPr>
              <w:t>Exhibit</w:t>
            </w:r>
          </w:p>
        </w:tc>
        <w:tc>
          <w:tcPr>
            <w:tcW w:w="3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Filed</w:t>
            </w:r>
          </w:p>
        </w:tc>
      </w:tr>
      <w:tr>
        <w:trPr>
          <w:trHeight w:val="170"/>
        </w:trPr>
        <w:tc>
          <w:tcPr>
            <w:tcW w:w="1000" w:type="dxa"/>
            <w:vAlign w:val="bottom"/>
          </w:tcPr>
          <w:p>
            <w:pPr>
              <w:jc w:val="right"/>
              <w:ind w:right="182"/>
              <w:spacing w:after="0"/>
              <w:rPr>
                <w:sz w:val="20"/>
                <w:szCs w:val="20"/>
                <w:color w:val="auto"/>
              </w:rPr>
            </w:pPr>
            <w:r>
              <w:rPr>
                <w:rFonts w:ascii="Arial" w:cs="Arial" w:eastAsia="Arial" w:hAnsi="Arial"/>
                <w:sz w:val="13"/>
                <w:szCs w:val="13"/>
                <w:b w:val="1"/>
                <w:bCs w:val="1"/>
                <w:color w:val="auto"/>
              </w:rPr>
              <w:t>Number</w:t>
            </w:r>
          </w:p>
        </w:tc>
        <w:tc>
          <w:tcPr>
            <w:tcW w:w="340" w:type="dxa"/>
            <w:vAlign w:val="bottom"/>
          </w:tcPr>
          <w:p>
            <w:pPr>
              <w:spacing w:after="0"/>
              <w:rPr>
                <w:sz w:val="14"/>
                <w:szCs w:val="14"/>
                <w:color w:val="auto"/>
              </w:rPr>
            </w:pPr>
          </w:p>
        </w:tc>
        <w:tc>
          <w:tcPr>
            <w:tcW w:w="5500" w:type="dxa"/>
            <w:vAlign w:val="bottom"/>
            <w:gridSpan w:val="2"/>
          </w:tcPr>
          <w:p>
            <w:pPr>
              <w:ind w:left="1860"/>
              <w:spacing w:after="0"/>
              <w:rPr>
                <w:sz w:val="20"/>
                <w:szCs w:val="20"/>
                <w:color w:val="auto"/>
              </w:rPr>
            </w:pPr>
            <w:r>
              <w:rPr>
                <w:rFonts w:ascii="Arial" w:cs="Arial" w:eastAsia="Arial" w:hAnsi="Arial"/>
                <w:sz w:val="13"/>
                <w:szCs w:val="13"/>
                <w:b w:val="1"/>
                <w:bCs w:val="1"/>
                <w:color w:val="auto"/>
              </w:rPr>
              <w:t>Description of Document</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8"/>
              </w:rPr>
              <w:t>Form</w:t>
            </w:r>
          </w:p>
        </w:tc>
        <w:tc>
          <w:tcPr>
            <w:tcW w:w="34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3"/>
                <w:szCs w:val="13"/>
                <w:b w:val="1"/>
                <w:bCs w:val="1"/>
                <w:color w:val="auto"/>
              </w:rPr>
              <w:t>Dated</w:t>
            </w:r>
          </w:p>
        </w:tc>
        <w:tc>
          <w:tcPr>
            <w:tcW w:w="3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8"/>
              </w:rPr>
              <w:t>Herewith</w:t>
            </w:r>
          </w:p>
        </w:tc>
      </w:tr>
      <w:tr>
        <w:trPr>
          <w:trHeight w:val="94"/>
        </w:trPr>
        <w:tc>
          <w:tcPr>
            <w:tcW w:w="10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51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r>
        <w:trPr>
          <w:trHeight w:val="302"/>
        </w:trPr>
        <w:tc>
          <w:tcPr>
            <w:tcW w:w="1000" w:type="dxa"/>
            <w:vAlign w:val="bottom"/>
          </w:tcPr>
          <w:p>
            <w:pPr>
              <w:jc w:val="right"/>
              <w:ind w:right="142"/>
              <w:spacing w:after="0"/>
              <w:rPr>
                <w:sz w:val="20"/>
                <w:szCs w:val="20"/>
                <w:color w:val="auto"/>
              </w:rPr>
            </w:pPr>
            <w:r>
              <w:rPr>
                <w:rFonts w:ascii="Arial" w:cs="Arial" w:eastAsia="Arial" w:hAnsi="Arial"/>
                <w:sz w:val="17"/>
                <w:szCs w:val="17"/>
                <w:color w:val="auto"/>
              </w:rPr>
              <w:t>5.1</w:t>
            </w:r>
          </w:p>
        </w:tc>
        <w:tc>
          <w:tcPr>
            <w:tcW w:w="340" w:type="dxa"/>
            <w:vAlign w:val="bottom"/>
          </w:tcPr>
          <w:p>
            <w:pPr>
              <w:spacing w:after="0"/>
              <w:rPr>
                <w:sz w:val="24"/>
                <w:szCs w:val="24"/>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Opinion of Wyrick Robbins Yates &amp; Ponton LLP regarding the legality of</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ind w:left="440"/>
              <w:spacing w:after="0"/>
              <w:rPr>
                <w:sz w:val="20"/>
                <w:szCs w:val="20"/>
                <w:color w:val="auto"/>
              </w:rPr>
            </w:pPr>
            <w:r>
              <w:rPr>
                <w:rFonts w:ascii="Arial" w:cs="Arial" w:eastAsia="Arial" w:hAnsi="Arial"/>
                <w:sz w:val="17"/>
                <w:szCs w:val="17"/>
                <w:color w:val="auto"/>
              </w:rPr>
              <w:t>X</w:t>
            </w:r>
          </w:p>
        </w:tc>
      </w:tr>
      <w:tr>
        <w:trPr>
          <w:trHeight w:val="212"/>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the securities being registered.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2"/>
        </w:trPr>
        <w:tc>
          <w:tcPr>
            <w:tcW w:w="1000" w:type="dxa"/>
            <w:vAlign w:val="bottom"/>
          </w:tcPr>
          <w:p>
            <w:pPr>
              <w:jc w:val="right"/>
              <w:ind w:right="142"/>
              <w:spacing w:after="0"/>
              <w:rPr>
                <w:sz w:val="20"/>
                <w:szCs w:val="20"/>
                <w:color w:val="auto"/>
              </w:rPr>
            </w:pPr>
            <w:r>
              <w:rPr>
                <w:rFonts w:ascii="Arial" w:cs="Arial" w:eastAsia="Arial" w:hAnsi="Arial"/>
                <w:sz w:val="17"/>
                <w:szCs w:val="17"/>
                <w:color w:val="auto"/>
              </w:rPr>
              <w:t>23.1</w:t>
            </w:r>
          </w:p>
        </w:tc>
        <w:tc>
          <w:tcPr>
            <w:tcW w:w="3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Consent of Independent Registered Public Accounting Firm.</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440"/>
              <w:spacing w:after="0"/>
              <w:rPr>
                <w:sz w:val="20"/>
                <w:szCs w:val="20"/>
                <w:color w:val="auto"/>
              </w:rPr>
            </w:pPr>
            <w:r>
              <w:rPr>
                <w:rFonts w:ascii="Arial" w:cs="Arial" w:eastAsia="Arial" w:hAnsi="Arial"/>
                <w:sz w:val="17"/>
                <w:szCs w:val="17"/>
                <w:color w:val="auto"/>
              </w:rPr>
              <w:t>X</w:t>
            </w:r>
          </w:p>
        </w:tc>
      </w:tr>
      <w:tr>
        <w:trPr>
          <w:trHeight w:val="212"/>
        </w:trPr>
        <w:tc>
          <w:tcPr>
            <w:tcW w:w="1000" w:type="dxa"/>
            <w:vAlign w:val="bottom"/>
          </w:tcPr>
          <w:p>
            <w:pPr>
              <w:jc w:val="right"/>
              <w:ind w:right="142"/>
              <w:spacing w:after="0"/>
              <w:rPr>
                <w:sz w:val="20"/>
                <w:szCs w:val="20"/>
                <w:color w:val="auto"/>
              </w:rPr>
            </w:pPr>
            <w:r>
              <w:rPr>
                <w:rFonts w:ascii="Arial" w:cs="Arial" w:eastAsia="Arial" w:hAnsi="Arial"/>
                <w:sz w:val="17"/>
                <w:szCs w:val="17"/>
                <w:color w:val="auto"/>
              </w:rPr>
              <w:t>23.2</w:t>
            </w:r>
          </w:p>
        </w:tc>
        <w:tc>
          <w:tcPr>
            <w:tcW w:w="3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Consent of Wyrick Robbins Yates &amp; Ponton LLP (included in</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ind w:left="440"/>
              <w:spacing w:after="0"/>
              <w:rPr>
                <w:sz w:val="20"/>
                <w:szCs w:val="20"/>
                <w:color w:val="auto"/>
              </w:rPr>
            </w:pPr>
            <w:r>
              <w:rPr>
                <w:rFonts w:ascii="Arial" w:cs="Arial" w:eastAsia="Arial" w:hAnsi="Arial"/>
                <w:sz w:val="17"/>
                <w:szCs w:val="17"/>
                <w:color w:val="auto"/>
              </w:rPr>
              <w:t>X</w:t>
            </w:r>
          </w:p>
        </w:tc>
      </w:tr>
      <w:tr>
        <w:trPr>
          <w:trHeight w:val="217"/>
        </w:trPr>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7"/>
                <w:szCs w:val="17"/>
                <w:color w:val="auto"/>
              </w:rPr>
              <w:t>Exhibit 5.1).</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w:t>
      </w:r>
    </w:p>
    <w:p>
      <w:pPr>
        <w:sectPr>
          <w:pgSz w:w="11900" w:h="16838" w:orient="portrait"/>
          <w:cols w:equalWidth="0" w:num="1">
            <w:col w:w="11420"/>
          </w:cols>
          <w:pgMar w:left="240" w:top="907"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5.1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Wyrick Robbins Yates &amp; Ponton LLP</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4101 Lake Boone Trail, Suite 300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Raleigh, North Carolina 27607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18, 2005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Blackbaud,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2000 Daniel Island Drive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Charleston, South Carolina 29492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Statement on Form S-1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7" w:lineRule="exact"/>
        <w:rPr>
          <w:sz w:val="20"/>
          <w:szCs w:val="20"/>
          <w:color w:val="auto"/>
        </w:rPr>
      </w:pPr>
    </w:p>
    <w:p>
      <w:pPr>
        <w:ind w:right="120" w:firstLine="217"/>
        <w:spacing w:after="0" w:line="271" w:lineRule="auto"/>
        <w:rPr>
          <w:sz w:val="20"/>
          <w:szCs w:val="20"/>
          <w:color w:val="auto"/>
        </w:rPr>
      </w:pPr>
      <w:r>
        <w:rPr>
          <w:rFonts w:ascii="Arial" w:cs="Arial" w:eastAsia="Arial" w:hAnsi="Arial"/>
          <w:sz w:val="17"/>
          <w:szCs w:val="17"/>
          <w:color w:val="auto"/>
        </w:rPr>
        <w:t>We have acted as counsel to Blackbaud, Inc., a Delaware corporation (the “Company”), in connection with the Registration Statement on Form S-1, as filed by the Company with the Securities and Exchange Commission (the “Commission”) on the date hereof (the “Registration Statement”) pursuant to the Securities Act of 1933, as amended (the “Act”). The Registration Statement relates to the resale by the selling stockholders named in the Registration Statement (the “Selling Stockholders”) of up to 10,000,000 of the Company’s common stock, $0.001 par value per share (the “Shares”).</w:t>
      </w:r>
    </w:p>
    <w:p>
      <w:pPr>
        <w:spacing w:after="0" w:line="1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opinion is being furnished in accordance with the requirements of Item 16 of Form S-1 and Item 601(b)(5)(i) of Regulation S-K.</w:t>
      </w:r>
    </w:p>
    <w:p>
      <w:pPr>
        <w:spacing w:after="0" w:line="177" w:lineRule="exact"/>
        <w:rPr>
          <w:sz w:val="20"/>
          <w:szCs w:val="20"/>
          <w:color w:val="auto"/>
        </w:rPr>
      </w:pPr>
    </w:p>
    <w:p>
      <w:pPr>
        <w:ind w:right="20" w:firstLine="220"/>
        <w:spacing w:after="0" w:line="329" w:lineRule="auto"/>
        <w:rPr>
          <w:sz w:val="20"/>
          <w:szCs w:val="20"/>
          <w:color w:val="auto"/>
        </w:rPr>
      </w:pPr>
      <w:r>
        <w:rPr>
          <w:rFonts w:ascii="Arial" w:cs="Arial" w:eastAsia="Arial" w:hAnsi="Arial"/>
          <w:sz w:val="15"/>
          <w:szCs w:val="15"/>
          <w:color w:val="auto"/>
        </w:rPr>
        <w:t>In connection with the foregoing, we have relied upon, among other things, our examination of such documents, records of the Company and certificates of its officers and public officials as we deemed necessary for purposes of the opinions expressed below. In our examination, we have assumed the genuineness of all signatures, the authenticity of all documents submitted to us as originals and the conformity with the original of all documents submitted to us as copies thereof.</w:t>
      </w:r>
    </w:p>
    <w:p>
      <w:pPr>
        <w:spacing w:after="0" w:line="9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Based upon the foregoing, we are of the opinion that:</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The Company is a corporation duly incorporated, validly existing and in good standing under the laws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386715</wp:posOffset>
            </wp:positionV>
            <wp:extent cx="725360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35" w:name="page136"/>
    <w:bookmarkEnd w:id="135"/>
    <w:p>
      <w:pPr>
        <w:ind w:right="400" w:firstLine="226"/>
        <w:spacing w:after="0" w:line="264" w:lineRule="auto"/>
        <w:tabs>
          <w:tab w:leader="none" w:pos="39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Shares have been duly authorized for issuance and, when the Shares have been sold as described in the Registration Statement, will be legally and validly issued, fully paid and nonassessable.</w:t>
      </w:r>
    </w:p>
    <w:p>
      <w:pPr>
        <w:spacing w:after="0" w:line="153" w:lineRule="exact"/>
        <w:rPr>
          <w:sz w:val="20"/>
          <w:szCs w:val="20"/>
          <w:color w:val="auto"/>
        </w:rPr>
      </w:pPr>
    </w:p>
    <w:p>
      <w:pPr>
        <w:ind w:firstLine="217"/>
        <w:spacing w:after="0" w:line="250" w:lineRule="auto"/>
        <w:rPr>
          <w:sz w:val="20"/>
          <w:szCs w:val="20"/>
          <w:color w:val="auto"/>
        </w:rPr>
      </w:pPr>
      <w:r>
        <w:rPr>
          <w:rFonts w:ascii="Arial" w:cs="Arial" w:eastAsia="Arial" w:hAnsi="Arial"/>
          <w:sz w:val="18"/>
          <w:szCs w:val="18"/>
          <w:color w:val="auto"/>
        </w:rPr>
        <w:t>This opinion is limited to the Delaware General Corporation Law, including the statutory provisions of the Delaware General Corporate Law and all applicable provisions of the Delaware Constitution and reported judicial decisions interpreting these laws. We hereby consent to the filing of this opinion with the Commission as Exhibit 5.1 to the Registration Statement and reference to our firm under the heading “Legal Matters” in the Registration Statement. In giving this consent, we do not admit that we are within the category of persons whose consent is required by Section 7 of the Securities Act or the rules and regulations promulgated thereunder by the Commission.</w:t>
      </w:r>
    </w:p>
    <w:p>
      <w:pPr>
        <w:spacing w:after="0" w:line="364"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Wyrick Robbins Yates &amp; Ponton LLP</w:t>
      </w:r>
    </w:p>
    <w:p>
      <w:pPr>
        <w:sectPr>
          <w:pgSz w:w="11900" w:h="16838" w:orient="portrait"/>
          <w:cols w:equalWidth="0" w:num="1">
            <w:col w:w="11420"/>
          </w:cols>
          <w:pgMar w:left="240" w:top="9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19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We hereby consent to the use in this Registration Statement on Form S-1 of our report dated February 20, 2004, except for Note 15, as to which the date is</w:t>
      </w:r>
    </w:p>
    <w:p>
      <w:pPr>
        <w:spacing w:after="0" w:line="5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July 19, 2004, relating to the financial statements of Blackbaud, Inc, which appears in such Registration Statement. We also consent to the reference to us under the heading “Experts” in such Registration Statement.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January 18, 2005</w:t>
      </w:r>
    </w:p>
    <w:sectPr>
      <w:pgSz w:w="11900" w:h="16838" w:orient="portrait"/>
      <w:cols w:equalWidth="0" w:num="1">
        <w:col w:w="11420"/>
      </w:cols>
      <w:pgMar w:left="240" w:top="9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decimal"/>
      <w:start w:val="1"/>
    </w:lvl>
    <w:lvl w:ilvl="1">
      <w:lvlJc w:val="left"/>
      <w:lvlText w:val="(%2)"/>
      <w:numFmt w:val="decimal"/>
      <w:start w:val="1"/>
    </w:lvl>
  </w:abstractNum>
  <w:abstractNum w:abstractNumId="31">
    <w:nsid w:val="725A06FB"/>
    <w:multiLevelType w:val="hybridMultilevel"/>
    <w:lvl w:ilvl="0">
      <w:lvlJc w:val="left"/>
      <w:lvlText w:val="(%1)"/>
      <w:numFmt w:val="decimal"/>
      <w:start w:val="11"/>
    </w:lvl>
    <w:lvl w:ilvl="1">
      <w:lvlJc w:val="left"/>
      <w:lvlText w:val="%2"/>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2)"/>
      <w:numFmt w:val="decimal"/>
      <w:start w:val="2"/>
    </w:lvl>
  </w:abstractNum>
  <w:abstractNum w:abstractNumId="34">
    <w:nsid w:val="7A6D8D3C"/>
    <w:multiLevelType w:val="hybridMultilevel"/>
    <w:lvl w:ilvl="0">
      <w:lvlJc w:val="left"/>
      <w:lvlText w:val="•"/>
      <w:numFmt w:val="bullet"/>
      <w:start w:val="1"/>
    </w:lvl>
    <w:lvl w:ilvl="1">
      <w:lvlJc w:val="left"/>
      <w:lvlText w:val="(%2)"/>
      <w:numFmt w:val="decimal"/>
      <w:start w:val="30"/>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2"/>
    </w:lvl>
  </w:abstractNum>
  <w:abstractNum w:abstractNumId="38">
    <w:nsid w:val="38437FDB"/>
    <w:multiLevelType w:val="hybridMultilevel"/>
    <w:lvl w:ilvl="0">
      <w:lvlJc w:val="left"/>
      <w:lvlText w:val="%1."/>
      <w:numFmt w:val="decimal"/>
      <w:start w:val="3"/>
    </w:lvl>
  </w:abstractNum>
  <w:abstractNum w:abstractNumId="39">
    <w:nsid w:val="7644A45C"/>
    <w:multiLevelType w:val="hybridMultilevel"/>
    <w:lvl w:ilvl="0">
      <w:lvlJc w:val="left"/>
      <w:lvlText w:val="%1."/>
      <w:numFmt w:val="decimal"/>
      <w:start w:val="4"/>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decimal"/>
      <w:start w:val="6"/>
    </w:lvl>
  </w:abstractNum>
  <w:abstractNum w:abstractNumId="42">
    <w:nsid w:val="579478FE"/>
    <w:multiLevelType w:val="hybridMultilevel"/>
    <w:lvl w:ilvl="0">
      <w:lvlJc w:val="left"/>
      <w:lvlText w:val="%1."/>
      <w:numFmt w:val="decimal"/>
      <w:start w:val="7"/>
    </w:lvl>
  </w:abstractNum>
  <w:abstractNum w:abstractNumId="43">
    <w:nsid w:val="749ABB43"/>
    <w:multiLevelType w:val="hybridMultilevel"/>
    <w:lvl w:ilvl="0">
      <w:lvlJc w:val="left"/>
      <w:lvlText w:val="%1."/>
      <w:numFmt w:val="decimal"/>
      <w:start w:val="8"/>
    </w:lvl>
  </w:abstractNum>
  <w:abstractNum w:abstractNumId="44">
    <w:nsid w:val="3DC240FB"/>
    <w:multiLevelType w:val="hybridMultilevel"/>
    <w:lvl w:ilvl="0">
      <w:lvlJc w:val="left"/>
      <w:lvlText w:val="%1."/>
      <w:numFmt w:val="decimal"/>
      <w:start w:val="9"/>
    </w:lvl>
  </w:abstractNum>
  <w:abstractNum w:abstractNumId="45">
    <w:nsid w:val="1BA026FA"/>
    <w:multiLevelType w:val="hybridMultilevel"/>
    <w:lvl w:ilvl="0">
      <w:lvlJc w:val="left"/>
      <w:lvlText w:val="%1."/>
      <w:numFmt w:val="decimal"/>
      <w:start w:val="10"/>
    </w:lvl>
  </w:abstractNum>
  <w:abstractNum w:abstractNumId="46">
    <w:nsid w:val="79A1DEAA"/>
    <w:multiLevelType w:val="hybridMultilevel"/>
    <w:lvl w:ilvl="0">
      <w:lvlJc w:val="left"/>
      <w:lvlText w:val="%1."/>
      <w:numFmt w:val="decimal"/>
      <w:start w:val="11"/>
    </w:lvl>
  </w:abstractNum>
  <w:abstractNum w:abstractNumId="47">
    <w:nsid w:val="75C6C33A"/>
    <w:multiLevelType w:val="hybridMultilevel"/>
    <w:lvl w:ilvl="0">
      <w:lvlJc w:val="left"/>
      <w:lvlText w:val="%1."/>
      <w:numFmt w:val="decimal"/>
      <w:start w:val="12"/>
    </w:lvl>
  </w:abstractNum>
  <w:abstractNum w:abstractNumId="48">
    <w:nsid w:val="12E685FB"/>
    <w:multiLevelType w:val="hybridMultilevel"/>
    <w:lvl w:ilvl="0">
      <w:lvlJc w:val="left"/>
      <w:lvlText w:val="%1."/>
      <w:numFmt w:val="decimal"/>
      <w:start w:val="13"/>
    </w:lvl>
  </w:abstractNum>
  <w:abstractNum w:abstractNumId="49">
    <w:nsid w:val="70C6A529"/>
    <w:multiLevelType w:val="hybridMultilevel"/>
    <w:lvl w:ilvl="0">
      <w:lvlJc w:val="left"/>
      <w:lvlText w:val="%1."/>
      <w:numFmt w:val="decimal"/>
      <w:start w:val="14"/>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15"/>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
      <w:numFmt w:val="bullet"/>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2019-12-12T04:49:02Z</dcterms:created>
  <dcterms:modified xsi:type="dcterms:W3CDTF">2019-12-12T04:49:02Z</dcterms:modified>
</cp:coreProperties>
</file>